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C0CF7" w14:textId="41C8297D" w:rsidR="00AB0E15" w:rsidRDefault="00AB0E15" w:rsidP="00037C73">
      <w:pPr>
        <w:spacing w:after="0" w:line="360" w:lineRule="auto"/>
        <w:jc w:val="both"/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</w:pPr>
      <w:bookmarkStart w:id="0" w:name="_Toc57121508"/>
      <w:r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  <w:t>Appendix A</w:t>
      </w:r>
    </w:p>
    <w:p w14:paraId="261B3D74" w14:textId="77777777" w:rsidR="00AB0E15" w:rsidRDefault="00AB0E15" w:rsidP="00037C73">
      <w:pPr>
        <w:spacing w:after="0" w:line="360" w:lineRule="auto"/>
        <w:jc w:val="both"/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</w:pPr>
    </w:p>
    <w:p w14:paraId="69293B40" w14:textId="7DFA1987" w:rsidR="00037C73" w:rsidRPr="00037C73" w:rsidRDefault="006C15AB" w:rsidP="00037C73">
      <w:pPr>
        <w:spacing w:after="0" w:line="360" w:lineRule="auto"/>
        <w:jc w:val="both"/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</w:pPr>
      <w:r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 xml:space="preserve">1. </w:t>
      </w:r>
      <w:r w:rsidR="00037C73" w:rsidRPr="00037C73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 xml:space="preserve">One way repeated measure ANOVA </w:t>
      </w:r>
      <w:bookmarkEnd w:id="0"/>
    </w:p>
    <w:p w14:paraId="6DD3058D" w14:textId="77777777" w:rsidR="00037C73" w:rsidRPr="00037C73" w:rsidRDefault="00037C73" w:rsidP="00037C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bidi="ar-SA"/>
        </w:rPr>
      </w:pPr>
    </w:p>
    <w:tbl>
      <w:tblPr>
        <w:tblStyle w:val="TableGrid31"/>
        <w:tblW w:w="6007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1"/>
        <w:gridCol w:w="1796"/>
        <w:gridCol w:w="1338"/>
        <w:gridCol w:w="1242"/>
      </w:tblGrid>
      <w:tr w:rsidR="00037C73" w:rsidRPr="00037C73" w14:paraId="4394558C" w14:textId="77777777" w:rsidTr="00037C73">
        <w:trPr>
          <w:trHeight w:val="505"/>
        </w:trPr>
        <w:tc>
          <w:tcPr>
            <w:tcW w:w="1631" w:type="dxa"/>
            <w:vMerge w:val="restart"/>
          </w:tcPr>
          <w:p w14:paraId="5388E35D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</w:rPr>
              <w:t>Alignment rate</w:t>
            </w:r>
          </w:p>
          <w:p w14:paraId="45874B6A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</w:p>
        </w:tc>
        <w:tc>
          <w:tcPr>
            <w:tcW w:w="1796" w:type="dxa"/>
          </w:tcPr>
          <w:p w14:paraId="7264F92C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</w:rPr>
              <w:t>Total sample</w:t>
            </w:r>
          </w:p>
        </w:tc>
        <w:tc>
          <w:tcPr>
            <w:tcW w:w="1338" w:type="dxa"/>
            <w:vMerge w:val="restart"/>
          </w:tcPr>
          <w:p w14:paraId="26B7FAC2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  <w:i/>
                <w:iCs/>
              </w:rPr>
              <w:t>P</w:t>
            </w:r>
            <w:r w:rsidRPr="00037C73">
              <w:rPr>
                <w:rFonts w:ascii="Times New Roman" w:hAnsi="Times New Roman"/>
              </w:rPr>
              <w:t xml:space="preserve"> value (rate)</w:t>
            </w:r>
          </w:p>
        </w:tc>
        <w:tc>
          <w:tcPr>
            <w:tcW w:w="1242" w:type="dxa"/>
            <w:vMerge w:val="restart"/>
          </w:tcPr>
          <w:p w14:paraId="7B1B9BFF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  <w:i/>
                <w:iCs/>
              </w:rPr>
              <w:t>P</w:t>
            </w:r>
            <w:r w:rsidRPr="00037C73">
              <w:rPr>
                <w:rFonts w:ascii="Times New Roman" w:hAnsi="Times New Roman"/>
              </w:rPr>
              <w:t xml:space="preserve"> value</w:t>
            </w:r>
          </w:p>
          <w:p w14:paraId="6D3C7654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</w:rPr>
              <w:t>(group)</w:t>
            </w:r>
          </w:p>
        </w:tc>
      </w:tr>
      <w:tr w:rsidR="00037C73" w:rsidRPr="00037C73" w14:paraId="610A2182" w14:textId="77777777" w:rsidTr="00037C73">
        <w:trPr>
          <w:trHeight w:val="505"/>
        </w:trPr>
        <w:tc>
          <w:tcPr>
            <w:tcW w:w="1631" w:type="dxa"/>
            <w:vMerge/>
            <w:tcBorders>
              <w:bottom w:val="single" w:sz="4" w:space="0" w:color="auto"/>
            </w:tcBorders>
          </w:tcPr>
          <w:p w14:paraId="2CA2BE64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14:paraId="7A6ED6B2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</w:rPr>
              <w:t>(Mean ±SD)</w:t>
            </w:r>
          </w:p>
        </w:tc>
        <w:tc>
          <w:tcPr>
            <w:tcW w:w="1338" w:type="dxa"/>
            <w:vMerge/>
          </w:tcPr>
          <w:p w14:paraId="092F58BD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</w:p>
        </w:tc>
        <w:tc>
          <w:tcPr>
            <w:tcW w:w="1242" w:type="dxa"/>
            <w:vMerge/>
          </w:tcPr>
          <w:p w14:paraId="786BF7B0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</w:p>
        </w:tc>
      </w:tr>
      <w:tr w:rsidR="00037C73" w:rsidRPr="00037C73" w14:paraId="4011BC61" w14:textId="77777777" w:rsidTr="00037C73">
        <w:trPr>
          <w:trHeight w:val="344"/>
        </w:trPr>
        <w:tc>
          <w:tcPr>
            <w:tcW w:w="1631" w:type="dxa"/>
            <w:tcBorders>
              <w:top w:val="single" w:sz="4" w:space="0" w:color="auto"/>
              <w:bottom w:val="nil"/>
            </w:tcBorders>
          </w:tcPr>
          <w:p w14:paraId="5CB45AC1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</w:rPr>
              <w:t>T1-T0</w:t>
            </w:r>
          </w:p>
        </w:tc>
        <w:tc>
          <w:tcPr>
            <w:tcW w:w="1796" w:type="dxa"/>
            <w:tcBorders>
              <w:top w:val="single" w:sz="4" w:space="0" w:color="auto"/>
              <w:bottom w:val="nil"/>
            </w:tcBorders>
          </w:tcPr>
          <w:p w14:paraId="0E0A98D9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</w:rPr>
              <w:t>-2.30± 0.53</w:t>
            </w:r>
          </w:p>
        </w:tc>
        <w:tc>
          <w:tcPr>
            <w:tcW w:w="1338" w:type="dxa"/>
            <w:vMerge w:val="restart"/>
          </w:tcPr>
          <w:p w14:paraId="4796848A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bookmarkStart w:id="1" w:name="_GoBack"/>
            <w:bookmarkEnd w:id="1"/>
            <w:r w:rsidRPr="00037C73">
              <w:rPr>
                <w:rFonts w:ascii="Times New Roman" w:hAnsi="Times New Roman"/>
              </w:rPr>
              <w:t>&lt;0.001*</w:t>
            </w:r>
          </w:p>
        </w:tc>
        <w:tc>
          <w:tcPr>
            <w:tcW w:w="1242" w:type="dxa"/>
            <w:vMerge w:val="restart"/>
          </w:tcPr>
          <w:p w14:paraId="74677573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</w:rPr>
              <w:t>0.001*</w:t>
            </w:r>
          </w:p>
        </w:tc>
      </w:tr>
      <w:tr w:rsidR="00037C73" w:rsidRPr="00037C73" w14:paraId="2598FD7F" w14:textId="77777777" w:rsidTr="00037C73">
        <w:trPr>
          <w:trHeight w:val="344"/>
        </w:trPr>
        <w:tc>
          <w:tcPr>
            <w:tcW w:w="1631" w:type="dxa"/>
            <w:tcBorders>
              <w:top w:val="nil"/>
              <w:bottom w:val="nil"/>
            </w:tcBorders>
          </w:tcPr>
          <w:p w14:paraId="0374BBF8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</w:rPr>
              <w:t>T2-T1</w:t>
            </w:r>
          </w:p>
        </w:tc>
        <w:tc>
          <w:tcPr>
            <w:tcW w:w="1796" w:type="dxa"/>
            <w:tcBorders>
              <w:top w:val="nil"/>
              <w:bottom w:val="nil"/>
            </w:tcBorders>
          </w:tcPr>
          <w:p w14:paraId="305BCDB2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</w:rPr>
              <w:t>-2.45± 0.44</w:t>
            </w:r>
          </w:p>
        </w:tc>
        <w:tc>
          <w:tcPr>
            <w:tcW w:w="1338" w:type="dxa"/>
            <w:vMerge/>
          </w:tcPr>
          <w:p w14:paraId="4CEEECC5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</w:p>
        </w:tc>
        <w:tc>
          <w:tcPr>
            <w:tcW w:w="1242" w:type="dxa"/>
            <w:vMerge/>
          </w:tcPr>
          <w:p w14:paraId="04FE29DF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</w:p>
        </w:tc>
      </w:tr>
      <w:tr w:rsidR="00037C73" w:rsidRPr="00037C73" w14:paraId="74DB7D1A" w14:textId="77777777" w:rsidTr="00037C73">
        <w:trPr>
          <w:trHeight w:val="344"/>
        </w:trPr>
        <w:tc>
          <w:tcPr>
            <w:tcW w:w="1631" w:type="dxa"/>
            <w:tcBorders>
              <w:top w:val="nil"/>
            </w:tcBorders>
          </w:tcPr>
          <w:p w14:paraId="7941AE6D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</w:rPr>
              <w:t>T3-T2</w:t>
            </w:r>
          </w:p>
        </w:tc>
        <w:tc>
          <w:tcPr>
            <w:tcW w:w="1796" w:type="dxa"/>
            <w:tcBorders>
              <w:top w:val="nil"/>
            </w:tcBorders>
          </w:tcPr>
          <w:p w14:paraId="67CD7BC3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  <w:r w:rsidRPr="00037C73">
              <w:rPr>
                <w:rFonts w:ascii="Times New Roman" w:hAnsi="Times New Roman"/>
              </w:rPr>
              <w:t>-1.45± 0.49</w:t>
            </w:r>
          </w:p>
        </w:tc>
        <w:tc>
          <w:tcPr>
            <w:tcW w:w="1338" w:type="dxa"/>
            <w:vMerge/>
          </w:tcPr>
          <w:p w14:paraId="5111E4E5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</w:p>
        </w:tc>
        <w:tc>
          <w:tcPr>
            <w:tcW w:w="1242" w:type="dxa"/>
            <w:vMerge/>
          </w:tcPr>
          <w:p w14:paraId="3687051A" w14:textId="77777777" w:rsidR="00037C73" w:rsidRPr="00037C73" w:rsidRDefault="00037C73" w:rsidP="00037C73">
            <w:pPr>
              <w:rPr>
                <w:rFonts w:ascii="Times New Roman" w:hAnsi="Times New Roman"/>
              </w:rPr>
            </w:pPr>
          </w:p>
        </w:tc>
      </w:tr>
    </w:tbl>
    <w:p w14:paraId="235B334D" w14:textId="77777777" w:rsidR="00037C73" w:rsidRPr="00037C73" w:rsidRDefault="00037C73" w:rsidP="00037C7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bidi="ar-SA"/>
        </w:rPr>
      </w:pPr>
    </w:p>
    <w:p w14:paraId="3223BAFD" w14:textId="77777777" w:rsidR="00AB0E15" w:rsidRDefault="00AB0E15" w:rsidP="00AB0E15">
      <w:pPr>
        <w:spacing w:after="0" w:line="360" w:lineRule="auto"/>
        <w:jc w:val="both"/>
        <w:rPr>
          <w:rFonts w:ascii="Times New Roman" w:eastAsia="Times New Roman" w:hAnsi="Times New Roman" w:cs="Arial"/>
          <w:b/>
          <w:bCs/>
          <w:sz w:val="24"/>
          <w:szCs w:val="18"/>
          <w:lang w:val="en-US" w:bidi="ar-SA"/>
        </w:rPr>
      </w:pPr>
      <w:bookmarkStart w:id="2" w:name="_Toc57121509"/>
    </w:p>
    <w:p w14:paraId="0BE835A9" w14:textId="3DCA539A" w:rsidR="00AB0E15" w:rsidRPr="00AB0E15" w:rsidRDefault="006C15AB" w:rsidP="00AB0E15">
      <w:pPr>
        <w:spacing w:after="0" w:line="360" w:lineRule="auto"/>
        <w:jc w:val="both"/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</w:pPr>
      <w:r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 xml:space="preserve">2. </w:t>
      </w:r>
      <w:r w:rsidR="00AB0E15" w:rsidRPr="00AB0E15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>Post hoc comparison for time and group</w:t>
      </w:r>
      <w:bookmarkEnd w:id="2"/>
      <w:r w:rsidR="00AB0E15" w:rsidRPr="00AB0E15">
        <w:rPr>
          <w:rFonts w:ascii="Times New Roman" w:eastAsia="Calibri" w:hAnsi="Times New Roman" w:cs="Arial"/>
          <w:b/>
          <w:bCs/>
          <w:sz w:val="24"/>
          <w:szCs w:val="18"/>
          <w:lang w:val="en-US" w:bidi="ar-SA"/>
        </w:rPr>
        <w:t xml:space="preserve"> </w:t>
      </w:r>
    </w:p>
    <w:p w14:paraId="665F3FC7" w14:textId="77777777" w:rsidR="00AB0E15" w:rsidRPr="00AB0E15" w:rsidRDefault="00AB0E15" w:rsidP="00AB0E15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US" w:bidi="ar-SA"/>
        </w:rPr>
      </w:pPr>
    </w:p>
    <w:tbl>
      <w:tblPr>
        <w:tblStyle w:val="TableGrid2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2610"/>
        <w:gridCol w:w="1170"/>
        <w:gridCol w:w="990"/>
      </w:tblGrid>
      <w:tr w:rsidR="00AB0E15" w:rsidRPr="00AB0E15" w14:paraId="780D7272" w14:textId="77777777" w:rsidTr="00AB0E15"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1E95A6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Alignment rate and group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5FF1C7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Mean difference (95% CI)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CB0523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Std. error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90B8C7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  <w:i/>
                <w:iCs/>
              </w:rPr>
              <w:t>P</w:t>
            </w:r>
            <w:r w:rsidRPr="00AB0E15">
              <w:rPr>
                <w:rFonts w:ascii="Times New Roman" w:hAnsi="Times New Roman"/>
                <w:bCs/>
              </w:rPr>
              <w:t xml:space="preserve"> value</w:t>
            </w:r>
          </w:p>
        </w:tc>
      </w:tr>
      <w:tr w:rsidR="00AB0E15" w:rsidRPr="00AB0E15" w14:paraId="285732F8" w14:textId="77777777" w:rsidTr="00AB0E15">
        <w:tc>
          <w:tcPr>
            <w:tcW w:w="28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EC7C8C" w14:textId="77777777" w:rsidR="00AB0E15" w:rsidRPr="00AB0E15" w:rsidRDefault="00AB0E15" w:rsidP="00AB0E15">
            <w:pPr>
              <w:spacing w:line="360" w:lineRule="auto"/>
              <w:jc w:val="both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T1-T0 - T2-T1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72C786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0.15 (- 0.26 to 0.56)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35D3027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0.19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0D2528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0.4</w:t>
            </w:r>
          </w:p>
        </w:tc>
      </w:tr>
      <w:tr w:rsidR="00AB0E15" w:rsidRPr="00AB0E15" w14:paraId="3E2E80EE" w14:textId="77777777" w:rsidTr="00AB0E15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4B19DA" w14:textId="77777777" w:rsidR="00AB0E15" w:rsidRPr="00AB0E15" w:rsidRDefault="00AB0E15" w:rsidP="00AB0E15">
            <w:pPr>
              <w:spacing w:line="360" w:lineRule="auto"/>
              <w:jc w:val="both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T1-T0 - T3-T2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2B9E28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- 0.83 (- 1.31 to - 0.35)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F35D4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0.22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0E2EE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0.003*</w:t>
            </w:r>
          </w:p>
        </w:tc>
      </w:tr>
      <w:tr w:rsidR="00AB0E15" w:rsidRPr="00AB0E15" w14:paraId="73849AF7" w14:textId="77777777" w:rsidTr="00AB0E15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14F458" w14:textId="77777777" w:rsidR="00AB0E15" w:rsidRPr="00AB0E15" w:rsidRDefault="00AB0E15" w:rsidP="00AB0E15">
            <w:pPr>
              <w:spacing w:line="360" w:lineRule="auto"/>
              <w:jc w:val="both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T2-T1- T3-T2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EE8B31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- 0.98 (- 1.38 to - 0.57)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EABA0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0.18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ABDEB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&lt;0.001*</w:t>
            </w:r>
          </w:p>
        </w:tc>
      </w:tr>
      <w:tr w:rsidR="00AB0E15" w:rsidRPr="00AB0E15" w14:paraId="5E80A074" w14:textId="77777777" w:rsidTr="00AB0E15"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39DCB8" w14:textId="77777777" w:rsidR="00AB0E15" w:rsidRPr="00AB0E15" w:rsidRDefault="00AB0E15" w:rsidP="00AB0E15">
            <w:pPr>
              <w:spacing w:line="360" w:lineRule="auto"/>
              <w:jc w:val="both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Piezocision - Control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D55F20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- 0.43 (- 0.65 to - 0.21)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BAF3821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0.10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08F3DF" w14:textId="77777777" w:rsidR="00AB0E15" w:rsidRPr="00AB0E15" w:rsidRDefault="00AB0E15" w:rsidP="00AB0E15">
            <w:pPr>
              <w:spacing w:line="360" w:lineRule="auto"/>
              <w:jc w:val="center"/>
              <w:rPr>
                <w:rFonts w:ascii="Times New Roman" w:hAnsi="Times New Roman"/>
                <w:bCs/>
              </w:rPr>
            </w:pPr>
            <w:r w:rsidRPr="00AB0E15">
              <w:rPr>
                <w:rFonts w:ascii="Times New Roman" w:hAnsi="Times New Roman"/>
                <w:bCs/>
              </w:rPr>
              <w:t>0.001*</w:t>
            </w:r>
          </w:p>
        </w:tc>
      </w:tr>
    </w:tbl>
    <w:p w14:paraId="02527C79" w14:textId="77777777" w:rsidR="00AB0E15" w:rsidRDefault="00AB0E15"/>
    <w:sectPr w:rsidR="00AB0E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wMDMwMDQxMLewtDBR0lEKTi0uzszPAykwrAUAbbFLtSwAAAA="/>
  </w:docVars>
  <w:rsids>
    <w:rsidRoot w:val="00037C73"/>
    <w:rsid w:val="00037C73"/>
    <w:rsid w:val="000600B1"/>
    <w:rsid w:val="00143AD7"/>
    <w:rsid w:val="003E1E16"/>
    <w:rsid w:val="006C15AB"/>
    <w:rsid w:val="0076580C"/>
    <w:rsid w:val="009C5928"/>
    <w:rsid w:val="00A81203"/>
    <w:rsid w:val="00AA31A3"/>
    <w:rsid w:val="00AB0E15"/>
    <w:rsid w:val="00BD6E7B"/>
    <w:rsid w:val="00DB4594"/>
    <w:rsid w:val="00F7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7EEC4"/>
  <w15:chartTrackingRefBased/>
  <w15:docId w15:val="{29879364-DF50-42E5-8F49-A396FA2FA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MY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1">
    <w:name w:val="Table Grid31"/>
    <w:basedOn w:val="TableNormal"/>
    <w:uiPriority w:val="59"/>
    <w:rsid w:val="00037C73"/>
    <w:pPr>
      <w:spacing w:after="0" w:line="240" w:lineRule="auto"/>
    </w:pPr>
    <w:rPr>
      <w:rFonts w:ascii="Calibri" w:eastAsia="Calibri" w:hAnsi="Calibri" w:cs="Times New Roman"/>
      <w:szCs w:val="22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rsid w:val="00AB0E15"/>
    <w:pPr>
      <w:spacing w:after="0" w:line="240" w:lineRule="auto"/>
    </w:pPr>
    <w:rPr>
      <w:rFonts w:ascii="Calibri" w:eastAsia="Calibri" w:hAnsi="Calibri" w:cs="Vrinda"/>
      <w:szCs w:val="22"/>
      <w:lang w:val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803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Sharmin Sultana</dc:creator>
  <cp:keywords/>
  <dc:description/>
  <cp:lastModifiedBy>Sharmin Sultana</cp:lastModifiedBy>
  <cp:revision>5</cp:revision>
  <dcterms:created xsi:type="dcterms:W3CDTF">2021-02-02T06:13:00Z</dcterms:created>
  <dcterms:modified xsi:type="dcterms:W3CDTF">2021-02-18T16:39:00Z</dcterms:modified>
</cp:coreProperties>
</file>