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22D00" w14:textId="77777777" w:rsidR="00D80D09" w:rsidRPr="004F647D" w:rsidRDefault="00D80D09" w:rsidP="00D80D09">
      <w:pPr>
        <w:spacing w:line="480" w:lineRule="auto"/>
        <w:jc w:val="center"/>
        <w:rPr>
          <w:rFonts w:ascii="Arial" w:hAnsi="Arial" w:cs="Arial"/>
          <w:sz w:val="22"/>
          <w:szCs w:val="22"/>
        </w:rPr>
      </w:pPr>
      <w:r w:rsidRPr="00133C95">
        <w:rPr>
          <w:rFonts w:ascii="Arial" w:hAnsi="Arial" w:cs="Arial"/>
          <w:b/>
          <w:sz w:val="22"/>
          <w:szCs w:val="22"/>
        </w:rPr>
        <w:t>Supplementary Figures</w:t>
      </w:r>
      <w:r w:rsidRPr="004F647D">
        <w:rPr>
          <w:rFonts w:ascii="Arial" w:hAnsi="Arial" w:cs="Arial"/>
          <w:sz w:val="22"/>
          <w:szCs w:val="22"/>
        </w:rPr>
        <w:t>.</w:t>
      </w:r>
    </w:p>
    <w:p w14:paraId="20F2C0C5" w14:textId="77777777" w:rsidR="00D80D09" w:rsidRPr="004F647D" w:rsidRDefault="00D80D09" w:rsidP="00D80D09">
      <w:pPr>
        <w:spacing w:line="480" w:lineRule="auto"/>
        <w:jc w:val="both"/>
        <w:rPr>
          <w:rFonts w:ascii="Arial" w:hAnsi="Arial" w:cs="Arial"/>
          <w:sz w:val="22"/>
          <w:szCs w:val="22"/>
        </w:rPr>
      </w:pPr>
      <w:r w:rsidRPr="004F647D">
        <w:rPr>
          <w:rFonts w:ascii="Arial" w:hAnsi="Arial" w:cs="Arial"/>
          <w:noProof/>
          <w:sz w:val="22"/>
          <w:szCs w:val="22"/>
          <w:lang w:val="en-IN" w:eastAsia="en-IN"/>
        </w:rPr>
        <w:drawing>
          <wp:inline distT="0" distB="0" distL="0" distR="0" wp14:anchorId="23916ADC" wp14:editId="1CBD4B5F">
            <wp:extent cx="4253367" cy="5224007"/>
            <wp:effectExtent l="0" t="0" r="1270" b="0"/>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259652" cy="5231727"/>
                    </a:xfrm>
                    <a:prstGeom prst="rect">
                      <a:avLst/>
                    </a:prstGeom>
                  </pic:spPr>
                </pic:pic>
              </a:graphicData>
            </a:graphic>
          </wp:inline>
        </w:drawing>
      </w:r>
    </w:p>
    <w:p w14:paraId="1BDA009D" w14:textId="77777777" w:rsidR="00D80D09" w:rsidRPr="004F647D" w:rsidRDefault="00D80D09" w:rsidP="00D80D09">
      <w:pPr>
        <w:spacing w:line="480" w:lineRule="auto"/>
        <w:jc w:val="both"/>
        <w:rPr>
          <w:rFonts w:ascii="Arial" w:hAnsi="Arial" w:cs="Arial"/>
          <w:sz w:val="22"/>
          <w:szCs w:val="22"/>
        </w:rPr>
      </w:pPr>
    </w:p>
    <w:p w14:paraId="15563F9C" w14:textId="77777777" w:rsidR="00D80D09" w:rsidRPr="00081444" w:rsidRDefault="00D80D09" w:rsidP="00D80D09">
      <w:pPr>
        <w:jc w:val="both"/>
        <w:rPr>
          <w:rFonts w:ascii="Arial" w:hAnsi="Arial" w:cs="Arial"/>
          <w:sz w:val="20"/>
          <w:szCs w:val="20"/>
        </w:rPr>
      </w:pPr>
      <w:r w:rsidRPr="00081444">
        <w:rPr>
          <w:rFonts w:ascii="Arial" w:hAnsi="Arial" w:cs="Arial"/>
          <w:b/>
          <w:sz w:val="20"/>
          <w:szCs w:val="20"/>
        </w:rPr>
        <w:t>Supplementary Figure 1</w:t>
      </w:r>
      <w:r w:rsidRPr="00081444">
        <w:rPr>
          <w:rFonts w:ascii="Arial" w:hAnsi="Arial" w:cs="Arial"/>
          <w:sz w:val="20"/>
          <w:szCs w:val="20"/>
        </w:rPr>
        <w:t xml:space="preserve">. </w:t>
      </w:r>
      <w:r w:rsidRPr="00081444">
        <w:rPr>
          <w:rFonts w:ascii="Arial" w:hAnsi="Arial" w:cs="Arial"/>
          <w:b/>
          <w:sz w:val="20"/>
          <w:szCs w:val="20"/>
        </w:rPr>
        <w:t>Effect of liquid on SARS-CoV-2 inactivation</w:t>
      </w:r>
      <w:r w:rsidRPr="00081444">
        <w:rPr>
          <w:rFonts w:ascii="Arial" w:hAnsi="Arial" w:cs="Arial"/>
          <w:sz w:val="20"/>
          <w:szCs w:val="20"/>
        </w:rPr>
        <w:t>. A UVC-254 nm lamp was used to irradiate a</w:t>
      </w:r>
      <w:r>
        <w:rPr>
          <w:rFonts w:ascii="Arial" w:hAnsi="Arial" w:cs="Arial"/>
          <w:sz w:val="20"/>
          <w:szCs w:val="20"/>
        </w:rPr>
        <w:t xml:space="preserve"> </w:t>
      </w:r>
      <w:r w:rsidRPr="00081444">
        <w:rPr>
          <w:rFonts w:ascii="Arial" w:hAnsi="Arial" w:cs="Arial"/>
          <w:sz w:val="20"/>
          <w:szCs w:val="20"/>
        </w:rPr>
        <w:t xml:space="preserve">96-well plate containing 300 </w:t>
      </w:r>
      <w:r>
        <w:rPr>
          <w:rFonts w:ascii="Arial" w:hAnsi="Arial" w:cs="Arial"/>
          <w:sz w:val="20"/>
          <w:szCs w:val="20"/>
        </w:rPr>
        <w:t>µ</w:t>
      </w:r>
      <w:r w:rsidRPr="00081444">
        <w:rPr>
          <w:rFonts w:ascii="Arial" w:hAnsi="Arial" w:cs="Arial"/>
          <w:sz w:val="20"/>
          <w:szCs w:val="20"/>
        </w:rPr>
        <w:t>L of a 10</w:t>
      </w:r>
      <w:r w:rsidRPr="00081444">
        <w:rPr>
          <w:rFonts w:ascii="Arial" w:hAnsi="Arial" w:cs="Arial"/>
          <w:sz w:val="20"/>
          <w:szCs w:val="20"/>
          <w:vertAlign w:val="superscript"/>
        </w:rPr>
        <w:t>6</w:t>
      </w:r>
      <w:r w:rsidRPr="00081444">
        <w:rPr>
          <w:rFonts w:ascii="Arial" w:hAnsi="Arial" w:cs="Arial"/>
          <w:sz w:val="20"/>
          <w:szCs w:val="20"/>
        </w:rPr>
        <w:t xml:space="preserve"> pfu/mL SARS-CoV-2 suspension. Dose times were calculated based on the measured irradiance and the desired exposure dose for each condition. All conditions were frozen and the plaque-forming assay was run a few days later. Controls were treated exactly the same, but did not receive any UV light exposure. For a range between 0.3 – 1 J/cm</w:t>
      </w:r>
      <w:r w:rsidRPr="00081444">
        <w:rPr>
          <w:rFonts w:ascii="Arial" w:hAnsi="Arial" w:cs="Arial"/>
          <w:sz w:val="20"/>
          <w:szCs w:val="20"/>
          <w:vertAlign w:val="superscript"/>
        </w:rPr>
        <w:t>2</w:t>
      </w:r>
      <w:r w:rsidRPr="00081444">
        <w:rPr>
          <w:rFonts w:ascii="Arial" w:hAnsi="Arial" w:cs="Arial"/>
          <w:sz w:val="20"/>
          <w:szCs w:val="20"/>
        </w:rPr>
        <w:t>, no difference between conditions was observed and no cytopathic effect was detected in cultures. All conditions were performed in triplicates.</w:t>
      </w:r>
    </w:p>
    <w:p w14:paraId="28D2FC78" w14:textId="77777777" w:rsidR="00D80D09" w:rsidRPr="004F647D" w:rsidRDefault="00D80D09" w:rsidP="00D80D09">
      <w:pPr>
        <w:spacing w:line="480" w:lineRule="auto"/>
        <w:jc w:val="both"/>
        <w:rPr>
          <w:rFonts w:ascii="Arial" w:hAnsi="Arial" w:cs="Arial"/>
          <w:sz w:val="22"/>
          <w:szCs w:val="22"/>
        </w:rPr>
      </w:pPr>
    </w:p>
    <w:p w14:paraId="412C554B" w14:textId="77777777" w:rsidR="00D80D09" w:rsidRPr="004F647D" w:rsidRDefault="00D80D09" w:rsidP="00D80D09">
      <w:pPr>
        <w:spacing w:line="480" w:lineRule="auto"/>
        <w:jc w:val="both"/>
        <w:rPr>
          <w:rFonts w:ascii="Arial" w:hAnsi="Arial" w:cs="Arial"/>
          <w:sz w:val="22"/>
          <w:szCs w:val="22"/>
        </w:rPr>
      </w:pPr>
    </w:p>
    <w:p w14:paraId="5CD105F2" w14:textId="77777777" w:rsidR="00D80D09" w:rsidRPr="004F647D" w:rsidRDefault="00D80D09" w:rsidP="00D80D09">
      <w:pPr>
        <w:spacing w:line="480" w:lineRule="auto"/>
        <w:jc w:val="both"/>
        <w:rPr>
          <w:rFonts w:ascii="Arial" w:hAnsi="Arial" w:cs="Arial"/>
          <w:sz w:val="22"/>
          <w:szCs w:val="22"/>
        </w:rPr>
      </w:pPr>
      <w:r w:rsidRPr="004F647D">
        <w:rPr>
          <w:rFonts w:ascii="Arial" w:hAnsi="Arial" w:cs="Arial"/>
          <w:sz w:val="22"/>
          <w:szCs w:val="22"/>
        </w:rPr>
        <w:br w:type="page"/>
      </w:r>
    </w:p>
    <w:p w14:paraId="59DDFDBD" w14:textId="77777777" w:rsidR="00D80D09" w:rsidRDefault="00D80D09" w:rsidP="00D80D09">
      <w:pPr>
        <w:spacing w:line="480" w:lineRule="auto"/>
        <w:rPr>
          <w:rFonts w:ascii="Arial" w:hAnsi="Arial" w:cs="Arial"/>
          <w:sz w:val="22"/>
          <w:szCs w:val="22"/>
        </w:rPr>
      </w:pPr>
      <w:r w:rsidRPr="004F647D">
        <w:rPr>
          <w:rFonts w:ascii="Arial" w:hAnsi="Arial" w:cs="Arial"/>
          <w:noProof/>
          <w:sz w:val="22"/>
          <w:szCs w:val="22"/>
          <w:lang w:val="en-IN" w:eastAsia="en-IN"/>
        </w:rPr>
        <w:lastRenderedPageBreak/>
        <w:drawing>
          <wp:inline distT="0" distB="0" distL="0" distR="0" wp14:anchorId="25014000" wp14:editId="3C00F43A">
            <wp:extent cx="5943600" cy="3365500"/>
            <wp:effectExtent l="0" t="0" r="0" b="0"/>
            <wp:docPr id="10" name="Picture 1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3365500"/>
                    </a:xfrm>
                    <a:prstGeom prst="rect">
                      <a:avLst/>
                    </a:prstGeom>
                  </pic:spPr>
                </pic:pic>
              </a:graphicData>
            </a:graphic>
          </wp:inline>
        </w:drawing>
      </w:r>
    </w:p>
    <w:p w14:paraId="345C19EC" w14:textId="77777777" w:rsidR="00D80D09" w:rsidRPr="00081444" w:rsidRDefault="00D80D09" w:rsidP="00D80D09">
      <w:pPr>
        <w:jc w:val="both"/>
        <w:rPr>
          <w:rFonts w:ascii="Arial" w:hAnsi="Arial" w:cs="Arial"/>
          <w:sz w:val="20"/>
          <w:szCs w:val="20"/>
          <w:lang w:eastAsia="ja-JP"/>
        </w:rPr>
      </w:pPr>
      <w:r w:rsidRPr="00081444">
        <w:rPr>
          <w:rFonts w:ascii="Arial" w:hAnsi="Arial" w:cs="Arial"/>
          <w:b/>
          <w:sz w:val="20"/>
          <w:szCs w:val="20"/>
          <w:lang w:eastAsia="ja-JP"/>
        </w:rPr>
        <w:t>Supplementary Figure 2. Establishment of a GFP-lentiviral disinfection model</w:t>
      </w:r>
      <w:r w:rsidRPr="00081444">
        <w:rPr>
          <w:rFonts w:ascii="Arial" w:hAnsi="Arial" w:cs="Arial"/>
          <w:sz w:val="20"/>
          <w:szCs w:val="20"/>
          <w:lang w:eastAsia="ja-JP"/>
        </w:rPr>
        <w:t>. A) The transduction of HEK 293-T cells by GFP-lentivirus was adopted as a model of disinfection. HEK293-T GFP expression was used as a visual indication that a lentivirus particle had infected a cell. B-C) Our model was derived from a Poisson distribution in order to account for multiple infection events. D) 10-fold serial dilutions of various starting multiplicities of infection (MOI) mimicked viral reduction that could be observed in an experiment. E) The image data from the serial dilution experiment closely matched the theoretically expected result.</w:t>
      </w:r>
    </w:p>
    <w:p w14:paraId="4C5B398B" w14:textId="77777777" w:rsidR="00D80D09" w:rsidRDefault="00D80D09" w:rsidP="00D80D09">
      <w:pPr>
        <w:rPr>
          <w:rFonts w:ascii="Arial" w:hAnsi="Arial" w:cs="Arial"/>
          <w:sz w:val="22"/>
          <w:szCs w:val="22"/>
          <w:lang w:eastAsia="ja-JP"/>
        </w:rPr>
      </w:pPr>
      <w:r>
        <w:rPr>
          <w:rFonts w:ascii="Arial" w:hAnsi="Arial" w:cs="Arial"/>
          <w:sz w:val="22"/>
          <w:szCs w:val="22"/>
          <w:lang w:eastAsia="ja-JP"/>
        </w:rPr>
        <w:br w:type="page"/>
      </w:r>
    </w:p>
    <w:p w14:paraId="62BB55EC" w14:textId="77777777" w:rsidR="00D80D09" w:rsidRPr="004F647D" w:rsidRDefault="00D80D09" w:rsidP="00D80D09">
      <w:pPr>
        <w:spacing w:line="480" w:lineRule="auto"/>
        <w:rPr>
          <w:rFonts w:ascii="Arial" w:hAnsi="Arial" w:cs="Arial"/>
          <w:sz w:val="22"/>
          <w:szCs w:val="22"/>
          <w:lang w:eastAsia="ja-JP"/>
        </w:rPr>
      </w:pPr>
    </w:p>
    <w:p w14:paraId="47DC2310" w14:textId="77777777" w:rsidR="00D80D09" w:rsidRDefault="00D80D09" w:rsidP="00D80D09">
      <w:pPr>
        <w:rPr>
          <w:rFonts w:ascii="Arial" w:hAnsi="Arial" w:cs="Arial"/>
          <w:sz w:val="22"/>
          <w:szCs w:val="22"/>
        </w:rPr>
      </w:pPr>
    </w:p>
    <w:p w14:paraId="6339FEF7" w14:textId="77777777" w:rsidR="00D80D09" w:rsidRPr="004F647D" w:rsidRDefault="00D80D09" w:rsidP="00D80D09">
      <w:pPr>
        <w:spacing w:line="480" w:lineRule="auto"/>
        <w:jc w:val="both"/>
        <w:rPr>
          <w:rFonts w:ascii="Arial" w:hAnsi="Arial" w:cs="Arial"/>
          <w:sz w:val="22"/>
          <w:szCs w:val="22"/>
        </w:rPr>
      </w:pPr>
      <w:r w:rsidRPr="004F647D">
        <w:rPr>
          <w:rFonts w:ascii="Arial" w:hAnsi="Arial" w:cs="Arial"/>
          <w:noProof/>
          <w:sz w:val="22"/>
          <w:szCs w:val="22"/>
          <w:lang w:val="en-IN" w:eastAsia="en-IN"/>
        </w:rPr>
        <w:drawing>
          <wp:inline distT="0" distB="0" distL="0" distR="0" wp14:anchorId="0BA61FB4" wp14:editId="7F1AEC91">
            <wp:extent cx="5953125" cy="4718685"/>
            <wp:effectExtent l="0" t="0" r="0" b="5715"/>
            <wp:docPr id="31" name="Picture 3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84165" cy="4743289"/>
                    </a:xfrm>
                    <a:prstGeom prst="rect">
                      <a:avLst/>
                    </a:prstGeom>
                  </pic:spPr>
                </pic:pic>
              </a:graphicData>
            </a:graphic>
          </wp:inline>
        </w:drawing>
      </w:r>
    </w:p>
    <w:p w14:paraId="42F747FC" w14:textId="77777777" w:rsidR="00D80D09" w:rsidRPr="004F647D" w:rsidRDefault="00D80D09" w:rsidP="00D80D09">
      <w:pPr>
        <w:jc w:val="both"/>
        <w:rPr>
          <w:rFonts w:ascii="Arial" w:hAnsi="Arial" w:cs="Arial"/>
          <w:sz w:val="22"/>
          <w:szCs w:val="22"/>
        </w:rPr>
      </w:pPr>
      <w:r w:rsidRPr="009B4B38">
        <w:rPr>
          <w:rFonts w:ascii="Arial" w:hAnsi="Arial" w:cs="Arial"/>
          <w:b/>
          <w:sz w:val="20"/>
          <w:szCs w:val="20"/>
          <w:lang w:eastAsia="ja-JP"/>
        </w:rPr>
        <w:t>Supplementary Figure 3</w:t>
      </w:r>
      <w:r w:rsidRPr="009B4B38">
        <w:rPr>
          <w:rFonts w:ascii="Arial" w:hAnsi="Arial" w:cs="Arial"/>
          <w:sz w:val="20"/>
          <w:szCs w:val="20"/>
          <w:lang w:eastAsia="ja-JP"/>
        </w:rPr>
        <w:t xml:space="preserve">. </w:t>
      </w:r>
      <w:r w:rsidRPr="00081444">
        <w:rPr>
          <w:rFonts w:ascii="Arial" w:hAnsi="Arial" w:cs="Arial"/>
          <w:b/>
          <w:sz w:val="20"/>
          <w:szCs w:val="20"/>
          <w:lang w:eastAsia="ja-JP"/>
        </w:rPr>
        <w:t>UV exposure setup</w:t>
      </w:r>
      <w:r w:rsidRPr="00081444">
        <w:rPr>
          <w:rFonts w:ascii="Arial" w:hAnsi="Arial" w:cs="Arial"/>
          <w:sz w:val="20"/>
          <w:szCs w:val="20"/>
          <w:lang w:eastAsia="ja-JP"/>
        </w:rPr>
        <w:t xml:space="preserve">. A) An aluminum scaffold was built to elevate a UV light source over a securely held 96-well plate. The UV light source was either </w:t>
      </w:r>
      <w:proofErr w:type="spellStart"/>
      <w:r w:rsidRPr="00081444">
        <w:rPr>
          <w:rFonts w:ascii="Arial" w:hAnsi="Arial" w:cs="Arial"/>
          <w:sz w:val="20"/>
          <w:szCs w:val="20"/>
          <w:lang w:eastAsia="ja-JP"/>
        </w:rPr>
        <w:t>i</w:t>
      </w:r>
      <w:proofErr w:type="spellEnd"/>
      <w:r w:rsidRPr="00081444">
        <w:rPr>
          <w:rFonts w:ascii="Arial" w:hAnsi="Arial" w:cs="Arial"/>
          <w:sz w:val="20"/>
          <w:szCs w:val="20"/>
          <w:lang w:eastAsia="ja-JP"/>
        </w:rPr>
        <w:t xml:space="preserve">) 254 nm low-pressure mercury lamp (UVS-26, </w:t>
      </w:r>
      <w:proofErr w:type="spellStart"/>
      <w:r w:rsidRPr="00081444">
        <w:rPr>
          <w:rFonts w:ascii="Arial" w:hAnsi="Arial" w:cs="Arial"/>
          <w:sz w:val="20"/>
          <w:szCs w:val="20"/>
          <w:lang w:eastAsia="ja-JP"/>
        </w:rPr>
        <w:t>Analytik</w:t>
      </w:r>
      <w:proofErr w:type="spellEnd"/>
      <w:r w:rsidRPr="00081444">
        <w:rPr>
          <w:rFonts w:ascii="Arial" w:hAnsi="Arial" w:cs="Arial"/>
          <w:sz w:val="20"/>
          <w:szCs w:val="20"/>
          <w:lang w:eastAsia="ja-JP"/>
        </w:rPr>
        <w:t>-Jena), ii) 222 nm excimer lamp (</w:t>
      </w:r>
      <w:bookmarkStart w:id="0" w:name="_GoBack"/>
      <w:bookmarkEnd w:id="0"/>
      <w:r w:rsidRPr="00081444">
        <w:rPr>
          <w:rFonts w:ascii="Arial" w:hAnsi="Arial" w:cs="Arial"/>
          <w:sz w:val="20"/>
          <w:szCs w:val="20"/>
          <w:lang w:eastAsia="ja-JP"/>
        </w:rPr>
        <w:t>Ushio), or a prototype 265 nm LED strip (Crystal IS)</w:t>
      </w:r>
      <w:r>
        <w:rPr>
          <w:rFonts w:ascii="Arial" w:hAnsi="Arial" w:cs="Arial"/>
          <w:sz w:val="20"/>
          <w:szCs w:val="20"/>
          <w:lang w:eastAsia="ja-JP"/>
        </w:rPr>
        <w:t xml:space="preserve"> (data not shown)</w:t>
      </w:r>
      <w:r w:rsidRPr="00081444">
        <w:rPr>
          <w:rFonts w:ascii="Arial" w:hAnsi="Arial" w:cs="Arial"/>
          <w:sz w:val="20"/>
          <w:szCs w:val="20"/>
          <w:lang w:eastAsia="ja-JP"/>
        </w:rPr>
        <w:t xml:space="preserve">. B)  The 254 nm lamp required at least a 3 min warm-up time and output 2.7 </w:t>
      </w:r>
      <w:proofErr w:type="spellStart"/>
      <w:r w:rsidRPr="00081444">
        <w:rPr>
          <w:rFonts w:ascii="Arial" w:hAnsi="Arial" w:cs="Arial"/>
          <w:sz w:val="20"/>
          <w:szCs w:val="20"/>
          <w:lang w:eastAsia="ja-JP"/>
        </w:rPr>
        <w:t>mW</w:t>
      </w:r>
      <w:proofErr w:type="spellEnd"/>
      <w:r w:rsidRPr="00081444">
        <w:rPr>
          <w:rFonts w:ascii="Arial" w:hAnsi="Arial" w:cs="Arial"/>
          <w:sz w:val="20"/>
          <w:szCs w:val="20"/>
          <w:lang w:eastAsia="ja-JP"/>
        </w:rPr>
        <w:t>/cm</w:t>
      </w:r>
      <w:r w:rsidRPr="00081444">
        <w:rPr>
          <w:rFonts w:ascii="Arial" w:hAnsi="Arial" w:cs="Arial"/>
          <w:sz w:val="20"/>
          <w:szCs w:val="20"/>
          <w:vertAlign w:val="superscript"/>
          <w:lang w:eastAsia="ja-JP"/>
        </w:rPr>
        <w:t>2</w:t>
      </w:r>
      <w:r w:rsidRPr="00081444">
        <w:rPr>
          <w:rFonts w:ascii="Arial" w:hAnsi="Arial" w:cs="Arial"/>
          <w:sz w:val="20"/>
          <w:szCs w:val="20"/>
          <w:lang w:eastAsia="ja-JP"/>
        </w:rPr>
        <w:t xml:space="preserve"> at 59.5 mm. The 222 nm lamp had no warm-up time and output 0.7 </w:t>
      </w:r>
      <w:proofErr w:type="spellStart"/>
      <w:r w:rsidRPr="00081444">
        <w:rPr>
          <w:rFonts w:ascii="Arial" w:hAnsi="Arial" w:cs="Arial"/>
          <w:sz w:val="20"/>
          <w:szCs w:val="20"/>
          <w:lang w:eastAsia="ja-JP"/>
        </w:rPr>
        <w:t>mW</w:t>
      </w:r>
      <w:proofErr w:type="spellEnd"/>
      <w:r w:rsidRPr="00081444">
        <w:rPr>
          <w:rFonts w:ascii="Arial" w:hAnsi="Arial" w:cs="Arial"/>
          <w:sz w:val="20"/>
          <w:szCs w:val="20"/>
          <w:lang w:eastAsia="ja-JP"/>
        </w:rPr>
        <w:t>/cm</w:t>
      </w:r>
      <w:r w:rsidRPr="00081444">
        <w:rPr>
          <w:rFonts w:ascii="Arial" w:hAnsi="Arial" w:cs="Arial"/>
          <w:sz w:val="20"/>
          <w:szCs w:val="20"/>
          <w:vertAlign w:val="superscript"/>
          <w:lang w:eastAsia="ja-JP"/>
        </w:rPr>
        <w:t>2</w:t>
      </w:r>
      <w:r w:rsidRPr="00081444">
        <w:rPr>
          <w:rFonts w:ascii="Arial" w:hAnsi="Arial" w:cs="Arial"/>
          <w:sz w:val="20"/>
          <w:szCs w:val="20"/>
          <w:lang w:eastAsia="ja-JP"/>
        </w:rPr>
        <w:t>. Measurements were made with a UV light meter (Internation</w:t>
      </w:r>
      <w:r>
        <w:rPr>
          <w:rFonts w:ascii="Arial" w:hAnsi="Arial" w:cs="Arial"/>
          <w:sz w:val="20"/>
          <w:szCs w:val="20"/>
          <w:lang w:eastAsia="ja-JP"/>
        </w:rPr>
        <w:t>al</w:t>
      </w:r>
      <w:r w:rsidRPr="00081444">
        <w:rPr>
          <w:rFonts w:ascii="Arial" w:hAnsi="Arial" w:cs="Arial"/>
          <w:sz w:val="20"/>
          <w:szCs w:val="20"/>
          <w:lang w:eastAsia="ja-JP"/>
        </w:rPr>
        <w:t xml:space="preserve"> Light Technologies, Peabody, MA) .B) UV light sources were characterized for their stability over time and a UV irradiance map (</w:t>
      </w:r>
      <w:proofErr w:type="spellStart"/>
      <w:r w:rsidRPr="00081444">
        <w:rPr>
          <w:rFonts w:ascii="Arial" w:hAnsi="Arial" w:cs="Arial"/>
          <w:sz w:val="20"/>
          <w:szCs w:val="20"/>
          <w:lang w:eastAsia="ja-JP"/>
        </w:rPr>
        <w:t>mW</w:t>
      </w:r>
      <w:proofErr w:type="spellEnd"/>
      <w:r w:rsidRPr="00081444">
        <w:rPr>
          <w:rFonts w:ascii="Arial" w:hAnsi="Arial" w:cs="Arial"/>
          <w:sz w:val="20"/>
          <w:szCs w:val="20"/>
          <w:lang w:eastAsia="ja-JP"/>
        </w:rPr>
        <w:t>/cm</w:t>
      </w:r>
      <w:r w:rsidRPr="00081444">
        <w:rPr>
          <w:rFonts w:ascii="Arial" w:hAnsi="Arial" w:cs="Arial"/>
          <w:sz w:val="20"/>
          <w:szCs w:val="20"/>
          <w:vertAlign w:val="superscript"/>
          <w:lang w:eastAsia="ja-JP"/>
        </w:rPr>
        <w:t>2</w:t>
      </w:r>
      <w:r w:rsidRPr="00081444">
        <w:rPr>
          <w:rFonts w:ascii="Arial" w:hAnsi="Arial" w:cs="Arial"/>
          <w:sz w:val="20"/>
          <w:szCs w:val="20"/>
          <w:lang w:eastAsia="ja-JP"/>
        </w:rPr>
        <w:t>) were generated for the 96-well hold space. C) Viral suspensions or fomites (such as N95-well respirator mask c</w:t>
      </w:r>
      <w:r>
        <w:rPr>
          <w:rFonts w:ascii="Arial" w:hAnsi="Arial" w:cs="Arial"/>
          <w:sz w:val="20"/>
          <w:szCs w:val="20"/>
          <w:lang w:eastAsia="ja-JP"/>
        </w:rPr>
        <w:t>ut-out samples</w:t>
      </w:r>
      <w:r w:rsidRPr="00081444">
        <w:rPr>
          <w:rFonts w:ascii="Arial" w:hAnsi="Arial" w:cs="Arial"/>
          <w:sz w:val="20"/>
          <w:szCs w:val="20"/>
          <w:lang w:eastAsia="ja-JP"/>
        </w:rPr>
        <w:t xml:space="preserve"> contaminated with viral suspensions) were placed into the wells of a 96-well plate for UV exposure. The UV meter was used to determine irradiance spatial distribution at various height settings for the exposure setup. Full spatial maps were created from data interpolation/extrapolation at a height of 3 cm away. D) Data interpolation/extrapolation. Measurements were made using a ILT2400 with a SED220/W calibrated sensor (International Light Technologies, MA). The exposure area was broken up into 36 evenly spaced grid point. Points needed to be interpolated/extrapolated for well irradiance calculations, which fell outside of the measured grid points. MATLAB’s </w:t>
      </w:r>
      <w:proofErr w:type="spellStart"/>
      <w:r w:rsidRPr="00081444">
        <w:rPr>
          <w:rFonts w:ascii="Arial" w:hAnsi="Arial" w:cs="Arial"/>
          <w:sz w:val="20"/>
          <w:szCs w:val="20"/>
          <w:lang w:eastAsia="ja-JP"/>
        </w:rPr>
        <w:t>griddedInterpolant</w:t>
      </w:r>
      <w:proofErr w:type="spellEnd"/>
      <w:r w:rsidRPr="00081444">
        <w:rPr>
          <w:rFonts w:ascii="Arial" w:hAnsi="Arial" w:cs="Arial"/>
          <w:sz w:val="20"/>
          <w:szCs w:val="20"/>
          <w:lang w:eastAsia="ja-JP"/>
        </w:rPr>
        <w:t xml:space="preserve"> function was used for this purpose. A cubic interpolator and linear extrapolator were used for all UV light sources.</w:t>
      </w:r>
    </w:p>
    <w:p w14:paraId="367B8E5B" w14:textId="77777777" w:rsidR="00916982" w:rsidRDefault="00B92892"/>
    <w:sectPr w:rsidR="00916982" w:rsidSect="003754F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DE189" w14:textId="77777777" w:rsidR="004A7C83" w:rsidRDefault="004A7C83">
      <w:r>
        <w:separator/>
      </w:r>
    </w:p>
  </w:endnote>
  <w:endnote w:type="continuationSeparator" w:id="0">
    <w:p w14:paraId="34926802" w14:textId="77777777" w:rsidR="004A7C83" w:rsidRDefault="004A7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196698"/>
      <w:docPartObj>
        <w:docPartGallery w:val="Page Numbers (Bottom of Page)"/>
        <w:docPartUnique/>
      </w:docPartObj>
    </w:sdtPr>
    <w:sdtEndPr>
      <w:rPr>
        <w:noProof/>
      </w:rPr>
    </w:sdtEndPr>
    <w:sdtContent>
      <w:p w14:paraId="46F26F03" w14:textId="77777777" w:rsidR="00795DA7" w:rsidRDefault="00D80D09">
        <w:pPr>
          <w:pStyle w:val="Footer"/>
          <w:jc w:val="center"/>
        </w:pPr>
        <w:r>
          <w:fldChar w:fldCharType="begin"/>
        </w:r>
        <w:r>
          <w:instrText xml:space="preserve"> PAGE   \* MERGEFORMAT </w:instrText>
        </w:r>
        <w:r>
          <w:fldChar w:fldCharType="separate"/>
        </w:r>
        <w:r w:rsidR="00B92892">
          <w:rPr>
            <w:noProof/>
          </w:rPr>
          <w:t>3</w:t>
        </w:r>
        <w:r>
          <w:rPr>
            <w:noProof/>
          </w:rPr>
          <w:fldChar w:fldCharType="end"/>
        </w:r>
      </w:p>
    </w:sdtContent>
  </w:sdt>
  <w:p w14:paraId="5D999523" w14:textId="77777777" w:rsidR="00795DA7" w:rsidRDefault="00B928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2861E" w14:textId="77777777" w:rsidR="004A7C83" w:rsidRDefault="004A7C83">
      <w:r>
        <w:separator/>
      </w:r>
    </w:p>
  </w:footnote>
  <w:footnote w:type="continuationSeparator" w:id="0">
    <w:p w14:paraId="4AD911F6" w14:textId="77777777" w:rsidR="004A7C83" w:rsidRDefault="004A7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D09"/>
    <w:rsid w:val="001306B2"/>
    <w:rsid w:val="003754F4"/>
    <w:rsid w:val="004A7C83"/>
    <w:rsid w:val="008339CC"/>
    <w:rsid w:val="00B92892"/>
    <w:rsid w:val="00D80D09"/>
    <w:rsid w:val="00F06A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0D54B"/>
  <w15:chartTrackingRefBased/>
  <w15:docId w15:val="{3B17F6FF-7E9A-7146-BB42-28D5EA72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D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80D09"/>
    <w:pPr>
      <w:tabs>
        <w:tab w:val="center" w:pos="4680"/>
        <w:tab w:val="right" w:pos="9360"/>
      </w:tabs>
    </w:pPr>
  </w:style>
  <w:style w:type="character" w:customStyle="1" w:styleId="FooterChar">
    <w:name w:val="Footer Char"/>
    <w:basedOn w:val="DefaultParagraphFont"/>
    <w:link w:val="Footer"/>
    <w:uiPriority w:val="99"/>
    <w:rsid w:val="00D80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Freeman</dc:creator>
  <cp:keywords/>
  <dc:description/>
  <cp:lastModifiedBy>Saravanan R.</cp:lastModifiedBy>
  <cp:revision>3</cp:revision>
  <dcterms:created xsi:type="dcterms:W3CDTF">2021-09-24T22:57:00Z</dcterms:created>
  <dcterms:modified xsi:type="dcterms:W3CDTF">2022-03-31T08:40:00Z</dcterms:modified>
</cp:coreProperties>
</file>