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86F15" w14:textId="77777777" w:rsidR="00467A13" w:rsidRPr="00643A3D" w:rsidRDefault="00467A13" w:rsidP="00467A13">
      <w:pPr>
        <w:jc w:val="center"/>
        <w:rPr>
          <w:rFonts w:ascii="Times New Roman" w:hAnsi="Times New Roman" w:cs="Times New Roman"/>
          <w:b/>
          <w:sz w:val="24"/>
          <w:szCs w:val="36"/>
          <w:u w:val="single"/>
          <w:lang w:val="en-US"/>
        </w:rPr>
      </w:pPr>
      <w:r w:rsidRPr="00643A3D">
        <w:rPr>
          <w:rFonts w:ascii="Times New Roman" w:hAnsi="Times New Roman" w:cs="Times New Roman"/>
          <w:b/>
          <w:sz w:val="24"/>
          <w:szCs w:val="36"/>
          <w:u w:val="single"/>
          <w:lang w:val="en-US"/>
        </w:rPr>
        <w:t>Supplementary Appendix</w:t>
      </w:r>
    </w:p>
    <w:p w14:paraId="4EDA4AD3" w14:textId="77777777" w:rsidR="00467A13" w:rsidRPr="00643A3D" w:rsidRDefault="00467A13">
      <w:pPr>
        <w:rPr>
          <w:lang w:val="en-US"/>
        </w:rPr>
      </w:pPr>
    </w:p>
    <w:p w14:paraId="01DF38A6" w14:textId="0DC5BB57" w:rsidR="00B2728F" w:rsidRPr="00643A3D" w:rsidRDefault="00B2728F" w:rsidP="00B2728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643A3D">
        <w:rPr>
          <w:rFonts w:ascii="Times New Roman" w:hAnsi="Times New Roman" w:cs="Times New Roman"/>
          <w:b/>
          <w:u w:val="single"/>
          <w:lang w:val="en-US"/>
        </w:rPr>
        <w:t>Supplementary Table 1:</w:t>
      </w:r>
      <w:r w:rsidRPr="00643A3D">
        <w:rPr>
          <w:rFonts w:ascii="Times New Roman" w:hAnsi="Times New Roman" w:cs="Times New Roman"/>
          <w:lang w:val="en-US"/>
        </w:rPr>
        <w:t xml:space="preserve"> </w:t>
      </w:r>
      <w:r w:rsidRPr="00643A3D">
        <w:rPr>
          <w:rFonts w:ascii="Times New Roman" w:hAnsi="Times New Roman" w:cs="Times New Roman"/>
          <w:lang w:val="en-GB"/>
        </w:rPr>
        <w:t>Association between variables and 1-ye</w:t>
      </w:r>
      <w:bookmarkStart w:id="0" w:name="_GoBack"/>
      <w:bookmarkEnd w:id="0"/>
      <w:r w:rsidRPr="00643A3D">
        <w:rPr>
          <w:rFonts w:ascii="Times New Roman" w:hAnsi="Times New Roman" w:cs="Times New Roman"/>
          <w:lang w:val="en-GB"/>
        </w:rPr>
        <w:t>ar mortality in femoral TAVR patients (n=346).</w:t>
      </w:r>
    </w:p>
    <w:p w14:paraId="6B8CECE7" w14:textId="77777777" w:rsidR="00B2728F" w:rsidRPr="00643A3D" w:rsidRDefault="00B2728F" w:rsidP="00B2728F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18694765" w14:textId="77777777" w:rsidR="00B2728F" w:rsidRPr="00643A3D" w:rsidRDefault="00B2728F" w:rsidP="00B2728F">
      <w:pPr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Style w:val="Tableausimple21"/>
        <w:tblW w:w="10598" w:type="dxa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851"/>
        <w:gridCol w:w="1577"/>
        <w:gridCol w:w="974"/>
        <w:gridCol w:w="2126"/>
        <w:gridCol w:w="851"/>
      </w:tblGrid>
      <w:tr w:rsidR="00B2728F" w:rsidRPr="00643A3D" w14:paraId="01D2673B" w14:textId="77777777" w:rsidTr="00FE37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12" w:space="0" w:color="auto"/>
              <w:bottom w:val="nil"/>
            </w:tcBorders>
          </w:tcPr>
          <w:p w14:paraId="19E4A045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72E541D8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Unadjusted analysis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</w:tcPr>
          <w:p w14:paraId="601BDFF2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  <w:tc>
          <w:tcPr>
            <w:tcW w:w="1577" w:type="dxa"/>
            <w:tcBorders>
              <w:top w:val="single" w:sz="12" w:space="0" w:color="auto"/>
              <w:bottom w:val="nil"/>
            </w:tcBorders>
          </w:tcPr>
          <w:p w14:paraId="286B3715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Adjusted analysis</w:t>
            </w:r>
          </w:p>
        </w:tc>
        <w:tc>
          <w:tcPr>
            <w:tcW w:w="974" w:type="dxa"/>
            <w:tcBorders>
              <w:top w:val="single" w:sz="12" w:space="0" w:color="auto"/>
              <w:bottom w:val="nil"/>
            </w:tcBorders>
          </w:tcPr>
          <w:p w14:paraId="342CF73F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nil"/>
            </w:tcBorders>
          </w:tcPr>
          <w:p w14:paraId="3C1604D4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Sensitivity analysis I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</w:tcPr>
          <w:p w14:paraId="33C403CC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</w:tr>
      <w:tr w:rsidR="00B2728F" w:rsidRPr="00643A3D" w14:paraId="41CB0212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single" w:sz="12" w:space="0" w:color="auto"/>
            </w:tcBorders>
          </w:tcPr>
          <w:p w14:paraId="7FCEE5CC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14:paraId="3F52B920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  <w:t>HR [CI 95%]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</w:tcPr>
          <w:p w14:paraId="6394CE53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  <w:t>p</w:t>
            </w:r>
          </w:p>
        </w:tc>
        <w:tc>
          <w:tcPr>
            <w:tcW w:w="1577" w:type="dxa"/>
            <w:tcBorders>
              <w:top w:val="nil"/>
              <w:bottom w:val="single" w:sz="12" w:space="0" w:color="auto"/>
            </w:tcBorders>
          </w:tcPr>
          <w:p w14:paraId="5EBC2DDA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  <w:t>HR [CI 95%]</w:t>
            </w:r>
          </w:p>
        </w:tc>
        <w:tc>
          <w:tcPr>
            <w:tcW w:w="974" w:type="dxa"/>
            <w:tcBorders>
              <w:top w:val="nil"/>
              <w:bottom w:val="single" w:sz="12" w:space="0" w:color="auto"/>
            </w:tcBorders>
          </w:tcPr>
          <w:p w14:paraId="7437ED0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  <w:t>p</w:t>
            </w:r>
          </w:p>
        </w:tc>
        <w:tc>
          <w:tcPr>
            <w:tcW w:w="2126" w:type="dxa"/>
            <w:tcBorders>
              <w:top w:val="nil"/>
              <w:bottom w:val="single" w:sz="12" w:space="0" w:color="auto"/>
            </w:tcBorders>
          </w:tcPr>
          <w:p w14:paraId="208CB71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  <w:t>HR [CI 95%]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</w:tcPr>
          <w:p w14:paraId="51584139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fr-FR"/>
              </w:rPr>
              <w:t>p</w:t>
            </w:r>
          </w:p>
        </w:tc>
      </w:tr>
      <w:tr w:rsidR="00B2728F" w:rsidRPr="00643A3D" w14:paraId="403B260E" w14:textId="77777777" w:rsidTr="00FE370F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12" w:space="0" w:color="auto"/>
            </w:tcBorders>
          </w:tcPr>
          <w:p w14:paraId="241B48A1" w14:textId="77777777" w:rsidR="00B2728F" w:rsidRPr="00643A3D" w:rsidRDefault="00B2728F" w:rsidP="00B2728F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Wait time *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45BE0508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1.02 [1.003-1.05]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25D3D4C1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0.02</w:t>
            </w:r>
          </w:p>
        </w:tc>
        <w:tc>
          <w:tcPr>
            <w:tcW w:w="1577" w:type="dxa"/>
            <w:tcBorders>
              <w:top w:val="single" w:sz="12" w:space="0" w:color="auto"/>
            </w:tcBorders>
          </w:tcPr>
          <w:p w14:paraId="4A95C994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1.02 [1.003-1.05]</w:t>
            </w:r>
          </w:p>
        </w:tc>
        <w:tc>
          <w:tcPr>
            <w:tcW w:w="974" w:type="dxa"/>
            <w:tcBorders>
              <w:top w:val="single" w:sz="12" w:space="0" w:color="auto"/>
            </w:tcBorders>
          </w:tcPr>
          <w:p w14:paraId="6F6307F5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0.01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45353000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1.02 [1.001-1.05]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247F3C5B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0.04</w:t>
            </w:r>
          </w:p>
        </w:tc>
      </w:tr>
      <w:tr w:rsidR="00B2728F" w:rsidRPr="00643A3D" w14:paraId="3DF56227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E2BBD0D" w14:textId="77777777" w:rsidR="00B2728F" w:rsidRPr="00643A3D" w:rsidRDefault="00B2728F" w:rsidP="00B2728F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Chronic kidney disease</w:t>
            </w:r>
          </w:p>
        </w:tc>
        <w:tc>
          <w:tcPr>
            <w:tcW w:w="1843" w:type="dxa"/>
          </w:tcPr>
          <w:p w14:paraId="5F00659A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2.8 [1.6 – 5.1]</w:t>
            </w:r>
          </w:p>
        </w:tc>
        <w:tc>
          <w:tcPr>
            <w:tcW w:w="851" w:type="dxa"/>
          </w:tcPr>
          <w:p w14:paraId="2D46A288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&lt;0.01</w:t>
            </w:r>
          </w:p>
        </w:tc>
        <w:tc>
          <w:tcPr>
            <w:tcW w:w="1577" w:type="dxa"/>
          </w:tcPr>
          <w:p w14:paraId="09D6103B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3.2 [1.75-6.1]</w:t>
            </w:r>
          </w:p>
        </w:tc>
        <w:tc>
          <w:tcPr>
            <w:tcW w:w="974" w:type="dxa"/>
          </w:tcPr>
          <w:p w14:paraId="74394C38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&lt;0.01</w:t>
            </w:r>
          </w:p>
        </w:tc>
        <w:tc>
          <w:tcPr>
            <w:tcW w:w="2126" w:type="dxa"/>
          </w:tcPr>
          <w:p w14:paraId="552E07AA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3.5 [1.7-5.9]</w:t>
            </w:r>
          </w:p>
        </w:tc>
        <w:tc>
          <w:tcPr>
            <w:tcW w:w="851" w:type="dxa"/>
          </w:tcPr>
          <w:p w14:paraId="61E8E065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&lt;0.01</w:t>
            </w:r>
          </w:p>
        </w:tc>
      </w:tr>
      <w:tr w:rsidR="00B2728F" w:rsidRPr="00643A3D" w14:paraId="203272B0" w14:textId="77777777" w:rsidTr="00FE370F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9C33562" w14:textId="77777777" w:rsidR="00B2728F" w:rsidRPr="00643A3D" w:rsidRDefault="00B2728F" w:rsidP="00B2728F">
            <w:pPr>
              <w:jc w:val="left"/>
              <w:rPr>
                <w:rFonts w:ascii="Times New Roman" w:eastAsia="Times New Roman" w:hAnsi="Times New Roman" w:cs="Times New Roman"/>
                <w:bCs w:val="0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bCs w:val="0"/>
                <w:sz w:val="18"/>
                <w:szCs w:val="18"/>
                <w:lang w:val="en-US" w:eastAsia="fr-FR"/>
              </w:rPr>
              <w:t>LVEF ≤30%</w:t>
            </w:r>
          </w:p>
        </w:tc>
        <w:tc>
          <w:tcPr>
            <w:tcW w:w="1843" w:type="dxa"/>
          </w:tcPr>
          <w:p w14:paraId="20E3A175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5.8 [1.61-17.3]</w:t>
            </w:r>
          </w:p>
        </w:tc>
        <w:tc>
          <w:tcPr>
            <w:tcW w:w="851" w:type="dxa"/>
          </w:tcPr>
          <w:p w14:paraId="57B5C976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&lt;0.01</w:t>
            </w:r>
          </w:p>
        </w:tc>
        <w:tc>
          <w:tcPr>
            <w:tcW w:w="1577" w:type="dxa"/>
          </w:tcPr>
          <w:p w14:paraId="73FEAA67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10.54 [3.80-36]</w:t>
            </w:r>
          </w:p>
        </w:tc>
        <w:tc>
          <w:tcPr>
            <w:tcW w:w="974" w:type="dxa"/>
          </w:tcPr>
          <w:p w14:paraId="0BDC18E6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&lt;0.01</w:t>
            </w:r>
          </w:p>
        </w:tc>
        <w:tc>
          <w:tcPr>
            <w:tcW w:w="2126" w:type="dxa"/>
          </w:tcPr>
          <w:p w14:paraId="15B3DD30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9.5 [2.22-32.3]</w:t>
            </w:r>
          </w:p>
        </w:tc>
        <w:tc>
          <w:tcPr>
            <w:tcW w:w="851" w:type="dxa"/>
          </w:tcPr>
          <w:p w14:paraId="303945AB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&lt;0.01</w:t>
            </w:r>
          </w:p>
        </w:tc>
      </w:tr>
      <w:tr w:rsidR="00B2728F" w:rsidRPr="00643A3D" w14:paraId="1706E2A4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12" w:space="0" w:color="000000" w:themeColor="text1"/>
            </w:tcBorders>
          </w:tcPr>
          <w:p w14:paraId="4A667AF1" w14:textId="77777777" w:rsidR="00B2728F" w:rsidRPr="00643A3D" w:rsidRDefault="00B2728F" w:rsidP="00B2728F">
            <w:pPr>
              <w:jc w:val="left"/>
              <w:rPr>
                <w:rFonts w:ascii="Times New Roman" w:eastAsia="Times New Roman" w:hAnsi="Times New Roman" w:cs="Times New Roman"/>
                <w:bCs w:val="0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bCs w:val="0"/>
                <w:sz w:val="18"/>
                <w:szCs w:val="18"/>
                <w:lang w:val="en-US" w:eastAsia="fr-FR"/>
              </w:rPr>
              <w:t>Right ventricular failure</w:t>
            </w:r>
          </w:p>
        </w:tc>
        <w:tc>
          <w:tcPr>
            <w:tcW w:w="1843" w:type="dxa"/>
            <w:tcBorders>
              <w:bottom w:val="single" w:sz="12" w:space="0" w:color="000000" w:themeColor="text1"/>
            </w:tcBorders>
          </w:tcPr>
          <w:p w14:paraId="58874172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2.1 [1.01-4]</w:t>
            </w:r>
          </w:p>
        </w:tc>
        <w:tc>
          <w:tcPr>
            <w:tcW w:w="851" w:type="dxa"/>
            <w:tcBorders>
              <w:bottom w:val="single" w:sz="12" w:space="0" w:color="000000" w:themeColor="text1"/>
            </w:tcBorders>
          </w:tcPr>
          <w:p w14:paraId="57E6A0B5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0.03</w:t>
            </w:r>
          </w:p>
        </w:tc>
        <w:tc>
          <w:tcPr>
            <w:tcW w:w="1577" w:type="dxa"/>
            <w:tcBorders>
              <w:bottom w:val="single" w:sz="12" w:space="0" w:color="000000" w:themeColor="text1"/>
            </w:tcBorders>
          </w:tcPr>
          <w:p w14:paraId="45B027FB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1.78 [0.85-3.6]</w:t>
            </w:r>
          </w:p>
        </w:tc>
        <w:tc>
          <w:tcPr>
            <w:tcW w:w="974" w:type="dxa"/>
            <w:tcBorders>
              <w:bottom w:val="single" w:sz="12" w:space="0" w:color="000000" w:themeColor="text1"/>
            </w:tcBorders>
          </w:tcPr>
          <w:p w14:paraId="11FA9510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0.13</w:t>
            </w:r>
          </w:p>
        </w:tc>
        <w:tc>
          <w:tcPr>
            <w:tcW w:w="2126" w:type="dxa"/>
            <w:tcBorders>
              <w:bottom w:val="single" w:sz="12" w:space="0" w:color="000000" w:themeColor="text1"/>
            </w:tcBorders>
          </w:tcPr>
          <w:p w14:paraId="55354839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1.04 [0.48-2.27]</w:t>
            </w:r>
          </w:p>
        </w:tc>
        <w:tc>
          <w:tcPr>
            <w:tcW w:w="851" w:type="dxa"/>
            <w:tcBorders>
              <w:bottom w:val="single" w:sz="12" w:space="0" w:color="000000" w:themeColor="text1"/>
            </w:tcBorders>
          </w:tcPr>
          <w:p w14:paraId="7820A27F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  <w:t>0.93</w:t>
            </w:r>
          </w:p>
        </w:tc>
      </w:tr>
      <w:tr w:rsidR="00B2728F" w:rsidRPr="00643A3D" w14:paraId="4A5C059E" w14:textId="77777777" w:rsidTr="00FE370F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  <w:gridSpan w:val="7"/>
            <w:tcBorders>
              <w:top w:val="single" w:sz="12" w:space="0" w:color="000000" w:themeColor="text1"/>
              <w:bottom w:val="nil"/>
            </w:tcBorders>
          </w:tcPr>
          <w:p w14:paraId="7E3174D5" w14:textId="77777777" w:rsidR="00B2728F" w:rsidRPr="00643A3D" w:rsidRDefault="00B2728F" w:rsidP="00B2728F">
            <w:pP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val="en-US" w:eastAsia="fr-FR"/>
              </w:rPr>
            </w:pPr>
            <w:r w:rsidRPr="00643A3D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val="en-US" w:eastAsia="fr-FR"/>
              </w:rPr>
              <w:t>CI=Confidence Interval; HR= Hazard Ratio; LVEF=Left ventricular ejection fraction; STS=Society for thoracic surgeons; TAVR=Transcatheter Aortic Valve Replacement</w:t>
            </w:r>
          </w:p>
        </w:tc>
      </w:tr>
    </w:tbl>
    <w:p w14:paraId="47504A27" w14:textId="77777777" w:rsidR="00B2728F" w:rsidRPr="00643A3D" w:rsidRDefault="00B2728F" w:rsidP="00B2728F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</w:p>
    <w:p w14:paraId="4FB071AF" w14:textId="77777777" w:rsidR="00712F5A" w:rsidRPr="00643A3D" w:rsidRDefault="00712F5A" w:rsidP="00B2728F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</w:p>
    <w:p w14:paraId="3F061BD8" w14:textId="77777777" w:rsidR="00712F5A" w:rsidRPr="00643A3D" w:rsidRDefault="00712F5A" w:rsidP="00B2728F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</w:p>
    <w:p w14:paraId="6E398625" w14:textId="2D505369" w:rsidR="00B2728F" w:rsidRPr="00643A3D" w:rsidRDefault="003943BF" w:rsidP="00B2728F">
      <w:pPr>
        <w:spacing w:after="0" w:line="240" w:lineRule="auto"/>
        <w:rPr>
          <w:rFonts w:ascii="Times New Roman" w:hAnsi="Times New Roman" w:cs="Times New Roman"/>
          <w:szCs w:val="20"/>
          <w:lang w:val="en-US"/>
        </w:rPr>
      </w:pPr>
      <w:r w:rsidRPr="00643A3D">
        <w:rPr>
          <w:rFonts w:ascii="Times New Roman" w:hAnsi="Times New Roman" w:cs="Times New Roman"/>
          <w:szCs w:val="20"/>
          <w:lang w:val="en-US"/>
        </w:rPr>
        <w:t>Only variables signifi</w:t>
      </w:r>
      <w:r w:rsidR="003756F5" w:rsidRPr="00643A3D">
        <w:rPr>
          <w:rFonts w:ascii="Times New Roman" w:hAnsi="Times New Roman" w:cs="Times New Roman"/>
          <w:szCs w:val="20"/>
          <w:lang w:val="en-US"/>
        </w:rPr>
        <w:t xml:space="preserve">cantly different between groups </w:t>
      </w:r>
      <w:r w:rsidRPr="00643A3D">
        <w:rPr>
          <w:rFonts w:ascii="Times New Roman" w:hAnsi="Times New Roman" w:cs="Times New Roman"/>
          <w:szCs w:val="20"/>
          <w:lang w:val="en-US"/>
        </w:rPr>
        <w:t>are depicted in the table</w:t>
      </w:r>
    </w:p>
    <w:p w14:paraId="2FDC1A53" w14:textId="08808791" w:rsidR="00B2728F" w:rsidRPr="00643A3D" w:rsidRDefault="00B2728F" w:rsidP="00B2728F">
      <w:pPr>
        <w:spacing w:after="0" w:line="240" w:lineRule="auto"/>
        <w:rPr>
          <w:rFonts w:ascii="Times New Roman" w:hAnsi="Times New Roman" w:cs="Times New Roman"/>
          <w:bCs/>
          <w:szCs w:val="20"/>
          <w:lang w:val="en-US"/>
        </w:rPr>
      </w:pPr>
      <w:r w:rsidRPr="00643A3D">
        <w:rPr>
          <w:rFonts w:ascii="Times New Roman" w:hAnsi="Times New Roman" w:cs="Times New Roman"/>
          <w:bCs/>
          <w:szCs w:val="20"/>
          <w:lang w:val="en-US"/>
        </w:rPr>
        <w:t>* Wait time considered as continuous variable (per week) except for sensitivity analysis I</w:t>
      </w:r>
      <w:r w:rsidR="003943BF" w:rsidRPr="00643A3D">
        <w:rPr>
          <w:lang w:val="en-US"/>
        </w:rPr>
        <w:t xml:space="preserve"> </w:t>
      </w:r>
      <w:r w:rsidR="003943BF" w:rsidRPr="00643A3D">
        <w:rPr>
          <w:rFonts w:ascii="Times New Roman" w:hAnsi="Times New Roman" w:cs="Times New Roman"/>
          <w:bCs/>
          <w:szCs w:val="20"/>
          <w:lang w:val="en-US"/>
        </w:rPr>
        <w:t>where it was ≤ versus &gt; 12weeks</w:t>
      </w:r>
    </w:p>
    <w:p w14:paraId="29EAB6C0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43A3D">
        <w:rPr>
          <w:rFonts w:ascii="Times New Roman" w:hAnsi="Times New Roman" w:cs="Times New Roman"/>
          <w:b/>
          <w:u w:val="single"/>
          <w:lang w:val="en-US"/>
        </w:rPr>
        <w:t>Adjusted analysis:</w:t>
      </w:r>
      <w:r w:rsidRPr="00643A3D">
        <w:rPr>
          <w:rFonts w:ascii="Times New Roman" w:hAnsi="Times New Roman" w:cs="Times New Roman"/>
          <w:lang w:val="en-US"/>
        </w:rPr>
        <w:t xml:space="preserve"> Adjustment on age, sex, body mass index, STS score, diabetes, chronic kidney disease and severe left ventricular systolic dysfunction (LVEF≤30%).</w:t>
      </w:r>
    </w:p>
    <w:p w14:paraId="2C719A00" w14:textId="4094CFCF" w:rsidR="00B2728F" w:rsidRPr="00643A3D" w:rsidRDefault="00B2728F" w:rsidP="00B2728F">
      <w:pPr>
        <w:spacing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643A3D">
        <w:rPr>
          <w:rFonts w:ascii="Times New Roman" w:hAnsi="Times New Roman" w:cs="Times New Roman"/>
          <w:b/>
          <w:szCs w:val="18"/>
          <w:u w:val="single"/>
          <w:lang w:val="en-US"/>
        </w:rPr>
        <w:t>Sensitivity analysis I:</w:t>
      </w:r>
      <w:r w:rsidRPr="00643A3D">
        <w:rPr>
          <w:rFonts w:ascii="Times New Roman" w:hAnsi="Times New Roman" w:cs="Times New Roman"/>
          <w:bCs/>
          <w:szCs w:val="18"/>
          <w:lang w:val="en-US"/>
        </w:rPr>
        <w:t xml:space="preserve"> Adjustment on all variables differently distributed between the 2 groups alive or dead </w:t>
      </w:r>
      <w:r w:rsidR="003943BF" w:rsidRPr="00643A3D">
        <w:rPr>
          <w:rFonts w:ascii="Times New Roman" w:hAnsi="Times New Roman" w:cs="Times New Roman"/>
          <w:bCs/>
          <w:szCs w:val="18"/>
          <w:lang w:val="en-US"/>
        </w:rPr>
        <w:t xml:space="preserve">(table 1) </w:t>
      </w:r>
      <w:r w:rsidRPr="00643A3D">
        <w:rPr>
          <w:rFonts w:ascii="Times New Roman" w:hAnsi="Times New Roman" w:cs="Times New Roman"/>
          <w:bCs/>
          <w:szCs w:val="18"/>
          <w:lang w:val="en-US"/>
        </w:rPr>
        <w:t>and considering wait time as a categorical variable (≤ or &gt; 12 weeks).</w:t>
      </w:r>
    </w:p>
    <w:p w14:paraId="27756475" w14:textId="60C8BC08" w:rsidR="00467A13" w:rsidRPr="00643A3D" w:rsidRDefault="00467A13">
      <w:pPr>
        <w:rPr>
          <w:lang w:val="en-US"/>
        </w:rPr>
      </w:pPr>
    </w:p>
    <w:p w14:paraId="0DB3D697" w14:textId="77777777" w:rsidR="005B61C8" w:rsidRPr="00643A3D" w:rsidRDefault="005B61C8">
      <w:pPr>
        <w:rPr>
          <w:lang w:val="en-US"/>
        </w:rPr>
      </w:pPr>
    </w:p>
    <w:p w14:paraId="67B1CBE0" w14:textId="77777777" w:rsidR="005B61C8" w:rsidRPr="00643A3D" w:rsidRDefault="005B61C8">
      <w:pPr>
        <w:rPr>
          <w:lang w:val="en-US"/>
        </w:rPr>
      </w:pPr>
    </w:p>
    <w:p w14:paraId="19346302" w14:textId="77777777" w:rsidR="006E3190" w:rsidRPr="00643A3D" w:rsidRDefault="006E3190">
      <w:pPr>
        <w:rPr>
          <w:lang w:val="en-US"/>
        </w:rPr>
      </w:pPr>
    </w:p>
    <w:p w14:paraId="58F3DD1B" w14:textId="766D1CE3" w:rsidR="00B2728F" w:rsidRPr="00643A3D" w:rsidRDefault="00B2728F" w:rsidP="00B2728F">
      <w:pPr>
        <w:spacing w:after="240" w:line="240" w:lineRule="auto"/>
        <w:rPr>
          <w:rFonts w:ascii="Times New Roman" w:hAnsi="Times New Roman" w:cs="Times New Roman"/>
          <w:lang w:val="en-US"/>
        </w:rPr>
      </w:pPr>
      <w:r w:rsidRPr="00643A3D">
        <w:rPr>
          <w:rFonts w:ascii="Times New Roman" w:hAnsi="Times New Roman" w:cs="Times New Roman"/>
          <w:b/>
          <w:u w:val="single"/>
          <w:lang w:val="en-US"/>
        </w:rPr>
        <w:t>Supplementary Table 2:</w:t>
      </w:r>
      <w:r w:rsidRPr="00643A3D">
        <w:rPr>
          <w:rFonts w:ascii="Times New Roman" w:hAnsi="Times New Roman" w:cs="Times New Roman"/>
          <w:lang w:val="en-US"/>
        </w:rPr>
        <w:t xml:space="preserve"> </w:t>
      </w:r>
      <w:r w:rsidRPr="00643A3D">
        <w:rPr>
          <w:rFonts w:ascii="Times New Roman" w:hAnsi="Times New Roman" w:cs="Times New Roman"/>
          <w:lang w:val="en-GB"/>
        </w:rPr>
        <w:t>Association between wait time and outcomes in femoral TAVR patients.</w:t>
      </w:r>
    </w:p>
    <w:tbl>
      <w:tblPr>
        <w:tblStyle w:val="Tableausimple21"/>
        <w:tblpPr w:leftFromText="141" w:rightFromText="141" w:vertAnchor="text" w:horzAnchor="margin" w:tblpY="108"/>
        <w:tblW w:w="12354" w:type="dxa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43"/>
        <w:gridCol w:w="1075"/>
        <w:gridCol w:w="2233"/>
        <w:gridCol w:w="565"/>
        <w:gridCol w:w="2228"/>
        <w:gridCol w:w="496"/>
        <w:gridCol w:w="2318"/>
        <w:gridCol w:w="496"/>
      </w:tblGrid>
      <w:tr w:rsidR="00B2728F" w:rsidRPr="00643A3D" w14:paraId="4C7D076B" w14:textId="77777777" w:rsidTr="00FE37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76311F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Outcomes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4743B6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patients</w:t>
            </w:r>
          </w:p>
          <w:p w14:paraId="43FD619A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(n=346)</w:t>
            </w:r>
          </w:p>
        </w:tc>
        <w:tc>
          <w:tcPr>
            <w:tcW w:w="22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962B88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Unadjusted analysis</w:t>
            </w:r>
          </w:p>
        </w:tc>
        <w:tc>
          <w:tcPr>
            <w:tcW w:w="5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10F167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2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09AC9A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Adjusted analysis</w:t>
            </w: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2F3B8F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0C857C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Sensitivity analysis I</w:t>
            </w: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69CA27" w14:textId="77777777" w:rsidR="00B2728F" w:rsidRPr="00643A3D" w:rsidRDefault="00B2728F" w:rsidP="00B272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2728F" w:rsidRPr="00643A3D" w14:paraId="0D81B9D0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92781F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173ED0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D18DA5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HR [CI 95%]</w:t>
            </w:r>
          </w:p>
        </w:tc>
        <w:tc>
          <w:tcPr>
            <w:tcW w:w="5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33FC36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5F7478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HR [CI 95%]</w:t>
            </w:r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03D2B1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B6CBDB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HR [CI 95%]</w:t>
            </w:r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B77EA2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</w:t>
            </w:r>
          </w:p>
        </w:tc>
      </w:tr>
      <w:tr w:rsidR="00B2728F" w:rsidRPr="00643A3D" w14:paraId="57978033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top w:val="single" w:sz="12" w:space="0" w:color="auto"/>
              <w:left w:val="nil"/>
              <w:right w:val="nil"/>
            </w:tcBorders>
          </w:tcPr>
          <w:p w14:paraId="44C21370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All-cause Death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right w:val="nil"/>
            </w:tcBorders>
          </w:tcPr>
          <w:p w14:paraId="64709656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33" w:type="dxa"/>
            <w:tcBorders>
              <w:top w:val="single" w:sz="12" w:space="0" w:color="auto"/>
              <w:left w:val="nil"/>
              <w:right w:val="nil"/>
            </w:tcBorders>
          </w:tcPr>
          <w:p w14:paraId="4E445B99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nil"/>
              <w:right w:val="nil"/>
            </w:tcBorders>
          </w:tcPr>
          <w:p w14:paraId="2F7AEE2D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28" w:type="dxa"/>
            <w:tcBorders>
              <w:top w:val="single" w:sz="12" w:space="0" w:color="auto"/>
              <w:left w:val="nil"/>
              <w:right w:val="nil"/>
            </w:tcBorders>
          </w:tcPr>
          <w:p w14:paraId="1A0FF5EA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right w:val="nil"/>
            </w:tcBorders>
          </w:tcPr>
          <w:p w14:paraId="7159C302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18" w:type="dxa"/>
            <w:tcBorders>
              <w:top w:val="single" w:sz="12" w:space="0" w:color="auto"/>
              <w:left w:val="nil"/>
              <w:right w:val="nil"/>
            </w:tcBorders>
          </w:tcPr>
          <w:p w14:paraId="1B9B1BFD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right w:val="nil"/>
            </w:tcBorders>
          </w:tcPr>
          <w:p w14:paraId="288D80EB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2728F" w:rsidRPr="00643A3D" w14:paraId="2DD0CFE9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6A1E13A5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In hospital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1EE48918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 (3.5%)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406C23A1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[0.95-1.03]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0F9F9D06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7957B83B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[0.96-1.04]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3543B375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0.75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01486B72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 [0.90-1.06]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524EA305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0.65</w:t>
            </w:r>
          </w:p>
        </w:tc>
      </w:tr>
      <w:tr w:rsidR="00B2728F" w:rsidRPr="00643A3D" w14:paraId="1FAD4FF7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3EC4DB76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At 30 days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21241217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 (4.7%)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7FD6B61F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1.02 [0.97-1.06]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6B15C52F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0.24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3D3A9B14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1.02 [0.97-1.07]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0C5C239D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0.62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45CEED3D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1.02 [0.96-1.11]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2E7027A2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0.31</w:t>
            </w:r>
          </w:p>
        </w:tc>
      </w:tr>
      <w:tr w:rsidR="00B2728F" w:rsidRPr="00643A3D" w14:paraId="5185BCFB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56E16F9A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At 1 year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21833B9E" w14:textId="7AB0BFB8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 (12</w:t>
            </w:r>
            <w:r w:rsidR="00DF3E27"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4292D99D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1.016 [1.003-1.05]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16B3453D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7673E988" w14:textId="60FD24C0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</w:t>
            </w:r>
            <w:r w:rsidR="006E0A4A"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[1.003-1.05]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57D30555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558082B1" w14:textId="4B220BAA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</w:t>
            </w:r>
            <w:r w:rsidR="006E0A4A"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[1.001-1.05]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3E22A0F5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</w:t>
            </w:r>
          </w:p>
        </w:tc>
      </w:tr>
      <w:tr w:rsidR="00B2728F" w:rsidRPr="00643A3D" w14:paraId="792A84D7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bottom w:val="single" w:sz="12" w:space="0" w:color="auto"/>
              <w:right w:val="nil"/>
            </w:tcBorders>
          </w:tcPr>
          <w:p w14:paraId="12AFCB31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Death from Cardiac causes at 1 year</w:t>
            </w:r>
          </w:p>
        </w:tc>
        <w:tc>
          <w:tcPr>
            <w:tcW w:w="1075" w:type="dxa"/>
            <w:tcBorders>
              <w:left w:val="nil"/>
              <w:bottom w:val="single" w:sz="12" w:space="0" w:color="auto"/>
              <w:right w:val="nil"/>
            </w:tcBorders>
          </w:tcPr>
          <w:p w14:paraId="7D12E0C0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 (8.2%)</w:t>
            </w:r>
          </w:p>
        </w:tc>
        <w:tc>
          <w:tcPr>
            <w:tcW w:w="2233" w:type="dxa"/>
            <w:tcBorders>
              <w:left w:val="nil"/>
              <w:bottom w:val="single" w:sz="12" w:space="0" w:color="auto"/>
              <w:right w:val="nil"/>
            </w:tcBorders>
          </w:tcPr>
          <w:p w14:paraId="584530AA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0.94 [0.94-1.03]</w:t>
            </w:r>
          </w:p>
        </w:tc>
        <w:tc>
          <w:tcPr>
            <w:tcW w:w="565" w:type="dxa"/>
            <w:tcBorders>
              <w:left w:val="nil"/>
              <w:bottom w:val="single" w:sz="12" w:space="0" w:color="auto"/>
              <w:right w:val="nil"/>
            </w:tcBorders>
          </w:tcPr>
          <w:p w14:paraId="7168E0F7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0.93</w:t>
            </w:r>
          </w:p>
        </w:tc>
        <w:tc>
          <w:tcPr>
            <w:tcW w:w="2228" w:type="dxa"/>
            <w:tcBorders>
              <w:left w:val="nil"/>
              <w:bottom w:val="single" w:sz="12" w:space="0" w:color="auto"/>
              <w:right w:val="nil"/>
            </w:tcBorders>
          </w:tcPr>
          <w:p w14:paraId="5F8B638E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[0.95-1.05]</w:t>
            </w:r>
          </w:p>
        </w:tc>
        <w:tc>
          <w:tcPr>
            <w:tcW w:w="496" w:type="dxa"/>
            <w:tcBorders>
              <w:left w:val="nil"/>
              <w:bottom w:val="single" w:sz="12" w:space="0" w:color="auto"/>
              <w:right w:val="nil"/>
            </w:tcBorders>
          </w:tcPr>
          <w:p w14:paraId="01773A4C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0.79</w:t>
            </w:r>
          </w:p>
        </w:tc>
        <w:tc>
          <w:tcPr>
            <w:tcW w:w="2318" w:type="dxa"/>
            <w:tcBorders>
              <w:left w:val="nil"/>
              <w:bottom w:val="single" w:sz="12" w:space="0" w:color="auto"/>
              <w:right w:val="nil"/>
            </w:tcBorders>
          </w:tcPr>
          <w:p w14:paraId="560424D0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[0.95-1.037]</w:t>
            </w:r>
          </w:p>
        </w:tc>
        <w:tc>
          <w:tcPr>
            <w:tcW w:w="496" w:type="dxa"/>
            <w:tcBorders>
              <w:left w:val="nil"/>
              <w:bottom w:val="single" w:sz="12" w:space="0" w:color="auto"/>
              <w:right w:val="nil"/>
            </w:tcBorders>
          </w:tcPr>
          <w:p w14:paraId="78052A09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</w:t>
            </w:r>
          </w:p>
        </w:tc>
      </w:tr>
      <w:tr w:rsidR="00B2728F" w:rsidRPr="00643A3D" w14:paraId="6F6811ED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F3729C2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Outcomes at 1 year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249E8D8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8767990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Odds Ratio [CI 95%]</w:t>
            </w:r>
          </w:p>
        </w:tc>
        <w:tc>
          <w:tcPr>
            <w:tcW w:w="5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4227402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</w:t>
            </w:r>
          </w:p>
        </w:tc>
        <w:tc>
          <w:tcPr>
            <w:tcW w:w="22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8C963BE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Odds Ratio [CI 95%]</w:t>
            </w: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0442E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</w:t>
            </w:r>
          </w:p>
        </w:tc>
        <w:tc>
          <w:tcPr>
            <w:tcW w:w="23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B8720FC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Odds Ratio [CI 95%]</w:t>
            </w: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A093CA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</w:t>
            </w:r>
          </w:p>
        </w:tc>
      </w:tr>
      <w:tr w:rsidR="00B2728F" w:rsidRPr="00643A3D" w14:paraId="512C5B8B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top w:val="single" w:sz="12" w:space="0" w:color="auto"/>
              <w:left w:val="nil"/>
              <w:right w:val="nil"/>
            </w:tcBorders>
          </w:tcPr>
          <w:p w14:paraId="0684B3B4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 hospitalization for cardiac event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right w:val="nil"/>
            </w:tcBorders>
          </w:tcPr>
          <w:p w14:paraId="2BEEA495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33" w:type="dxa"/>
            <w:tcBorders>
              <w:top w:val="single" w:sz="12" w:space="0" w:color="auto"/>
              <w:left w:val="nil"/>
              <w:right w:val="nil"/>
            </w:tcBorders>
          </w:tcPr>
          <w:p w14:paraId="7D2CB7B3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nil"/>
              <w:right w:val="nil"/>
            </w:tcBorders>
          </w:tcPr>
          <w:p w14:paraId="37904A7C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28" w:type="dxa"/>
            <w:tcBorders>
              <w:top w:val="single" w:sz="12" w:space="0" w:color="auto"/>
              <w:left w:val="nil"/>
              <w:right w:val="nil"/>
            </w:tcBorders>
          </w:tcPr>
          <w:p w14:paraId="358645A6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right w:val="nil"/>
            </w:tcBorders>
          </w:tcPr>
          <w:p w14:paraId="7B2AB988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18" w:type="dxa"/>
            <w:tcBorders>
              <w:top w:val="single" w:sz="12" w:space="0" w:color="auto"/>
              <w:left w:val="nil"/>
              <w:right w:val="nil"/>
            </w:tcBorders>
          </w:tcPr>
          <w:p w14:paraId="311C9A82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right w:val="nil"/>
            </w:tcBorders>
          </w:tcPr>
          <w:p w14:paraId="316029B2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2728F" w:rsidRPr="00643A3D" w14:paraId="53102946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2DC0C115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All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56BC1772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 (14%)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08DC61EF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 [0.98-1.03]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09A5C86C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0.41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38068C5C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 [0.96-1.04]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6E4376F1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0.27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2D36ED5E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 [0.97-1.04]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2F3D05B1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0.44</w:t>
            </w:r>
          </w:p>
        </w:tc>
      </w:tr>
      <w:tr w:rsidR="00B2728F" w:rsidRPr="00643A3D" w14:paraId="0A6757DC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2E0C3155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Heart failure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24CD479F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 (9.9%)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72416C03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 [0.98-1.03]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52D99358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0.60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7FF6724E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 [0.98-1.04]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2C8C0449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0.22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128D385E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 [0.96-1.04]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4EB82B70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</w:t>
            </w:r>
          </w:p>
        </w:tc>
      </w:tr>
      <w:tr w:rsidR="00B2728F" w:rsidRPr="00643A3D" w14:paraId="42A3CB07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39A2432D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Arrhythmia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20F7EE4A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(1.5%)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627D57A9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1.04 [0.90-1.23]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7D98D2DF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0.44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6ADEA51A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1.04 [0.89-1.21]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7A70CC7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546081A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1.02 [0.87-1.2]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155A4207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</w:t>
            </w:r>
          </w:p>
        </w:tc>
      </w:tr>
      <w:tr w:rsidR="00B2728F" w:rsidRPr="00643A3D" w14:paraId="596350E8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20B0A622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Myocardial infarction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33E230FB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(2.6%)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077DE3BB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1.04 [0.95-1.09]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0396288C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0.39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329E2B66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1.03 [0.96-1.1]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78F3A5CB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0.65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362C505D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1.03 [0.96-1.1]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5D13BDC0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0.51</w:t>
            </w:r>
          </w:p>
        </w:tc>
      </w:tr>
      <w:tr w:rsidR="00B2728F" w:rsidRPr="00643A3D" w14:paraId="1250D5DD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5223AC2C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Stroke or transient ischemic attack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3D90F04C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(3.2%)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7C5F650E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 [0.96-1.06]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72B4B4EE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0.94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198E0F91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[0.97-1.02]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79F7DFF3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0.66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355768E9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[0.97-1.02]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7560816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0.70</w:t>
            </w:r>
          </w:p>
        </w:tc>
      </w:tr>
      <w:tr w:rsidR="00B2728F" w:rsidRPr="00643A3D" w14:paraId="3B40F462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42292E91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Bleeding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40EC3BC1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41BD351A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12AB060F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4614183C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0BF284C6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71DC64A3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2F0DB0B6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2728F" w:rsidRPr="00643A3D" w14:paraId="54F4123E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45EC2B45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All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1044BD7A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67 (19.6%)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3825A8C5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 [0.95-1,01]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17C850EE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0.22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7AD5793F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[0.97-1.01]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6A996E5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0.21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1B2A83E1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[0.97-1.006]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49120FC7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0.30</w:t>
            </w:r>
          </w:p>
        </w:tc>
      </w:tr>
      <w:tr w:rsidR="00B2728F" w:rsidRPr="00643A3D" w14:paraId="345CC066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326CC345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Minor bleeding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118BF361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 (9.1%)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41048463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 [0.95-1.004]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6557B3FD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0.17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70A0CB92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[0.95-1.002]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63AE97FF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3C0A0A7F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 [0.95-1.002]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68418373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</w:t>
            </w:r>
          </w:p>
        </w:tc>
      </w:tr>
      <w:tr w:rsidR="00B2728F" w:rsidRPr="00643A3D" w14:paraId="518A8785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654DD8ED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Major bleeding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7687EE10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 (4.4%)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57C4C037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[0.95-1.03]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320EE71B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0.50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00C4CA95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 [0.95-1.03]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189C6C7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0.43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43F96C11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 [0.95-1.03]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52B3A9EB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0.53</w:t>
            </w:r>
          </w:p>
        </w:tc>
      </w:tr>
      <w:tr w:rsidR="00B2728F" w:rsidRPr="00643A3D" w14:paraId="53119EDD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4A7DC96A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     Life threatening or disabling bleeding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56A4C804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 (6.1%)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0A9A197F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 [0.98-1.05]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54D0E105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0.44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6C556C62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1.02 [0.98-1.06]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242BD733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0.49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40EB9313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1.02 [0.98-1.07]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287607AF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0.34</w:t>
            </w:r>
          </w:p>
        </w:tc>
      </w:tr>
      <w:tr w:rsidR="00B2728F" w:rsidRPr="00643A3D" w14:paraId="3142D32E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right w:val="nil"/>
            </w:tcBorders>
          </w:tcPr>
          <w:p w14:paraId="66085967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New pacemaker</w:t>
            </w:r>
          </w:p>
        </w:tc>
        <w:tc>
          <w:tcPr>
            <w:tcW w:w="1075" w:type="dxa"/>
            <w:tcBorders>
              <w:left w:val="nil"/>
              <w:right w:val="nil"/>
            </w:tcBorders>
          </w:tcPr>
          <w:p w14:paraId="695AAB71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53 (15.5%)</w:t>
            </w:r>
          </w:p>
        </w:tc>
        <w:tc>
          <w:tcPr>
            <w:tcW w:w="2233" w:type="dxa"/>
            <w:tcBorders>
              <w:left w:val="nil"/>
              <w:right w:val="nil"/>
            </w:tcBorders>
          </w:tcPr>
          <w:p w14:paraId="567004E3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[0.97-1.02]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 w14:paraId="22785574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0.61</w:t>
            </w:r>
          </w:p>
        </w:tc>
        <w:tc>
          <w:tcPr>
            <w:tcW w:w="2228" w:type="dxa"/>
            <w:tcBorders>
              <w:left w:val="nil"/>
              <w:right w:val="nil"/>
            </w:tcBorders>
          </w:tcPr>
          <w:p w14:paraId="7D730693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[0.97-1.02]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40D02186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0.70</w:t>
            </w:r>
          </w:p>
        </w:tc>
        <w:tc>
          <w:tcPr>
            <w:tcW w:w="2318" w:type="dxa"/>
            <w:tcBorders>
              <w:left w:val="nil"/>
              <w:right w:val="nil"/>
            </w:tcBorders>
          </w:tcPr>
          <w:p w14:paraId="0BA2EFB8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[0.97-1.02]</w:t>
            </w:r>
          </w:p>
        </w:tc>
        <w:tc>
          <w:tcPr>
            <w:tcW w:w="496" w:type="dxa"/>
            <w:tcBorders>
              <w:left w:val="nil"/>
              <w:right w:val="nil"/>
            </w:tcBorders>
          </w:tcPr>
          <w:p w14:paraId="04D317C0" w14:textId="77777777" w:rsidR="00B2728F" w:rsidRPr="00643A3D" w:rsidRDefault="00B2728F" w:rsidP="00B272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</w:t>
            </w:r>
          </w:p>
        </w:tc>
      </w:tr>
      <w:tr w:rsidR="00B2728F" w:rsidRPr="00643A3D" w14:paraId="21A45F54" w14:textId="77777777" w:rsidTr="00FE370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il"/>
              <w:bottom w:val="single" w:sz="12" w:space="0" w:color="auto"/>
              <w:right w:val="nil"/>
            </w:tcBorders>
          </w:tcPr>
          <w:p w14:paraId="6BAC488D" w14:textId="77777777" w:rsidR="00B2728F" w:rsidRPr="00643A3D" w:rsidRDefault="00B2728F" w:rsidP="00B2728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Acute kidney injury</w:t>
            </w:r>
          </w:p>
        </w:tc>
        <w:tc>
          <w:tcPr>
            <w:tcW w:w="1075" w:type="dxa"/>
            <w:tcBorders>
              <w:left w:val="nil"/>
              <w:bottom w:val="single" w:sz="12" w:space="0" w:color="auto"/>
              <w:right w:val="nil"/>
            </w:tcBorders>
          </w:tcPr>
          <w:p w14:paraId="4B6835F1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 (6.1%)</w:t>
            </w:r>
          </w:p>
        </w:tc>
        <w:tc>
          <w:tcPr>
            <w:tcW w:w="2233" w:type="dxa"/>
            <w:tcBorders>
              <w:left w:val="nil"/>
              <w:bottom w:val="single" w:sz="12" w:space="0" w:color="auto"/>
              <w:right w:val="nil"/>
            </w:tcBorders>
          </w:tcPr>
          <w:p w14:paraId="77EA4DF7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[0.96-1.02]</w:t>
            </w:r>
          </w:p>
        </w:tc>
        <w:tc>
          <w:tcPr>
            <w:tcW w:w="565" w:type="dxa"/>
            <w:tcBorders>
              <w:left w:val="nil"/>
              <w:bottom w:val="single" w:sz="12" w:space="0" w:color="auto"/>
              <w:right w:val="nil"/>
            </w:tcBorders>
          </w:tcPr>
          <w:p w14:paraId="72BE00C0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</w:t>
            </w:r>
          </w:p>
        </w:tc>
        <w:tc>
          <w:tcPr>
            <w:tcW w:w="2228" w:type="dxa"/>
            <w:tcBorders>
              <w:left w:val="nil"/>
              <w:bottom w:val="single" w:sz="12" w:space="0" w:color="auto"/>
              <w:right w:val="nil"/>
            </w:tcBorders>
          </w:tcPr>
          <w:p w14:paraId="7E2FC80C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[0.96-1.02]</w:t>
            </w:r>
          </w:p>
        </w:tc>
        <w:tc>
          <w:tcPr>
            <w:tcW w:w="496" w:type="dxa"/>
            <w:tcBorders>
              <w:left w:val="nil"/>
              <w:bottom w:val="single" w:sz="12" w:space="0" w:color="auto"/>
              <w:right w:val="nil"/>
            </w:tcBorders>
          </w:tcPr>
          <w:p w14:paraId="0A1A6FC5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</w:t>
            </w:r>
          </w:p>
        </w:tc>
        <w:tc>
          <w:tcPr>
            <w:tcW w:w="2318" w:type="dxa"/>
            <w:tcBorders>
              <w:left w:val="nil"/>
              <w:bottom w:val="single" w:sz="12" w:space="0" w:color="auto"/>
              <w:right w:val="nil"/>
            </w:tcBorders>
          </w:tcPr>
          <w:p w14:paraId="333E9256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 [0.97-1.03]</w:t>
            </w:r>
          </w:p>
        </w:tc>
        <w:tc>
          <w:tcPr>
            <w:tcW w:w="496" w:type="dxa"/>
            <w:tcBorders>
              <w:left w:val="nil"/>
              <w:bottom w:val="single" w:sz="12" w:space="0" w:color="auto"/>
              <w:right w:val="nil"/>
            </w:tcBorders>
          </w:tcPr>
          <w:p w14:paraId="0280C8CF" w14:textId="77777777" w:rsidR="00B2728F" w:rsidRPr="00643A3D" w:rsidRDefault="00B2728F" w:rsidP="00B27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</w:t>
            </w:r>
          </w:p>
        </w:tc>
      </w:tr>
      <w:tr w:rsidR="00B2728F" w:rsidRPr="00643A3D" w14:paraId="5C63D2AD" w14:textId="77777777" w:rsidTr="00FE3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54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E9E0DA" w14:textId="77777777" w:rsidR="00B2728F" w:rsidRPr="00643A3D" w:rsidRDefault="00B2728F" w:rsidP="00B2728F">
            <w:pPr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CI=Confidence Interval; HR= Hazard Ratio; TAVR=Transcatheter Aortic Valve Replacement</w:t>
            </w:r>
          </w:p>
        </w:tc>
      </w:tr>
    </w:tbl>
    <w:p w14:paraId="7C961B9F" w14:textId="77777777" w:rsidR="00B2728F" w:rsidRPr="00643A3D" w:rsidRDefault="00B2728F" w:rsidP="00B2728F">
      <w:pPr>
        <w:spacing w:after="0" w:line="240" w:lineRule="auto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25AEAEBB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3971FB19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64BACCA4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6D499242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3A7CD048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614F3FFB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38567A9E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68AAD198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7C379805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7BCFF5EB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741A2D2E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2B4444CF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75107FDB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1505D96A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1C727DDE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6F5376A0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6FFAD52D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04D125B3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669FEB5D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2015367D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68D81BDF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45B21846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5C59FC3C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032E7C97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296E6AD3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0C04DC73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3189F04F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b/>
          <w:szCs w:val="18"/>
          <w:u w:val="single"/>
          <w:lang w:val="en-US"/>
        </w:rPr>
      </w:pPr>
    </w:p>
    <w:p w14:paraId="13D4D9F3" w14:textId="35384715" w:rsidR="00B2728F" w:rsidRPr="00643A3D" w:rsidRDefault="00B2728F" w:rsidP="00B2728F">
      <w:pPr>
        <w:spacing w:after="0" w:line="240" w:lineRule="auto"/>
        <w:rPr>
          <w:rFonts w:ascii="Times New Roman" w:hAnsi="Times New Roman" w:cs="Times New Roman"/>
          <w:bCs/>
          <w:szCs w:val="20"/>
          <w:lang w:val="en-US"/>
        </w:rPr>
      </w:pPr>
      <w:r w:rsidRPr="00643A3D">
        <w:rPr>
          <w:rFonts w:ascii="Times New Roman" w:hAnsi="Times New Roman" w:cs="Times New Roman"/>
          <w:bCs/>
          <w:szCs w:val="20"/>
          <w:lang w:val="en-US"/>
        </w:rPr>
        <w:t>* Wait time considered as continuous variable (per week) except for sensitivity analysis I</w:t>
      </w:r>
      <w:r w:rsidR="003943BF" w:rsidRPr="00643A3D">
        <w:rPr>
          <w:lang w:val="en-US"/>
        </w:rPr>
        <w:t xml:space="preserve"> </w:t>
      </w:r>
      <w:r w:rsidR="003943BF" w:rsidRPr="00643A3D">
        <w:rPr>
          <w:rFonts w:ascii="Times New Roman" w:hAnsi="Times New Roman" w:cs="Times New Roman"/>
          <w:bCs/>
          <w:szCs w:val="20"/>
          <w:lang w:val="en-US"/>
        </w:rPr>
        <w:t>where it was ≤ versus &gt; 12weeks</w:t>
      </w:r>
    </w:p>
    <w:p w14:paraId="67B9EB2F" w14:textId="77777777" w:rsidR="00B2728F" w:rsidRPr="00643A3D" w:rsidRDefault="00B2728F" w:rsidP="00B2728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43A3D">
        <w:rPr>
          <w:rFonts w:ascii="Times New Roman" w:hAnsi="Times New Roman" w:cs="Times New Roman"/>
          <w:b/>
          <w:u w:val="single"/>
          <w:lang w:val="en-US"/>
        </w:rPr>
        <w:t>Adjusted analysis:</w:t>
      </w:r>
      <w:r w:rsidRPr="00643A3D">
        <w:rPr>
          <w:rFonts w:ascii="Times New Roman" w:hAnsi="Times New Roman" w:cs="Times New Roman"/>
          <w:lang w:val="en-US"/>
        </w:rPr>
        <w:t xml:space="preserve"> Adjustment on age, sex, body mass index, STS score, diabetes, chronic kidney disease and severe left ventricular systolic dysfunction (LVEF≤30%).</w:t>
      </w:r>
    </w:p>
    <w:p w14:paraId="5D9BB43E" w14:textId="23515A85" w:rsidR="00467A13" w:rsidRPr="00643A3D" w:rsidRDefault="00B2728F" w:rsidP="00B2728F">
      <w:pPr>
        <w:spacing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643A3D">
        <w:rPr>
          <w:rFonts w:ascii="Times New Roman" w:hAnsi="Times New Roman" w:cs="Times New Roman"/>
          <w:b/>
          <w:szCs w:val="18"/>
          <w:u w:val="single"/>
          <w:lang w:val="en-US"/>
        </w:rPr>
        <w:t>Sensitivity analysis I:</w:t>
      </w:r>
      <w:r w:rsidRPr="00643A3D">
        <w:rPr>
          <w:rFonts w:ascii="Times New Roman" w:hAnsi="Times New Roman" w:cs="Times New Roman"/>
          <w:bCs/>
          <w:szCs w:val="18"/>
          <w:lang w:val="en-US"/>
        </w:rPr>
        <w:t xml:space="preserve"> Adjustment on all variables differently distributed between the 2 groups alive or dead </w:t>
      </w:r>
      <w:r w:rsidR="003943BF" w:rsidRPr="00643A3D">
        <w:rPr>
          <w:rFonts w:ascii="Times New Roman" w:hAnsi="Times New Roman" w:cs="Times New Roman"/>
          <w:bCs/>
          <w:szCs w:val="18"/>
          <w:lang w:val="en-US"/>
        </w:rPr>
        <w:t xml:space="preserve">(table 1) </w:t>
      </w:r>
      <w:r w:rsidRPr="00643A3D">
        <w:rPr>
          <w:rFonts w:ascii="Times New Roman" w:hAnsi="Times New Roman" w:cs="Times New Roman"/>
          <w:bCs/>
          <w:szCs w:val="18"/>
          <w:lang w:val="en-US"/>
        </w:rPr>
        <w:t>and considering wait time as a categorical variable (≤ or &gt; 12 weeks).</w:t>
      </w:r>
    </w:p>
    <w:p w14:paraId="395EA343" w14:textId="629FE813" w:rsidR="00E26966" w:rsidRPr="00643A3D" w:rsidRDefault="00467A13">
      <w:pPr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643A3D">
        <w:rPr>
          <w:rFonts w:ascii="Times New Roman" w:hAnsi="Times New Roman" w:cs="Times New Roman"/>
          <w:b/>
          <w:sz w:val="24"/>
          <w:u w:val="single"/>
          <w:lang w:val="en-US"/>
        </w:rPr>
        <w:t xml:space="preserve">Supplementary Table </w:t>
      </w:r>
      <w:r w:rsidR="00B2728F" w:rsidRPr="00643A3D">
        <w:rPr>
          <w:rFonts w:ascii="Times New Roman" w:hAnsi="Times New Roman" w:cs="Times New Roman"/>
          <w:b/>
          <w:sz w:val="24"/>
          <w:u w:val="single"/>
          <w:lang w:val="en-US"/>
        </w:rPr>
        <w:t>3</w:t>
      </w:r>
      <w:r w:rsidRPr="00643A3D">
        <w:rPr>
          <w:rFonts w:ascii="Times New Roman" w:hAnsi="Times New Roman" w:cs="Times New Roman"/>
          <w:b/>
          <w:sz w:val="24"/>
          <w:u w:val="single"/>
          <w:lang w:val="en-US"/>
        </w:rPr>
        <w:t>:</w:t>
      </w:r>
      <w:r w:rsidRPr="00643A3D">
        <w:rPr>
          <w:rFonts w:ascii="Times New Roman" w:hAnsi="Times New Roman" w:cs="Times New Roman"/>
          <w:sz w:val="24"/>
          <w:lang w:val="en-US"/>
        </w:rPr>
        <w:t xml:space="preserve"> Echocardiography at 1 year follow-up after TAVR</w:t>
      </w:r>
    </w:p>
    <w:p w14:paraId="7EAA1B07" w14:textId="77777777" w:rsidR="00467A13" w:rsidRPr="00643A3D" w:rsidRDefault="00467A13">
      <w:pPr>
        <w:rPr>
          <w:lang w:val="en-US"/>
        </w:rPr>
      </w:pPr>
    </w:p>
    <w:tbl>
      <w:tblPr>
        <w:tblStyle w:val="Tableausimple21"/>
        <w:tblW w:w="6804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409"/>
      </w:tblGrid>
      <w:tr w:rsidR="00467A13" w:rsidRPr="00643A3D" w14:paraId="3D0D1318" w14:textId="77777777" w:rsidTr="005E2A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12" w:space="0" w:color="auto"/>
              <w:bottom w:val="single" w:sz="12" w:space="0" w:color="auto"/>
            </w:tcBorders>
          </w:tcPr>
          <w:p w14:paraId="5EDBC5A4" w14:textId="77777777" w:rsidR="00467A13" w:rsidRPr="00643A3D" w:rsidRDefault="00467A13" w:rsidP="00467A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Echocardiography at 1 year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303A0636" w14:textId="2289882F" w:rsidR="00467A13" w:rsidRPr="00643A3D" w:rsidRDefault="005E2A8E" w:rsidP="00467A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N=3</w:t>
            </w:r>
            <w:r w:rsidR="00332954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  <w:tr w:rsidR="00467A13" w:rsidRPr="00643A3D" w14:paraId="11418F6F" w14:textId="77777777" w:rsidTr="005E2A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12" w:space="0" w:color="auto"/>
            </w:tcBorders>
          </w:tcPr>
          <w:p w14:paraId="39A25284" w14:textId="77777777" w:rsidR="00467A13" w:rsidRPr="00643A3D" w:rsidRDefault="00467A13" w:rsidP="00467A13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LVEF (%)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234460C8" w14:textId="7DBCF668" w:rsidR="00467A13" w:rsidRPr="00643A3D" w:rsidRDefault="005E2A8E" w:rsidP="00467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57.</w:t>
            </w:r>
            <w:r w:rsidR="00E87B55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3A3D">
              <w:rPr>
                <w:rFonts w:asciiTheme="minorEastAsia" w:hAnsiTheme="minorEastAsia" w:cstheme="minorEastAsia" w:hint="eastAsia"/>
                <w:sz w:val="24"/>
                <w:szCs w:val="24"/>
                <w:lang w:val="en-US"/>
              </w:rPr>
              <w:t>±</w:t>
            </w: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  <w:r w:rsidR="00E87B55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</w:t>
            </w:r>
          </w:p>
        </w:tc>
      </w:tr>
      <w:tr w:rsidR="00467A13" w:rsidRPr="00643A3D" w14:paraId="0B135131" w14:textId="77777777" w:rsidTr="005E2A8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1B284056" w14:textId="77777777" w:rsidR="00467A13" w:rsidRPr="00643A3D" w:rsidRDefault="00467A13" w:rsidP="00467A13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LVEF ≤30%</w:t>
            </w:r>
          </w:p>
        </w:tc>
        <w:tc>
          <w:tcPr>
            <w:tcW w:w="2409" w:type="dxa"/>
          </w:tcPr>
          <w:p w14:paraId="7238E0C1" w14:textId="3B2FDB58" w:rsidR="00467A13" w:rsidRPr="00643A3D" w:rsidRDefault="00320E2A" w:rsidP="00467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</w:t>
            </w:r>
            <w:r w:rsidR="002E6EDE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467A13" w:rsidRPr="00643A3D" w14:paraId="2A505E83" w14:textId="77777777" w:rsidTr="005E2A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7F1E68B0" w14:textId="77777777" w:rsidR="00467A13" w:rsidRPr="00643A3D" w:rsidRDefault="00467A13" w:rsidP="00467A13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Aortic Valve Area (cm2)</w:t>
            </w:r>
          </w:p>
        </w:tc>
        <w:tc>
          <w:tcPr>
            <w:tcW w:w="2409" w:type="dxa"/>
          </w:tcPr>
          <w:p w14:paraId="4CA3285D" w14:textId="617B0E04" w:rsidR="00467A13" w:rsidRPr="00643A3D" w:rsidRDefault="00320E2A" w:rsidP="00467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2,24</w:t>
            </w:r>
            <w:r w:rsidR="005E2A8E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</w:t>
            </w: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</w:t>
            </w:r>
          </w:p>
        </w:tc>
      </w:tr>
      <w:tr w:rsidR="00467A13" w:rsidRPr="00643A3D" w14:paraId="67A9B699" w14:textId="77777777" w:rsidTr="005E2A8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6846A28D" w14:textId="77777777" w:rsidR="00467A13" w:rsidRPr="00643A3D" w:rsidRDefault="00467A13" w:rsidP="00467A13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Aortic Valve Gradient (mmHg)</w:t>
            </w:r>
          </w:p>
        </w:tc>
        <w:tc>
          <w:tcPr>
            <w:tcW w:w="2409" w:type="dxa"/>
          </w:tcPr>
          <w:p w14:paraId="78D6E8B1" w14:textId="69B3F7AA" w:rsidR="00467A13" w:rsidRPr="00643A3D" w:rsidRDefault="005E2A8E" w:rsidP="00467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 ± 6.</w:t>
            </w:r>
            <w:r w:rsidR="00320E2A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:rsidR="00467A13" w:rsidRPr="00643A3D" w14:paraId="2A0E1B97" w14:textId="77777777" w:rsidTr="005E2A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74CF05CA" w14:textId="77777777" w:rsidR="00467A13" w:rsidRPr="00643A3D" w:rsidRDefault="00467A13" w:rsidP="00467A13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Right ventricular failure</w:t>
            </w:r>
          </w:p>
        </w:tc>
        <w:tc>
          <w:tcPr>
            <w:tcW w:w="2409" w:type="dxa"/>
          </w:tcPr>
          <w:p w14:paraId="451DFA0A" w14:textId="5C6603EF" w:rsidR="00467A13" w:rsidRPr="00643A3D" w:rsidRDefault="005E2A8E" w:rsidP="00467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 (</w:t>
            </w:r>
            <w:r w:rsidR="002E6EDE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7.8%)</w:t>
            </w:r>
          </w:p>
        </w:tc>
      </w:tr>
      <w:tr w:rsidR="00467A13" w:rsidRPr="00643A3D" w14:paraId="7FF3320C" w14:textId="77777777" w:rsidTr="005E2A8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7A452E0B" w14:textId="77777777" w:rsidR="00467A13" w:rsidRPr="00643A3D" w:rsidRDefault="00467A13" w:rsidP="00467A13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PASP (mmHg)</w:t>
            </w:r>
          </w:p>
        </w:tc>
        <w:tc>
          <w:tcPr>
            <w:tcW w:w="2409" w:type="dxa"/>
          </w:tcPr>
          <w:p w14:paraId="4B04530F" w14:textId="309A0C26" w:rsidR="00467A13" w:rsidRPr="00643A3D" w:rsidRDefault="005E2A8E" w:rsidP="00467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320E2A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1</w:t>
            </w:r>
            <w:r w:rsidR="00320E2A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320E2A"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643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</w:tr>
      <w:tr w:rsidR="005E2A8E" w:rsidRPr="00697891" w14:paraId="733C11BF" w14:textId="77777777" w:rsidTr="00490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gridSpan w:val="2"/>
            <w:tcBorders>
              <w:bottom w:val="single" w:sz="12" w:space="0" w:color="auto"/>
            </w:tcBorders>
          </w:tcPr>
          <w:p w14:paraId="2FD40121" w14:textId="77777777" w:rsidR="005E2A8E" w:rsidRPr="00445995" w:rsidRDefault="005E2A8E" w:rsidP="005E2A8E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43A3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LVEF=Left ventricular ejection fraction; </w:t>
            </w:r>
            <w:r w:rsidR="001421DF" w:rsidRPr="00643A3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PASP: Pulmonary Artery Systolic Pressure; </w:t>
            </w:r>
            <w:r w:rsidRPr="00643A3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TAVR=Transcatheter Aortic Valve Replacement</w:t>
            </w:r>
          </w:p>
        </w:tc>
      </w:tr>
    </w:tbl>
    <w:p w14:paraId="6281C685" w14:textId="77777777" w:rsidR="00467A13" w:rsidRPr="005E2A8E" w:rsidRDefault="00467A13">
      <w:pPr>
        <w:rPr>
          <w:lang w:val="en-US"/>
        </w:rPr>
      </w:pPr>
    </w:p>
    <w:sectPr w:rsidR="00467A13" w:rsidRPr="005E2A8E" w:rsidSect="00643A3D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145B9" w14:textId="77777777" w:rsidR="00B2728F" w:rsidRDefault="00B2728F" w:rsidP="00B2728F">
      <w:pPr>
        <w:spacing w:after="0" w:line="240" w:lineRule="auto"/>
      </w:pPr>
      <w:r>
        <w:separator/>
      </w:r>
    </w:p>
  </w:endnote>
  <w:endnote w:type="continuationSeparator" w:id="0">
    <w:p w14:paraId="14178620" w14:textId="77777777" w:rsidR="00B2728F" w:rsidRDefault="00B2728F" w:rsidP="00B2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6823045"/>
      <w:docPartObj>
        <w:docPartGallery w:val="Page Numbers (Bottom of Page)"/>
        <w:docPartUnique/>
      </w:docPartObj>
    </w:sdtPr>
    <w:sdtEndPr/>
    <w:sdtContent>
      <w:p w14:paraId="074EF805" w14:textId="02BAB02D" w:rsidR="00B2728F" w:rsidRDefault="00B2728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190">
          <w:rPr>
            <w:noProof/>
          </w:rPr>
          <w:t>1</w:t>
        </w:r>
        <w:r>
          <w:fldChar w:fldCharType="end"/>
        </w:r>
      </w:p>
    </w:sdtContent>
  </w:sdt>
  <w:p w14:paraId="4BC745EC" w14:textId="77777777" w:rsidR="00B2728F" w:rsidRDefault="00B272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7B2DE" w14:textId="77777777" w:rsidR="00B2728F" w:rsidRDefault="00B2728F" w:rsidP="00B2728F">
      <w:pPr>
        <w:spacing w:after="0" w:line="240" w:lineRule="auto"/>
      </w:pPr>
      <w:r>
        <w:separator/>
      </w:r>
    </w:p>
  </w:footnote>
  <w:footnote w:type="continuationSeparator" w:id="0">
    <w:p w14:paraId="06139467" w14:textId="77777777" w:rsidR="00B2728F" w:rsidRDefault="00B2728F" w:rsidP="00B27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A13"/>
    <w:rsid w:val="000156F4"/>
    <w:rsid w:val="001421DF"/>
    <w:rsid w:val="002E47AE"/>
    <w:rsid w:val="002E6EDE"/>
    <w:rsid w:val="00320E2A"/>
    <w:rsid w:val="00332954"/>
    <w:rsid w:val="003756F5"/>
    <w:rsid w:val="003943BF"/>
    <w:rsid w:val="00432D89"/>
    <w:rsid w:val="00445995"/>
    <w:rsid w:val="00467A13"/>
    <w:rsid w:val="005B61C8"/>
    <w:rsid w:val="005E2A8E"/>
    <w:rsid w:val="00643A3D"/>
    <w:rsid w:val="00697891"/>
    <w:rsid w:val="006E0A4A"/>
    <w:rsid w:val="006E3190"/>
    <w:rsid w:val="00712F5A"/>
    <w:rsid w:val="00AC60AB"/>
    <w:rsid w:val="00B2728F"/>
    <w:rsid w:val="00DF3E27"/>
    <w:rsid w:val="00E8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E908"/>
  <w15:docId w15:val="{6CAA1773-3912-44A4-B086-D0F78DA7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ausimple21">
    <w:name w:val="Tableau simple 21"/>
    <w:basedOn w:val="TableNormal"/>
    <w:uiPriority w:val="42"/>
    <w:rsid w:val="00467A13"/>
    <w:pPr>
      <w:spacing w:after="0" w:line="240" w:lineRule="auto"/>
      <w:jc w:val="both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27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28F"/>
  </w:style>
  <w:style w:type="paragraph" w:styleId="Footer">
    <w:name w:val="footer"/>
    <w:basedOn w:val="Normal"/>
    <w:link w:val="FooterChar"/>
    <w:uiPriority w:val="99"/>
    <w:unhideWhenUsed/>
    <w:rsid w:val="00B27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Caen</Company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ROULE VINCENT</dc:creator>
  <cp:keywords/>
  <dc:description/>
  <cp:lastModifiedBy>Bhuvaneswari R.</cp:lastModifiedBy>
  <cp:revision>15</cp:revision>
  <dcterms:created xsi:type="dcterms:W3CDTF">2022-02-26T20:30:00Z</dcterms:created>
  <dcterms:modified xsi:type="dcterms:W3CDTF">2022-04-01T15:31:00Z</dcterms:modified>
</cp:coreProperties>
</file>