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5EA" w:rsidRDefault="00A845EA" w:rsidP="00A845EA">
      <w:pPr>
        <w:pStyle w:val="Body"/>
        <w:spacing w:line="276" w:lineRule="auto"/>
        <w:jc w:val="center"/>
        <w:rPr>
          <w:rFonts w:ascii="Calibri" w:eastAsia="Calibri" w:hAnsi="Calibri" w:cs="Calibri"/>
          <w:b/>
          <w:bCs/>
          <w:sz w:val="36"/>
          <w:szCs w:val="36"/>
        </w:rPr>
      </w:pPr>
      <w:r>
        <w:rPr>
          <w:rFonts w:ascii="Calibri" w:hAnsi="Calibri"/>
          <w:b/>
          <w:bCs/>
          <w:sz w:val="36"/>
          <w:szCs w:val="36"/>
        </w:rPr>
        <w:t>Supplementary Figures</w:t>
      </w:r>
    </w:p>
    <w:p w:rsidR="00A845EA" w:rsidRDefault="00A845EA" w:rsidP="00A845EA">
      <w:pPr>
        <w:pStyle w:val="Body"/>
        <w:spacing w:line="276" w:lineRule="auto"/>
        <w:jc w:val="both"/>
        <w:rPr>
          <w:rFonts w:ascii="Calibri" w:eastAsia="Calibri" w:hAnsi="Calibri" w:cs="Calibri"/>
          <w:sz w:val="22"/>
          <w:szCs w:val="22"/>
        </w:rPr>
      </w:pPr>
    </w:p>
    <w:p w:rsidR="00A845EA" w:rsidRDefault="00A845EA" w:rsidP="00A845EA">
      <w:pPr>
        <w:pStyle w:val="Body"/>
        <w:spacing w:line="276" w:lineRule="auto"/>
        <w:jc w:val="both"/>
        <w:rPr>
          <w:rFonts w:ascii="Calibri" w:eastAsia="Calibri" w:hAnsi="Calibri" w:cs="Calibri"/>
          <w:sz w:val="22"/>
          <w:szCs w:val="22"/>
        </w:rPr>
      </w:pPr>
    </w:p>
    <w:p w:rsidR="00A845EA" w:rsidRDefault="00A845EA" w:rsidP="00A845EA">
      <w:pPr>
        <w:pStyle w:val="Body"/>
        <w:spacing w:line="276" w:lineRule="auto"/>
        <w:jc w:val="both"/>
        <w:rPr>
          <w:rFonts w:ascii="Calibri" w:eastAsia="Calibri" w:hAnsi="Calibri" w:cs="Calibri"/>
          <w:sz w:val="22"/>
          <w:szCs w:val="22"/>
        </w:rPr>
      </w:pPr>
    </w:p>
    <w:p w:rsidR="00A845EA" w:rsidRDefault="00A845EA" w:rsidP="00A845EA">
      <w:pPr>
        <w:pStyle w:val="Body"/>
        <w:spacing w:line="276" w:lineRule="auto"/>
        <w:jc w:val="both"/>
        <w:rPr>
          <w:rFonts w:ascii="Calibri" w:eastAsia="Calibri" w:hAnsi="Calibri" w:cs="Calibri"/>
          <w:sz w:val="22"/>
          <w:szCs w:val="22"/>
        </w:rPr>
      </w:pPr>
      <w:r>
        <w:rPr>
          <w:rFonts w:ascii="Calibri" w:hAnsi="Calibri"/>
          <w:sz w:val="22"/>
          <w:szCs w:val="22"/>
        </w:rPr>
        <w:t xml:space="preserve"> </w:t>
      </w:r>
    </w:p>
    <w:p w:rsidR="00A845EA" w:rsidRDefault="00A845EA" w:rsidP="00A845EA">
      <w:pPr>
        <w:pStyle w:val="Body"/>
        <w:keepNext/>
        <w:spacing w:line="276" w:lineRule="auto"/>
        <w:jc w:val="both"/>
        <w:rPr>
          <w:rFonts w:ascii="Calibri" w:eastAsia="Calibri" w:hAnsi="Calibri" w:cs="Calibri"/>
          <w:sz w:val="22"/>
          <w:szCs w:val="22"/>
        </w:rPr>
      </w:pPr>
      <w:r w:rsidRPr="00E1148E">
        <w:rPr>
          <w:rFonts w:ascii="Calibri" w:eastAsia="Calibri" w:hAnsi="Calibri" w:cs="Calibri"/>
          <w:noProof/>
          <w:sz w:val="22"/>
          <w:szCs w:val="22"/>
          <w:lang w:val="en-GB" w:eastAsia="en-GB"/>
        </w:rPr>
        <w:drawing>
          <wp:inline distT="0" distB="0" distL="0" distR="0" wp14:anchorId="53E2F4B9" wp14:editId="44D33433">
            <wp:extent cx="5756910" cy="5756910"/>
            <wp:effectExtent l="0" t="0" r="0" b="0"/>
            <wp:docPr id="6" name="Picture 6" descr="D:\Data\Data\aggregation\statistics\MI_models\Article\Manuscript\submission\SciRep\Figures\FigS1_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ta\Data\aggregation\statistics\MI_models\Article\Manuscript\submission\SciRep\Figures\FigS1_2.tif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a:ln>
                      <a:noFill/>
                    </a:ln>
                  </pic:spPr>
                </pic:pic>
              </a:graphicData>
            </a:graphic>
          </wp:inline>
        </w:drawing>
      </w:r>
    </w:p>
    <w:p w:rsidR="00A845EA" w:rsidRDefault="00A845EA" w:rsidP="00A845EA">
      <w:pPr>
        <w:pStyle w:val="Body"/>
        <w:keepNext/>
        <w:spacing w:line="276" w:lineRule="auto"/>
        <w:jc w:val="both"/>
        <w:rPr>
          <w:rFonts w:ascii="Calibri" w:eastAsia="Calibri" w:hAnsi="Calibri" w:cs="Calibri"/>
          <w:sz w:val="22"/>
          <w:szCs w:val="22"/>
        </w:rPr>
      </w:pPr>
    </w:p>
    <w:p w:rsidR="00A845EA" w:rsidRDefault="00A845EA" w:rsidP="00A845EA">
      <w:pPr>
        <w:pStyle w:val="Body"/>
        <w:spacing w:line="276" w:lineRule="auto"/>
        <w:jc w:val="both"/>
        <w:rPr>
          <w:rFonts w:ascii="Calibri" w:eastAsia="Calibri" w:hAnsi="Calibri" w:cs="Calibri"/>
          <w:b/>
          <w:bCs/>
          <w:i/>
          <w:iCs/>
          <w:sz w:val="22"/>
          <w:szCs w:val="22"/>
        </w:rPr>
      </w:pPr>
    </w:p>
    <w:p w:rsidR="00A845EA" w:rsidRDefault="00A845EA" w:rsidP="00A845EA">
      <w:pPr>
        <w:pStyle w:val="Body"/>
        <w:spacing w:line="276" w:lineRule="auto"/>
        <w:jc w:val="both"/>
        <w:rPr>
          <w:rFonts w:ascii="Calibri" w:eastAsia="Calibri" w:hAnsi="Calibri" w:cs="Calibri"/>
          <w:i/>
          <w:iCs/>
          <w:sz w:val="22"/>
          <w:szCs w:val="22"/>
        </w:rPr>
      </w:pPr>
      <w:r>
        <w:rPr>
          <w:rFonts w:ascii="Calibri" w:hAnsi="Calibri"/>
          <w:b/>
          <w:bCs/>
          <w:i/>
          <w:iCs/>
          <w:sz w:val="22"/>
          <w:szCs w:val="22"/>
        </w:rPr>
        <w:t>Figure S1.</w:t>
      </w:r>
      <w:r>
        <w:rPr>
          <w:rFonts w:ascii="Calibri" w:hAnsi="Calibri"/>
          <w:i/>
          <w:iCs/>
          <w:sz w:val="22"/>
          <w:szCs w:val="22"/>
        </w:rPr>
        <w:t xml:space="preserve"> </w:t>
      </w:r>
      <w:r>
        <w:rPr>
          <w:rFonts w:ascii="Calibri" w:hAnsi="Calibri"/>
          <w:b/>
          <w:bCs/>
          <w:i/>
          <w:iCs/>
          <w:sz w:val="22"/>
          <w:szCs w:val="22"/>
        </w:rPr>
        <w:t xml:space="preserve">The two in vivo aggregation phenotypes show similar overlaps with in vitro aggregation. </w:t>
      </w:r>
      <w:r>
        <w:rPr>
          <w:rFonts w:ascii="Calibri" w:hAnsi="Calibri"/>
          <w:i/>
          <w:iCs/>
          <w:sz w:val="22"/>
          <w:szCs w:val="22"/>
        </w:rPr>
        <w:t xml:space="preserve">The relative frequencies of </w:t>
      </w:r>
      <w:proofErr w:type="spellStart"/>
      <w:r>
        <w:rPr>
          <w:rFonts w:ascii="Calibri" w:hAnsi="Calibri"/>
          <w:i/>
          <w:iCs/>
          <w:sz w:val="22"/>
          <w:szCs w:val="22"/>
          <w:lang w:val="it-IT"/>
        </w:rPr>
        <w:t>fluorescent</w:t>
      </w:r>
      <w:proofErr w:type="spellEnd"/>
      <w:r>
        <w:rPr>
          <w:rFonts w:ascii="Calibri" w:hAnsi="Calibri"/>
          <w:i/>
          <w:iCs/>
          <w:sz w:val="22"/>
          <w:szCs w:val="22"/>
          <w:lang w:val="sv-SE"/>
        </w:rPr>
        <w:t xml:space="preserve"> </w:t>
      </w:r>
      <w:proofErr w:type="spellStart"/>
      <w:r>
        <w:rPr>
          <w:rFonts w:ascii="Calibri" w:hAnsi="Calibri"/>
          <w:i/>
          <w:iCs/>
          <w:sz w:val="22"/>
          <w:szCs w:val="22"/>
          <w:lang w:val="sv-SE"/>
        </w:rPr>
        <w:t>versus</w:t>
      </w:r>
      <w:proofErr w:type="spellEnd"/>
      <w:r>
        <w:rPr>
          <w:rFonts w:ascii="Calibri" w:hAnsi="Calibri"/>
          <w:i/>
          <w:iCs/>
          <w:sz w:val="22"/>
          <w:szCs w:val="22"/>
          <w:lang w:val="sv-SE"/>
        </w:rPr>
        <w:t xml:space="preserve"> </w:t>
      </w:r>
      <w:r>
        <w:rPr>
          <w:rFonts w:ascii="Calibri" w:hAnsi="Calibri"/>
          <w:i/>
          <w:iCs/>
          <w:sz w:val="22"/>
          <w:szCs w:val="22"/>
        </w:rPr>
        <w:t>dark aggregates are similar in the in vitro aggregating and in vitro soluble classes of proteins (P = 0.3287, Fisher’s exact test).</w:t>
      </w:r>
    </w:p>
    <w:p w:rsidR="00A845EA" w:rsidRDefault="00A845EA" w:rsidP="00A845EA">
      <w:pPr>
        <w:pStyle w:val="Body"/>
        <w:spacing w:line="276" w:lineRule="auto"/>
        <w:jc w:val="both"/>
        <w:rPr>
          <w:rFonts w:ascii="Calibri" w:eastAsia="Calibri" w:hAnsi="Calibri" w:cs="Calibri"/>
          <w:sz w:val="22"/>
          <w:szCs w:val="22"/>
        </w:rPr>
      </w:pPr>
      <w:r>
        <w:rPr>
          <w:rFonts w:ascii="Calibri" w:eastAsia="Calibri" w:hAnsi="Calibri" w:cs="Calibri"/>
          <w:sz w:val="22"/>
          <w:szCs w:val="22"/>
        </w:rPr>
        <w:br/>
      </w:r>
    </w:p>
    <w:p w:rsidR="00A845EA" w:rsidRDefault="00A845EA" w:rsidP="00A845EA">
      <w:pPr>
        <w:pStyle w:val="Body"/>
        <w:spacing w:line="276" w:lineRule="auto"/>
      </w:pPr>
      <w:r>
        <w:rPr>
          <w:rFonts w:ascii="Arial Unicode MS" w:hAnsi="Arial Unicode MS"/>
        </w:rPr>
        <w:br w:type="page"/>
      </w:r>
    </w:p>
    <w:p w:rsidR="00A845EA" w:rsidRDefault="00A845EA" w:rsidP="00A845E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240" w:line="276" w:lineRule="auto"/>
        <w:jc w:val="both"/>
        <w:rPr>
          <w:rFonts w:ascii="Calibri" w:eastAsia="Calibri" w:hAnsi="Calibri" w:cs="Calibri"/>
          <w:sz w:val="22"/>
          <w:szCs w:val="22"/>
        </w:rPr>
      </w:pPr>
    </w:p>
    <w:p w:rsidR="00A845EA" w:rsidRDefault="00A845EA" w:rsidP="00A845E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240" w:line="276" w:lineRule="auto"/>
        <w:jc w:val="both"/>
        <w:rPr>
          <w:rFonts w:ascii="Calibri" w:eastAsia="Calibri" w:hAnsi="Calibri" w:cs="Calibri"/>
          <w:sz w:val="22"/>
          <w:szCs w:val="22"/>
        </w:rPr>
      </w:pPr>
    </w:p>
    <w:p w:rsidR="00A845EA" w:rsidRDefault="00A845EA" w:rsidP="00A845EA">
      <w:pPr>
        <w:pStyle w:val="Body"/>
        <w:spacing w:after="160" w:line="276" w:lineRule="auto"/>
        <w:jc w:val="both"/>
      </w:pPr>
    </w:p>
    <w:p w:rsidR="00A845EA" w:rsidRDefault="00A845EA" w:rsidP="00A845EA">
      <w:pPr>
        <w:pStyle w:val="Body"/>
        <w:spacing w:after="160" w:line="276" w:lineRule="auto"/>
        <w:jc w:val="both"/>
        <w:rPr>
          <w:rFonts w:ascii="Calibri" w:eastAsia="Calibri" w:hAnsi="Calibri" w:cs="Calibri"/>
          <w:sz w:val="22"/>
          <w:szCs w:val="22"/>
        </w:rPr>
      </w:pPr>
    </w:p>
    <w:p w:rsidR="00A845EA" w:rsidRDefault="00A845EA" w:rsidP="00A845EA">
      <w:pPr>
        <w:pStyle w:val="Body"/>
        <w:spacing w:after="160" w:line="276" w:lineRule="auto"/>
        <w:jc w:val="both"/>
        <w:rPr>
          <w:rFonts w:ascii="Calibri" w:eastAsia="Calibri" w:hAnsi="Calibri" w:cs="Calibri"/>
          <w:sz w:val="22"/>
          <w:szCs w:val="22"/>
        </w:rPr>
      </w:pPr>
    </w:p>
    <w:p w:rsidR="00A845EA" w:rsidRDefault="00A845EA" w:rsidP="00A845EA">
      <w:pPr>
        <w:pStyle w:val="Body"/>
        <w:spacing w:after="160" w:line="276" w:lineRule="auto"/>
        <w:jc w:val="both"/>
        <w:rPr>
          <w:rFonts w:ascii="Calibri" w:eastAsia="Calibri" w:hAnsi="Calibri" w:cs="Calibri"/>
          <w:sz w:val="22"/>
          <w:szCs w:val="22"/>
        </w:rPr>
      </w:pPr>
    </w:p>
    <w:p w:rsidR="00A845EA" w:rsidRDefault="00A845EA" w:rsidP="00A845EA">
      <w:pPr>
        <w:pStyle w:val="Body"/>
        <w:spacing w:line="276" w:lineRule="auto"/>
        <w:jc w:val="both"/>
        <w:rPr>
          <w:rFonts w:ascii="Calibri" w:eastAsia="Calibri" w:hAnsi="Calibri" w:cs="Calibri"/>
          <w:sz w:val="22"/>
          <w:szCs w:val="22"/>
        </w:rPr>
      </w:pPr>
    </w:p>
    <w:p w:rsidR="000934EA" w:rsidRDefault="000934EA" w:rsidP="00A845EA">
      <w:pPr>
        <w:pStyle w:val="Body"/>
        <w:spacing w:line="276" w:lineRule="auto"/>
        <w:jc w:val="both"/>
        <w:rPr>
          <w:rFonts w:ascii="Calibri" w:eastAsia="Calibri" w:hAnsi="Calibri" w:cs="Calibri"/>
          <w:sz w:val="22"/>
          <w:szCs w:val="22"/>
        </w:rPr>
      </w:pPr>
      <w:r w:rsidRPr="000934EA">
        <w:rPr>
          <w:rFonts w:ascii="Calibri" w:eastAsia="Calibri" w:hAnsi="Calibri" w:cs="Calibri"/>
          <w:noProof/>
          <w:sz w:val="22"/>
          <w:szCs w:val="22"/>
          <w:lang w:val="en-GB" w:eastAsia="en-GB"/>
        </w:rPr>
        <w:drawing>
          <wp:inline distT="0" distB="0" distL="0" distR="0">
            <wp:extent cx="5891917" cy="5891917"/>
            <wp:effectExtent l="0" t="0" r="0" b="0"/>
            <wp:docPr id="4" name="Picture 4" descr="D:\Data\Data\aggregation\statistics\MI_models\Article\Manuscript\submission\SciRep\Figures\FigS2_revise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ata\Data\aggregation\statistics\MI_models\Article\Manuscript\submission\SciRep\Figures\FigS2_revised.tif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93910" cy="5893910"/>
                    </a:xfrm>
                    <a:prstGeom prst="rect">
                      <a:avLst/>
                    </a:prstGeom>
                    <a:noFill/>
                    <a:ln>
                      <a:noFill/>
                    </a:ln>
                  </pic:spPr>
                </pic:pic>
              </a:graphicData>
            </a:graphic>
          </wp:inline>
        </w:drawing>
      </w:r>
    </w:p>
    <w:p w:rsidR="00A845EA" w:rsidRDefault="00A845EA" w:rsidP="00A845EA">
      <w:pPr>
        <w:pStyle w:val="Body"/>
        <w:spacing w:after="160" w:line="276" w:lineRule="auto"/>
        <w:jc w:val="both"/>
        <w:rPr>
          <w:rFonts w:ascii="Calibri" w:eastAsia="Calibri" w:hAnsi="Calibri" w:cs="Calibri"/>
          <w:i/>
          <w:iCs/>
          <w:sz w:val="22"/>
          <w:szCs w:val="22"/>
        </w:rPr>
      </w:pPr>
      <w:r>
        <w:rPr>
          <w:rFonts w:ascii="Calibri" w:hAnsi="Calibri"/>
          <w:b/>
          <w:bCs/>
          <w:i/>
          <w:iCs/>
          <w:sz w:val="22"/>
          <w:szCs w:val="22"/>
        </w:rPr>
        <w:t>Figure S2. Experimental validation of protein overexpression and solubility phenotypes. (A)</w:t>
      </w:r>
      <w:r>
        <w:rPr>
          <w:rFonts w:ascii="Calibri" w:hAnsi="Calibri"/>
          <w:i/>
          <w:iCs/>
          <w:sz w:val="22"/>
          <w:szCs w:val="22"/>
        </w:rPr>
        <w:t xml:space="preserve"> Summary of western blot analysis of a representative subset of </w:t>
      </w:r>
      <w:r w:rsidR="000934EA">
        <w:rPr>
          <w:rFonts w:ascii="Calibri" w:hAnsi="Calibri"/>
          <w:i/>
          <w:iCs/>
          <w:sz w:val="22"/>
          <w:szCs w:val="22"/>
        </w:rPr>
        <w:t>100</w:t>
      </w:r>
      <w:r>
        <w:rPr>
          <w:rFonts w:ascii="Calibri" w:hAnsi="Calibri"/>
          <w:i/>
          <w:iCs/>
          <w:sz w:val="22"/>
          <w:szCs w:val="22"/>
        </w:rPr>
        <w:t xml:space="preserve"> proteins classified as ‘</w:t>
      </w:r>
      <w:r>
        <w:rPr>
          <w:rFonts w:ascii="Calibri" w:hAnsi="Calibri"/>
          <w:i/>
          <w:iCs/>
          <w:sz w:val="22"/>
          <w:szCs w:val="22"/>
          <w:lang w:val="it-IT"/>
        </w:rPr>
        <w:t>dark aggregate</w:t>
      </w:r>
      <w:r>
        <w:rPr>
          <w:rFonts w:ascii="Calibri" w:hAnsi="Calibri"/>
          <w:i/>
          <w:iCs/>
          <w:sz w:val="22"/>
          <w:szCs w:val="22"/>
        </w:rPr>
        <w:t>’ in the image-based in vivo screen. 9</w:t>
      </w:r>
      <w:r w:rsidR="000934EA">
        <w:rPr>
          <w:rFonts w:ascii="Calibri" w:hAnsi="Calibri"/>
          <w:i/>
          <w:iCs/>
          <w:sz w:val="22"/>
          <w:szCs w:val="22"/>
        </w:rPr>
        <w:t>2</w:t>
      </w:r>
      <w:r>
        <w:rPr>
          <w:rFonts w:ascii="Calibri" w:hAnsi="Calibri"/>
          <w:i/>
          <w:iCs/>
          <w:sz w:val="22"/>
          <w:szCs w:val="22"/>
        </w:rPr>
        <w:t>% of these proteins are expressed as detected using western blot.</w:t>
      </w:r>
      <w:r>
        <w:rPr>
          <w:rFonts w:ascii="Calibri" w:hAnsi="Calibri"/>
          <w:b/>
          <w:bCs/>
          <w:i/>
          <w:iCs/>
          <w:sz w:val="22"/>
          <w:szCs w:val="22"/>
        </w:rPr>
        <w:t xml:space="preserve"> (B)</w:t>
      </w:r>
      <w:r>
        <w:rPr>
          <w:rFonts w:ascii="Calibri" w:hAnsi="Calibri"/>
          <w:i/>
          <w:iCs/>
          <w:sz w:val="22"/>
          <w:szCs w:val="22"/>
        </w:rPr>
        <w:t xml:space="preserve"> Quantified band intensity measurements from western-blot analysis of fluorescent and dark aggregate proteins. No significant difference was found between the band intensities (P = 0.8794, Wilcoxon Signed rank test, N = 57 and N = 14 for dark aggregate and fluorescent aggregates respectively, see supplementary methods). </w:t>
      </w:r>
      <w:r>
        <w:rPr>
          <w:rFonts w:ascii="Calibri" w:hAnsi="Calibri"/>
          <w:b/>
          <w:bCs/>
          <w:i/>
          <w:iCs/>
          <w:sz w:val="22"/>
          <w:szCs w:val="22"/>
          <w:lang w:val="pt-PT"/>
        </w:rPr>
        <w:t>(C)</w:t>
      </w:r>
      <w:r>
        <w:rPr>
          <w:rFonts w:ascii="Calibri" w:hAnsi="Calibri"/>
          <w:i/>
          <w:iCs/>
          <w:sz w:val="22"/>
          <w:szCs w:val="22"/>
        </w:rPr>
        <w:t xml:space="preserve"> Validation of the high-throughput image-based cell classification by </w:t>
      </w:r>
      <w:r>
        <w:rPr>
          <w:rFonts w:ascii="Calibri" w:hAnsi="Calibri"/>
          <w:i/>
          <w:iCs/>
          <w:sz w:val="22"/>
          <w:szCs w:val="22"/>
        </w:rPr>
        <w:lastRenderedPageBreak/>
        <w:t xml:space="preserve">analyzing the soluble and insoluble protein fractions of a representative set of overexpression strains with SDS-PAGE and western blotting. The set of overexpression constructs represent 14, 14 and 18 proteins that show soluble, </w:t>
      </w:r>
      <w:proofErr w:type="spellStart"/>
      <w:r>
        <w:rPr>
          <w:rFonts w:ascii="Calibri" w:hAnsi="Calibri"/>
          <w:i/>
          <w:iCs/>
          <w:sz w:val="22"/>
          <w:szCs w:val="22"/>
          <w:lang w:val="it-IT"/>
        </w:rPr>
        <w:t>fluorescent</w:t>
      </w:r>
      <w:proofErr w:type="spellEnd"/>
      <w:r>
        <w:rPr>
          <w:rFonts w:ascii="Calibri" w:hAnsi="Calibri"/>
          <w:i/>
          <w:iCs/>
          <w:sz w:val="22"/>
          <w:szCs w:val="22"/>
        </w:rPr>
        <w:t xml:space="preserve"> aggregate and dark aggregate phenotypes, respectively, in the image-based screen. Proteins </w:t>
      </w:r>
      <w:proofErr w:type="gramStart"/>
      <w:r>
        <w:rPr>
          <w:rFonts w:ascii="Calibri" w:hAnsi="Calibri"/>
          <w:i/>
          <w:iCs/>
          <w:sz w:val="22"/>
          <w:szCs w:val="22"/>
        </w:rPr>
        <w:t>were classified</w:t>
      </w:r>
      <w:proofErr w:type="gramEnd"/>
      <w:r>
        <w:rPr>
          <w:rFonts w:ascii="Calibri" w:hAnsi="Calibri"/>
          <w:i/>
          <w:iCs/>
          <w:sz w:val="22"/>
          <w:szCs w:val="22"/>
        </w:rPr>
        <w:t xml:space="preserve"> as aggregate if no protein was detected in the soluble fraction using SDS-PAGE western blot (see Methods). Proteins showing solubility in the image-based analysis are significantly enriched in the soluble fraction compared to proteins that form fluorescent and dark aggregates (P = 7.48*10</w:t>
      </w:r>
      <w:r>
        <w:rPr>
          <w:rFonts w:ascii="Calibri" w:hAnsi="Calibri"/>
          <w:i/>
          <w:iCs/>
          <w:sz w:val="22"/>
          <w:szCs w:val="22"/>
          <w:vertAlign w:val="superscript"/>
          <w:lang w:val="ru-RU"/>
        </w:rPr>
        <w:t>-7</w:t>
      </w:r>
      <w:r>
        <w:rPr>
          <w:rFonts w:ascii="Calibri" w:hAnsi="Calibri"/>
          <w:i/>
          <w:iCs/>
          <w:sz w:val="22"/>
          <w:szCs w:val="22"/>
        </w:rPr>
        <w:t xml:space="preserve"> and P = 5.26*10</w:t>
      </w:r>
      <w:r>
        <w:rPr>
          <w:rFonts w:ascii="Calibri" w:hAnsi="Calibri"/>
          <w:i/>
          <w:iCs/>
          <w:sz w:val="22"/>
          <w:szCs w:val="22"/>
          <w:vertAlign w:val="superscript"/>
        </w:rPr>
        <w:t>-6</w:t>
      </w:r>
      <w:r>
        <w:rPr>
          <w:rFonts w:ascii="Calibri" w:hAnsi="Calibri"/>
          <w:i/>
          <w:iCs/>
          <w:sz w:val="22"/>
          <w:szCs w:val="22"/>
        </w:rPr>
        <w:t xml:space="preserve">, respectively, Fisher’s exact test, N = 46). Proteins in </w:t>
      </w:r>
      <w:proofErr w:type="spellStart"/>
      <w:r>
        <w:rPr>
          <w:rFonts w:ascii="Calibri" w:hAnsi="Calibri"/>
          <w:i/>
          <w:iCs/>
          <w:sz w:val="22"/>
          <w:szCs w:val="22"/>
          <w:lang w:val="it-IT"/>
        </w:rPr>
        <w:t>fluorescent</w:t>
      </w:r>
      <w:proofErr w:type="spellEnd"/>
      <w:r>
        <w:rPr>
          <w:rFonts w:ascii="Calibri" w:hAnsi="Calibri"/>
          <w:i/>
          <w:iCs/>
          <w:sz w:val="22"/>
          <w:szCs w:val="22"/>
        </w:rPr>
        <w:t xml:space="preserve"> and dark aggregates show similar relative frequencies of protein aggregation (P = 0.49, Fisher’s exact test).</w:t>
      </w:r>
    </w:p>
    <w:p w:rsidR="00A845EA" w:rsidRDefault="00A845EA" w:rsidP="00A845EA">
      <w:pPr>
        <w:pStyle w:val="Body"/>
        <w:spacing w:line="276" w:lineRule="auto"/>
      </w:pPr>
      <w:r>
        <w:rPr>
          <w:rFonts w:ascii="Arial Unicode MS" w:hAnsi="Arial Unicode MS"/>
        </w:rPr>
        <w:br w:type="page"/>
      </w:r>
    </w:p>
    <w:p w:rsidR="00A845EA" w:rsidRDefault="00A845EA" w:rsidP="00A845EA">
      <w:pPr>
        <w:pStyle w:val="Body"/>
        <w:spacing w:after="160" w:line="276" w:lineRule="auto"/>
        <w:jc w:val="both"/>
      </w:pPr>
    </w:p>
    <w:p w:rsidR="00A845EA" w:rsidRDefault="00A845EA" w:rsidP="00A845EA">
      <w:pPr>
        <w:pStyle w:val="Body"/>
        <w:spacing w:after="160" w:line="276" w:lineRule="auto"/>
        <w:jc w:val="both"/>
      </w:pPr>
    </w:p>
    <w:p w:rsidR="00A845EA" w:rsidRDefault="00A845EA" w:rsidP="00A845EA">
      <w:pPr>
        <w:pStyle w:val="Body"/>
        <w:spacing w:after="160" w:line="276" w:lineRule="auto"/>
        <w:jc w:val="both"/>
      </w:pPr>
      <w:r>
        <w:rPr>
          <w:noProof/>
          <w:lang w:val="en-GB" w:eastAsia="en-GB"/>
        </w:rPr>
        <w:drawing>
          <wp:inline distT="0" distB="0" distL="0" distR="0" wp14:anchorId="22DEC735" wp14:editId="578CFB58">
            <wp:extent cx="5756910" cy="8059420"/>
            <wp:effectExtent l="0" t="0" r="0" b="0"/>
            <wp:docPr id="1073741832" name="officeArt object" descr="image8.png"/>
            <wp:cNvGraphicFramePr/>
            <a:graphic xmlns:a="http://schemas.openxmlformats.org/drawingml/2006/main">
              <a:graphicData uri="http://schemas.openxmlformats.org/drawingml/2006/picture">
                <pic:pic xmlns:pic="http://schemas.openxmlformats.org/drawingml/2006/picture">
                  <pic:nvPicPr>
                    <pic:cNvPr id="1073741832" name="image8.png" descr="image8.png"/>
                    <pic:cNvPicPr>
                      <a:picLocks noChangeAspect="1"/>
                    </pic:cNvPicPr>
                  </pic:nvPicPr>
                  <pic:blipFill>
                    <a:blip r:embed="rId7">
                      <a:extLst/>
                    </a:blip>
                    <a:stretch>
                      <a:fillRect/>
                    </a:stretch>
                  </pic:blipFill>
                  <pic:spPr>
                    <a:xfrm>
                      <a:off x="0" y="0"/>
                      <a:ext cx="5756910" cy="8059420"/>
                    </a:xfrm>
                    <a:prstGeom prst="rect">
                      <a:avLst/>
                    </a:prstGeom>
                    <a:ln w="12700" cap="flat">
                      <a:noFill/>
                      <a:miter lim="400000"/>
                    </a:ln>
                    <a:effectLst/>
                  </pic:spPr>
                </pic:pic>
              </a:graphicData>
            </a:graphic>
          </wp:inline>
        </w:drawing>
      </w:r>
    </w:p>
    <w:p w:rsidR="00A845EA" w:rsidRDefault="00A845EA" w:rsidP="00A845EA">
      <w:pPr>
        <w:pStyle w:val="Body"/>
        <w:spacing w:line="276" w:lineRule="auto"/>
        <w:jc w:val="both"/>
        <w:rPr>
          <w:rFonts w:ascii="Calibri" w:eastAsia="Calibri" w:hAnsi="Calibri" w:cs="Calibri"/>
          <w:i/>
          <w:iCs/>
          <w:sz w:val="22"/>
          <w:szCs w:val="22"/>
        </w:rPr>
      </w:pPr>
      <w:r>
        <w:rPr>
          <w:rFonts w:ascii="Calibri" w:hAnsi="Calibri"/>
          <w:b/>
          <w:bCs/>
          <w:i/>
          <w:iCs/>
          <w:sz w:val="22"/>
          <w:szCs w:val="22"/>
        </w:rPr>
        <w:t>Figure S3. Major protein features discriminating soluble proteins from the two classes of aggregates.</w:t>
      </w:r>
      <w:r>
        <w:rPr>
          <w:rFonts w:ascii="Calibri" w:hAnsi="Calibri"/>
          <w:i/>
          <w:iCs/>
          <w:sz w:val="22"/>
          <w:szCs w:val="22"/>
        </w:rPr>
        <w:t xml:space="preserve"> Features discriminating between proteins that remain soluble and those that form </w:t>
      </w:r>
      <w:proofErr w:type="spellStart"/>
      <w:r>
        <w:rPr>
          <w:rFonts w:ascii="Calibri" w:hAnsi="Calibri"/>
          <w:i/>
          <w:iCs/>
          <w:sz w:val="22"/>
          <w:szCs w:val="22"/>
          <w:lang w:val="it-IT"/>
        </w:rPr>
        <w:t>fluorescent</w:t>
      </w:r>
      <w:proofErr w:type="spellEnd"/>
      <w:r>
        <w:rPr>
          <w:rFonts w:ascii="Calibri" w:hAnsi="Calibri"/>
          <w:i/>
          <w:iCs/>
          <w:sz w:val="22"/>
          <w:szCs w:val="22"/>
        </w:rPr>
        <w:t xml:space="preserve"> (A) or dark (B) aggregates, respectively. The predictive ability of each feature </w:t>
      </w:r>
      <w:proofErr w:type="gramStart"/>
      <w:r>
        <w:rPr>
          <w:rFonts w:ascii="Calibri" w:hAnsi="Calibri"/>
          <w:i/>
          <w:iCs/>
          <w:sz w:val="22"/>
          <w:szCs w:val="22"/>
        </w:rPr>
        <w:t>was measured</w:t>
      </w:r>
      <w:proofErr w:type="gramEnd"/>
      <w:r>
        <w:rPr>
          <w:rFonts w:ascii="Calibri" w:hAnsi="Calibri"/>
          <w:i/>
          <w:iCs/>
          <w:sz w:val="22"/>
          <w:szCs w:val="22"/>
        </w:rPr>
        <w:t xml:space="preserve"> as the average </w:t>
      </w:r>
      <w:r>
        <w:rPr>
          <w:rFonts w:ascii="Calibri" w:hAnsi="Calibri"/>
          <w:i/>
          <w:iCs/>
          <w:sz w:val="22"/>
          <w:szCs w:val="22"/>
        </w:rPr>
        <w:lastRenderedPageBreak/>
        <w:t>area under the receiver operating characteristic (ROC) curve in a tenfold cross-validation procedure based on logistic regression analyses. All displayed protein features are statistically significantly predictive after adjustment for multiple testing using the false discovery rate method</w:t>
      </w:r>
      <w:proofErr w:type="gramStart"/>
      <w:r>
        <w:rPr>
          <w:rFonts w:ascii="Calibri" w:hAnsi="Calibri"/>
          <w:i/>
          <w:iCs/>
          <w:sz w:val="22"/>
          <w:szCs w:val="22"/>
        </w:rPr>
        <w:t>,*</w:t>
      </w:r>
      <w:proofErr w:type="gramEnd"/>
      <w:r>
        <w:rPr>
          <w:rFonts w:ascii="Calibri" w:hAnsi="Calibri"/>
          <w:i/>
          <w:iCs/>
          <w:sz w:val="22"/>
          <w:szCs w:val="22"/>
        </w:rPr>
        <w:t xml:space="preserve">** corresponds to p </w:t>
      </w:r>
      <w:proofErr w:type="spellStart"/>
      <w:r>
        <w:rPr>
          <w:rFonts w:ascii="Calibri" w:hAnsi="Calibri"/>
          <w:i/>
          <w:iCs/>
          <w:sz w:val="22"/>
          <w:szCs w:val="22"/>
        </w:rPr>
        <w:t>adj</w:t>
      </w:r>
      <w:proofErr w:type="spellEnd"/>
      <w:r>
        <w:rPr>
          <w:rFonts w:ascii="Calibri" w:hAnsi="Calibri"/>
          <w:i/>
          <w:iCs/>
          <w:sz w:val="22"/>
          <w:szCs w:val="22"/>
        </w:rPr>
        <w:t xml:space="preserve"> &lt;0.0001, ** corresponds to p </w:t>
      </w:r>
      <w:proofErr w:type="spellStart"/>
      <w:r>
        <w:rPr>
          <w:rFonts w:ascii="Calibri" w:hAnsi="Calibri"/>
          <w:i/>
          <w:iCs/>
          <w:sz w:val="22"/>
          <w:szCs w:val="22"/>
        </w:rPr>
        <w:t>adj</w:t>
      </w:r>
      <w:proofErr w:type="spellEnd"/>
      <w:r>
        <w:rPr>
          <w:rFonts w:ascii="Calibri" w:hAnsi="Calibri"/>
          <w:i/>
          <w:iCs/>
          <w:sz w:val="22"/>
          <w:szCs w:val="22"/>
        </w:rPr>
        <w:t xml:space="preserve"> &lt; 0.01, * </w:t>
      </w:r>
      <w:proofErr w:type="spellStart"/>
      <w:r>
        <w:rPr>
          <w:rFonts w:ascii="Calibri" w:hAnsi="Calibri"/>
          <w:i/>
          <w:iCs/>
          <w:sz w:val="22"/>
          <w:szCs w:val="22"/>
        </w:rPr>
        <w:t>to p</w:t>
      </w:r>
      <w:proofErr w:type="spellEnd"/>
      <w:r>
        <w:rPr>
          <w:rFonts w:ascii="Calibri" w:hAnsi="Calibri"/>
          <w:i/>
          <w:iCs/>
          <w:sz w:val="22"/>
          <w:szCs w:val="22"/>
        </w:rPr>
        <w:t xml:space="preserve"> </w:t>
      </w:r>
      <w:proofErr w:type="spellStart"/>
      <w:r>
        <w:rPr>
          <w:rFonts w:ascii="Calibri" w:hAnsi="Calibri"/>
          <w:i/>
          <w:iCs/>
          <w:sz w:val="22"/>
          <w:szCs w:val="22"/>
        </w:rPr>
        <w:t>adj</w:t>
      </w:r>
      <w:proofErr w:type="spellEnd"/>
      <w:r>
        <w:rPr>
          <w:rFonts w:ascii="Calibri" w:hAnsi="Calibri"/>
          <w:i/>
          <w:iCs/>
          <w:sz w:val="22"/>
          <w:szCs w:val="22"/>
        </w:rPr>
        <w:t xml:space="preserve"> &lt; 0.05 (logistic regression). Error bars show the 95% confidence interval for the AUC value of each feature.</w:t>
      </w:r>
    </w:p>
    <w:p w:rsidR="00A845EA" w:rsidRDefault="00A845EA" w:rsidP="00A845EA">
      <w:pPr>
        <w:pStyle w:val="Body"/>
        <w:spacing w:line="276" w:lineRule="auto"/>
        <w:rPr>
          <w:rFonts w:ascii="Arimo" w:eastAsia="Arimo" w:hAnsi="Arimo" w:cs="Arimo"/>
        </w:rPr>
      </w:pPr>
    </w:p>
    <w:p w:rsidR="00A845EA" w:rsidRDefault="00A845EA" w:rsidP="00A845EA">
      <w:pPr>
        <w:pStyle w:val="Body"/>
        <w:spacing w:after="160" w:line="276" w:lineRule="auto"/>
        <w:jc w:val="both"/>
      </w:pPr>
      <w:bookmarkStart w:id="0" w:name="_headingh.gjdgxs"/>
      <w:bookmarkEnd w:id="0"/>
    </w:p>
    <w:p w:rsidR="00A845EA" w:rsidRDefault="00A845EA" w:rsidP="00A845EA">
      <w:pPr>
        <w:pStyle w:val="Body"/>
        <w:spacing w:after="160" w:line="276" w:lineRule="auto"/>
        <w:jc w:val="both"/>
        <w:rPr>
          <w:rFonts w:ascii="Calibri" w:eastAsia="Calibri" w:hAnsi="Calibri" w:cs="Calibri"/>
          <w:b/>
          <w:bCs/>
          <w:i/>
          <w:iCs/>
          <w:sz w:val="22"/>
          <w:szCs w:val="22"/>
        </w:rPr>
      </w:pPr>
    </w:p>
    <w:p w:rsidR="00A845EA" w:rsidRDefault="00A845EA" w:rsidP="00A845EA">
      <w:pPr>
        <w:pStyle w:val="Body"/>
        <w:spacing w:after="160" w:line="276" w:lineRule="auto"/>
        <w:jc w:val="both"/>
        <w:rPr>
          <w:rFonts w:ascii="Calibri" w:eastAsia="Calibri" w:hAnsi="Calibri" w:cs="Calibri"/>
          <w:i/>
          <w:iCs/>
          <w:sz w:val="22"/>
          <w:szCs w:val="22"/>
        </w:rPr>
      </w:pPr>
    </w:p>
    <w:p w:rsidR="000E6848" w:rsidRDefault="000E6848">
      <w:pPr>
        <w:rPr>
          <w:rFonts w:ascii="Times New Roman" w:eastAsia="Arial Unicode MS" w:hAnsi="Times New Roman" w:cs="Arial Unicode MS"/>
          <w:color w:val="000000"/>
          <w:sz w:val="24"/>
          <w:szCs w:val="24"/>
          <w:u w:color="000000"/>
          <w:bdr w:val="nil"/>
          <w:lang w:val="en-US"/>
          <w14:textOutline w14:w="0" w14:cap="flat" w14:cmpd="sng" w14:algn="ctr">
            <w14:noFill/>
            <w14:prstDash w14:val="solid"/>
            <w14:bevel/>
          </w14:textOutline>
        </w:rPr>
      </w:pPr>
      <w:r w:rsidRPr="000E6848">
        <w:rPr>
          <w:lang w:val="en-GB"/>
        </w:rPr>
        <w:br w:type="page"/>
      </w:r>
    </w:p>
    <w:p w:rsidR="00A845EA" w:rsidRDefault="00F014C6" w:rsidP="00103AB2">
      <w:pPr>
        <w:pStyle w:val="Body"/>
        <w:spacing w:line="276" w:lineRule="auto"/>
      </w:pPr>
      <w:r>
        <w:lastRenderedPageBreak/>
        <w:t>Supplementary table legends</w:t>
      </w:r>
    </w:p>
    <w:p w:rsidR="000E6848" w:rsidRDefault="000E6848" w:rsidP="00103AB2">
      <w:pPr>
        <w:pStyle w:val="Body"/>
        <w:spacing w:line="276" w:lineRule="auto"/>
      </w:pPr>
    </w:p>
    <w:p w:rsidR="000E6848" w:rsidRDefault="000E6848" w:rsidP="00103AB2">
      <w:pPr>
        <w:pStyle w:val="Body"/>
        <w:spacing w:line="276" w:lineRule="auto"/>
      </w:pPr>
      <w:r>
        <w:t>Table S1.</w:t>
      </w:r>
    </w:p>
    <w:p w:rsidR="000E6848" w:rsidRDefault="000E6848" w:rsidP="00103AB2">
      <w:pPr>
        <w:pStyle w:val="Body"/>
        <w:spacing w:line="276" w:lineRule="auto"/>
      </w:pPr>
      <w:r>
        <w:t xml:space="preserve">List of </w:t>
      </w:r>
      <w:r w:rsidRPr="000E6848">
        <w:rPr>
          <w:i/>
        </w:rPr>
        <w:t>E. coli</w:t>
      </w:r>
      <w:r>
        <w:t xml:space="preserve"> proteins used in the high-content microscopy experiments and the number (and frac</w:t>
      </w:r>
      <w:r w:rsidR="00DE64B9">
        <w:t>t</w:t>
      </w:r>
      <w:r>
        <w:t>ion) of cells showing the distinct phenotypes. Column C shows the final phenotype assigned to each protein based on a majority rule of the cellular phenotypes.</w:t>
      </w:r>
      <w:r w:rsidR="00834565">
        <w:t xml:space="preserve"> Raw microscopy data </w:t>
      </w:r>
      <w:proofErr w:type="gramStart"/>
      <w:r w:rsidR="00834565">
        <w:t>can be downloaded</w:t>
      </w:r>
      <w:proofErr w:type="gramEnd"/>
      <w:r w:rsidR="00834565">
        <w:t xml:space="preserve"> from </w:t>
      </w:r>
      <w:hyperlink r:id="rId8" w:history="1">
        <w:r w:rsidR="00440F86" w:rsidRPr="00EE4FE1">
          <w:rPr>
            <w:rStyle w:val="Hyperlink"/>
          </w:rPr>
          <w:t>http://group.szbk.u-szeged.hu/sysbiol/scientific-resources/Proteome-wide-landscape-of-solubility-limits-in-a-bacterial-cell/Proteome_wide_landscape_of_solubility_limits_in_a_bacterial.zip</w:t>
        </w:r>
      </w:hyperlink>
      <w:bookmarkStart w:id="1" w:name="_GoBack"/>
      <w:bookmarkEnd w:id="1"/>
      <w:r w:rsidR="00440F86" w:rsidRPr="00440F86">
        <w:t>.</w:t>
      </w:r>
    </w:p>
    <w:p w:rsidR="00103AB2" w:rsidRDefault="00103AB2" w:rsidP="00103AB2">
      <w:pPr>
        <w:pStyle w:val="Body"/>
        <w:spacing w:line="276" w:lineRule="auto"/>
      </w:pPr>
    </w:p>
    <w:p w:rsidR="000E6848" w:rsidRDefault="000E6848" w:rsidP="00103AB2">
      <w:pPr>
        <w:pStyle w:val="Body"/>
      </w:pPr>
      <w:r>
        <w:t>Table S2.</w:t>
      </w:r>
    </w:p>
    <w:p w:rsidR="000E6848" w:rsidRPr="00103AB2" w:rsidRDefault="007B41EF" w:rsidP="00103AB2">
      <w:pPr>
        <w:pStyle w:val="Body"/>
        <w:spacing w:line="276" w:lineRule="auto"/>
        <w:rPr>
          <w:rFonts w:cs="Times New Roman"/>
        </w:rPr>
      </w:pPr>
      <w:r w:rsidRPr="00103AB2">
        <w:rPr>
          <w:rFonts w:cs="Times New Roman"/>
        </w:rPr>
        <w:t xml:space="preserve">List of proteins used in western blot experiments to verify proper protein expression and product size of a randomly selected subset of the ASKA library clones. </w:t>
      </w:r>
    </w:p>
    <w:p w:rsidR="00103AB2" w:rsidRDefault="00103AB2" w:rsidP="00103AB2">
      <w:pPr>
        <w:pStyle w:val="Body"/>
        <w:spacing w:line="276" w:lineRule="auto"/>
        <w:rPr>
          <w:rFonts w:cs="Times New Roman"/>
        </w:rPr>
      </w:pPr>
    </w:p>
    <w:p w:rsidR="007B41EF" w:rsidRPr="00103AB2" w:rsidRDefault="007B41EF" w:rsidP="00103AB2">
      <w:pPr>
        <w:pStyle w:val="Body"/>
        <w:spacing w:line="276" w:lineRule="auto"/>
        <w:rPr>
          <w:rFonts w:cs="Times New Roman"/>
        </w:rPr>
      </w:pPr>
      <w:r w:rsidRPr="00103AB2">
        <w:rPr>
          <w:rFonts w:cs="Times New Roman"/>
        </w:rPr>
        <w:t>Table S3.</w:t>
      </w:r>
    </w:p>
    <w:p w:rsidR="007B41EF" w:rsidRPr="00103AB2" w:rsidRDefault="00E6563D" w:rsidP="00103AB2">
      <w:pPr>
        <w:pStyle w:val="Body"/>
        <w:spacing w:line="276" w:lineRule="auto"/>
        <w:rPr>
          <w:rFonts w:cs="Times New Roman"/>
        </w:rPr>
      </w:pPr>
      <w:r w:rsidRPr="00103AB2">
        <w:rPr>
          <w:rFonts w:cs="Times New Roman"/>
        </w:rPr>
        <w:t>Results of the experimental verification of the image-based protein solubility phenotype of a randomly selected subset of proteins.</w:t>
      </w:r>
    </w:p>
    <w:p w:rsidR="00103AB2" w:rsidRDefault="00103AB2" w:rsidP="00103AB2">
      <w:pPr>
        <w:pStyle w:val="Body"/>
        <w:spacing w:line="276" w:lineRule="auto"/>
        <w:rPr>
          <w:rFonts w:cs="Times New Roman"/>
        </w:rPr>
      </w:pPr>
    </w:p>
    <w:p w:rsidR="00D63C00" w:rsidRPr="00103AB2" w:rsidRDefault="00D63C00" w:rsidP="00103AB2">
      <w:pPr>
        <w:pStyle w:val="Body"/>
        <w:spacing w:line="276" w:lineRule="auto"/>
        <w:rPr>
          <w:rFonts w:cs="Times New Roman"/>
        </w:rPr>
      </w:pPr>
      <w:r w:rsidRPr="00103AB2">
        <w:rPr>
          <w:rFonts w:cs="Times New Roman"/>
        </w:rPr>
        <w:t>Table S4.</w:t>
      </w:r>
    </w:p>
    <w:p w:rsidR="00D63C00" w:rsidRPr="00103AB2" w:rsidRDefault="00D63C00" w:rsidP="00103AB2">
      <w:pPr>
        <w:pStyle w:val="Body"/>
        <w:spacing w:line="276" w:lineRule="auto"/>
        <w:rPr>
          <w:rFonts w:cs="Times New Roman"/>
        </w:rPr>
      </w:pPr>
      <w:r w:rsidRPr="00103AB2">
        <w:rPr>
          <w:rFonts w:cs="Times New Roman"/>
        </w:rPr>
        <w:t>(A) List of protein properties used in downstream calculations and references to their origins.</w:t>
      </w:r>
    </w:p>
    <w:p w:rsidR="007B41EF" w:rsidRPr="00103AB2" w:rsidRDefault="00D63C00" w:rsidP="00103AB2">
      <w:pPr>
        <w:pStyle w:val="Body"/>
        <w:spacing w:line="276" w:lineRule="auto"/>
        <w:rPr>
          <w:rFonts w:cs="Times New Roman"/>
        </w:rPr>
      </w:pPr>
      <w:r w:rsidRPr="00103AB2">
        <w:rPr>
          <w:rFonts w:cs="Times New Roman"/>
        </w:rPr>
        <w:t>(B) Values of the protein properties used in downstream calculations.</w:t>
      </w:r>
    </w:p>
    <w:p w:rsidR="00103AB2" w:rsidRDefault="00103AB2" w:rsidP="00103AB2">
      <w:pPr>
        <w:pStyle w:val="Body"/>
        <w:spacing w:line="276" w:lineRule="auto"/>
        <w:rPr>
          <w:rFonts w:cs="Times New Roman"/>
        </w:rPr>
      </w:pPr>
    </w:p>
    <w:p w:rsidR="00DE64B9" w:rsidRPr="00103AB2" w:rsidRDefault="00DE64B9" w:rsidP="00103AB2">
      <w:pPr>
        <w:pStyle w:val="Body"/>
        <w:spacing w:line="276" w:lineRule="auto"/>
        <w:rPr>
          <w:rFonts w:cs="Times New Roman"/>
        </w:rPr>
      </w:pPr>
      <w:r w:rsidRPr="00103AB2">
        <w:rPr>
          <w:rFonts w:cs="Times New Roman"/>
        </w:rPr>
        <w:t>Table S5.</w:t>
      </w:r>
    </w:p>
    <w:p w:rsidR="00DE64B9" w:rsidRPr="00103AB2" w:rsidRDefault="00DE64B9" w:rsidP="00103AB2">
      <w:pPr>
        <w:pStyle w:val="Body"/>
        <w:spacing w:line="276" w:lineRule="auto"/>
        <w:rPr>
          <w:rFonts w:cs="Times New Roman"/>
        </w:rPr>
      </w:pPr>
      <w:r w:rsidRPr="00103AB2">
        <w:rPr>
          <w:rFonts w:cs="Times New Roman"/>
        </w:rPr>
        <w:t xml:space="preserve">Results of the logistic regression models aimed at identifying parameters to differentiate </w:t>
      </w:r>
      <w:r w:rsidR="00BA4EED" w:rsidRPr="00103AB2">
        <w:rPr>
          <w:rFonts w:cs="Times New Roman"/>
        </w:rPr>
        <w:t>between proteins of different</w:t>
      </w:r>
      <w:r w:rsidRPr="00103AB2">
        <w:rPr>
          <w:rFonts w:cs="Times New Roman"/>
        </w:rPr>
        <w:t xml:space="preserve"> solubility and aggregation phenotypes. (A) Comparison of soluble and fluorescent aggregate, (B) Fluorescent aggregate and dark </w:t>
      </w:r>
      <w:proofErr w:type="gramStart"/>
      <w:r w:rsidRPr="00103AB2">
        <w:rPr>
          <w:rFonts w:cs="Times New Roman"/>
        </w:rPr>
        <w:t>aggregate and (C) soluble and dark</w:t>
      </w:r>
      <w:proofErr w:type="gramEnd"/>
      <w:r w:rsidRPr="00103AB2">
        <w:rPr>
          <w:rFonts w:cs="Times New Roman"/>
        </w:rPr>
        <w:t xml:space="preserve"> aggregate proteins.</w:t>
      </w:r>
    </w:p>
    <w:p w:rsidR="00103AB2" w:rsidRDefault="00103AB2" w:rsidP="00103AB2">
      <w:pPr>
        <w:pStyle w:val="Body"/>
        <w:spacing w:line="276" w:lineRule="auto"/>
        <w:jc w:val="both"/>
        <w:rPr>
          <w:rFonts w:cs="Times New Roman"/>
        </w:rPr>
      </w:pPr>
    </w:p>
    <w:p w:rsidR="00BA4EED" w:rsidRPr="00103AB2" w:rsidRDefault="004A4A02" w:rsidP="00103AB2">
      <w:pPr>
        <w:pStyle w:val="Body"/>
        <w:spacing w:line="276" w:lineRule="auto"/>
        <w:jc w:val="both"/>
        <w:rPr>
          <w:rFonts w:cs="Times New Roman"/>
        </w:rPr>
      </w:pPr>
      <w:r w:rsidRPr="00103AB2">
        <w:rPr>
          <w:rFonts w:cs="Times New Roman"/>
        </w:rPr>
        <w:t>Table S6.</w:t>
      </w:r>
    </w:p>
    <w:p w:rsidR="00AF7E92" w:rsidRDefault="00AF7E92" w:rsidP="00103AB2">
      <w:pPr>
        <w:pStyle w:val="Body"/>
        <w:spacing w:line="276" w:lineRule="auto"/>
        <w:rPr>
          <w:rFonts w:cs="Times New Roman"/>
        </w:rPr>
      </w:pPr>
      <w:r w:rsidRPr="00103AB2">
        <w:rPr>
          <w:rFonts w:cs="Times New Roman"/>
        </w:rPr>
        <w:t xml:space="preserve">Logistic regression models showing differences in the presence of short and long disordered segments in proteins with the different solubility and aggregation phenotypes. (A) Comparison of soluble and fluorescent aggregate, (B) Fluorescent aggregate and dark </w:t>
      </w:r>
      <w:proofErr w:type="gramStart"/>
      <w:r w:rsidRPr="00103AB2">
        <w:rPr>
          <w:rFonts w:cs="Times New Roman"/>
        </w:rPr>
        <w:t>aggregate and (C) soluble and dark</w:t>
      </w:r>
      <w:proofErr w:type="gramEnd"/>
      <w:r w:rsidRPr="00103AB2">
        <w:rPr>
          <w:rFonts w:cs="Times New Roman"/>
        </w:rPr>
        <w:t xml:space="preserve"> aggregate proteins.</w:t>
      </w:r>
    </w:p>
    <w:p w:rsidR="00103AB2" w:rsidRPr="00103AB2" w:rsidRDefault="00103AB2" w:rsidP="00103AB2">
      <w:pPr>
        <w:pStyle w:val="Body"/>
        <w:spacing w:line="276" w:lineRule="auto"/>
        <w:rPr>
          <w:rFonts w:cs="Times New Roman"/>
        </w:rPr>
      </w:pPr>
    </w:p>
    <w:p w:rsidR="00BA4EED" w:rsidRPr="00103AB2" w:rsidRDefault="00AF7E92" w:rsidP="00103AB2">
      <w:pPr>
        <w:pStyle w:val="Body"/>
        <w:spacing w:line="276" w:lineRule="auto"/>
        <w:jc w:val="both"/>
        <w:rPr>
          <w:rFonts w:cs="Times New Roman"/>
        </w:rPr>
      </w:pPr>
      <w:r w:rsidRPr="00103AB2">
        <w:rPr>
          <w:rFonts w:cs="Times New Roman"/>
        </w:rPr>
        <w:t>Table S7.</w:t>
      </w:r>
    </w:p>
    <w:p w:rsidR="00A47B8D" w:rsidRPr="00103AB2" w:rsidRDefault="00A47B8D" w:rsidP="00103AB2">
      <w:pPr>
        <w:pStyle w:val="Body"/>
        <w:spacing w:after="160" w:line="276" w:lineRule="auto"/>
        <w:jc w:val="both"/>
        <w:rPr>
          <w:rFonts w:cs="Times New Roman"/>
        </w:rPr>
      </w:pPr>
      <w:r w:rsidRPr="00103AB2">
        <w:rPr>
          <w:rFonts w:cs="Times New Roman"/>
        </w:rPr>
        <w:t>Logistic regression models showing enrichment of protein disorder in soluble proteins compared to (A) fluorescent aggregate and (B) dark aggregate proteins.</w:t>
      </w:r>
    </w:p>
    <w:p w:rsidR="004A4A02" w:rsidRPr="00103AB2" w:rsidRDefault="00103AB2" w:rsidP="00103AB2">
      <w:pPr>
        <w:pStyle w:val="Body"/>
        <w:spacing w:line="276" w:lineRule="auto"/>
        <w:jc w:val="both"/>
        <w:rPr>
          <w:rFonts w:eastAsia="Calibri" w:cs="Times New Roman"/>
          <w:iCs/>
        </w:rPr>
      </w:pPr>
      <w:r w:rsidRPr="00103AB2">
        <w:rPr>
          <w:rFonts w:eastAsia="Calibri" w:cs="Times New Roman"/>
          <w:iCs/>
        </w:rPr>
        <w:t>Table S8.</w:t>
      </w:r>
    </w:p>
    <w:p w:rsidR="00A845EA" w:rsidRDefault="00103AB2" w:rsidP="000735EF">
      <w:pPr>
        <w:pStyle w:val="Body"/>
        <w:spacing w:line="276" w:lineRule="auto"/>
        <w:jc w:val="both"/>
        <w:rPr>
          <w:rFonts w:cs="Times New Roman"/>
        </w:rPr>
      </w:pPr>
      <w:r w:rsidRPr="00103AB2">
        <w:rPr>
          <w:rFonts w:cs="Times New Roman"/>
        </w:rPr>
        <w:t>Logistic regression models showing enrichment of protein disorder in soluble proteins compared to (A) fluorescent aggregate and (B) dark aggregate proteins</w:t>
      </w:r>
      <w:r>
        <w:rPr>
          <w:rFonts w:cs="Times New Roman"/>
        </w:rPr>
        <w:t xml:space="preserve"> independently of different </w:t>
      </w:r>
      <w:proofErr w:type="spellStart"/>
      <w:r w:rsidR="00B90859">
        <w:rPr>
          <w:rFonts w:cs="Times New Roman"/>
        </w:rPr>
        <w:t>physico</w:t>
      </w:r>
      <w:proofErr w:type="spellEnd"/>
      <w:r>
        <w:rPr>
          <w:rFonts w:cs="Times New Roman"/>
        </w:rPr>
        <w:t>-chemical parameters to control for their effect</w:t>
      </w:r>
      <w:r w:rsidRPr="00103AB2">
        <w:rPr>
          <w:rFonts w:cs="Times New Roman"/>
        </w:rPr>
        <w:t>.</w:t>
      </w:r>
    </w:p>
    <w:p w:rsidR="000735EF" w:rsidRDefault="000735EF" w:rsidP="000735EF">
      <w:pPr>
        <w:pStyle w:val="Body"/>
        <w:spacing w:line="276" w:lineRule="auto"/>
        <w:jc w:val="both"/>
        <w:rPr>
          <w:rFonts w:cs="Times New Roman"/>
        </w:rPr>
      </w:pPr>
    </w:p>
    <w:p w:rsidR="000735EF" w:rsidRDefault="000735EF" w:rsidP="000735EF">
      <w:pPr>
        <w:pStyle w:val="Body"/>
        <w:spacing w:line="276" w:lineRule="auto"/>
        <w:jc w:val="both"/>
        <w:rPr>
          <w:rFonts w:cs="Times New Roman"/>
        </w:rPr>
      </w:pPr>
      <w:r>
        <w:rPr>
          <w:rFonts w:cs="Times New Roman"/>
        </w:rPr>
        <w:t>Table S9.</w:t>
      </w:r>
    </w:p>
    <w:p w:rsidR="000735EF" w:rsidRPr="00103AB2" w:rsidRDefault="000735EF" w:rsidP="000735EF">
      <w:pPr>
        <w:pStyle w:val="Body"/>
        <w:spacing w:line="276" w:lineRule="auto"/>
        <w:jc w:val="both"/>
        <w:rPr>
          <w:rFonts w:cs="Times New Roman"/>
        </w:rPr>
      </w:pPr>
      <w:r w:rsidRPr="00103AB2">
        <w:rPr>
          <w:rFonts w:cs="Times New Roman"/>
        </w:rPr>
        <w:t xml:space="preserve">Logistic regression models showing </w:t>
      </w:r>
      <w:r>
        <w:rPr>
          <w:rFonts w:cs="Times New Roman"/>
        </w:rPr>
        <w:t xml:space="preserve">the independent effect of higher protein disorder and lower protein stickiness on solubility for </w:t>
      </w:r>
      <w:r w:rsidRPr="00103AB2">
        <w:rPr>
          <w:rFonts w:cs="Times New Roman"/>
        </w:rPr>
        <w:t>soluble proteins compared to (A) fluorescent aggregate and (B) dark aggregate proteins</w:t>
      </w:r>
      <w:r>
        <w:rPr>
          <w:rFonts w:cs="Times New Roman"/>
        </w:rPr>
        <w:t xml:space="preserve"> based on different protein disorder metrics.</w:t>
      </w:r>
    </w:p>
    <w:p w:rsidR="00A845EA" w:rsidRDefault="00A845EA" w:rsidP="000735EF">
      <w:pPr>
        <w:pStyle w:val="Body"/>
        <w:spacing w:line="276" w:lineRule="auto"/>
        <w:jc w:val="both"/>
        <w:rPr>
          <w:rFonts w:cs="Times New Roman"/>
        </w:rPr>
      </w:pPr>
    </w:p>
    <w:p w:rsidR="004F7EB3" w:rsidRDefault="004F7EB3" w:rsidP="000735EF">
      <w:pPr>
        <w:pStyle w:val="Body"/>
        <w:spacing w:line="276" w:lineRule="auto"/>
        <w:jc w:val="both"/>
        <w:rPr>
          <w:rFonts w:cs="Times New Roman"/>
        </w:rPr>
      </w:pPr>
      <w:r>
        <w:rPr>
          <w:rFonts w:cs="Times New Roman"/>
        </w:rPr>
        <w:t xml:space="preserve">Table S10. </w:t>
      </w:r>
    </w:p>
    <w:p w:rsidR="004F7EB3" w:rsidRPr="00103AB2" w:rsidRDefault="004F7EB3" w:rsidP="000735EF">
      <w:pPr>
        <w:pStyle w:val="Body"/>
        <w:spacing w:line="276" w:lineRule="auto"/>
        <w:jc w:val="both"/>
        <w:rPr>
          <w:rFonts w:cs="Times New Roman"/>
        </w:rPr>
      </w:pPr>
      <w:r>
        <w:rPr>
          <w:rFonts w:cs="Times New Roman"/>
        </w:rPr>
        <w:t xml:space="preserve">Partial correlations between different metrics of protein disorder and protein abundance while controlling for </w:t>
      </w:r>
      <w:proofErr w:type="spellStart"/>
      <w:r>
        <w:rPr>
          <w:rFonts w:cs="Times New Roman"/>
        </w:rPr>
        <w:t>physico</w:t>
      </w:r>
      <w:proofErr w:type="spellEnd"/>
      <w:r>
        <w:rPr>
          <w:rFonts w:cs="Times New Roman"/>
        </w:rPr>
        <w:t>-chemical parameters, namely (A) charged residues and (B) hydrophobicity.</w:t>
      </w:r>
    </w:p>
    <w:p w:rsidR="00D25943" w:rsidRPr="00A845EA" w:rsidRDefault="00D25943">
      <w:pPr>
        <w:rPr>
          <w:lang w:val="en-US"/>
        </w:rPr>
      </w:pPr>
    </w:p>
    <w:sectPr w:rsidR="00D25943" w:rsidRPr="00A845EA">
      <w:pgSz w:w="11900" w:h="16840"/>
      <w:pgMar w:top="1417" w:right="1417" w:bottom="568" w:left="1417"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Unicode MS">
    <w:altName w:val="Arial"/>
    <w:panose1 w:val="020B0604020202020204"/>
    <w:charset w:val="00"/>
    <w:family w:val="roman"/>
    <w:pitch w:val="default"/>
  </w:font>
  <w:font w:name="Arimo">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5EA"/>
    <w:rsid w:val="000735EF"/>
    <w:rsid w:val="000934EA"/>
    <w:rsid w:val="000E6848"/>
    <w:rsid w:val="00103AB2"/>
    <w:rsid w:val="002C0387"/>
    <w:rsid w:val="00440F86"/>
    <w:rsid w:val="00446A26"/>
    <w:rsid w:val="004A4A02"/>
    <w:rsid w:val="004F7EB3"/>
    <w:rsid w:val="00502090"/>
    <w:rsid w:val="007B41EF"/>
    <w:rsid w:val="00834565"/>
    <w:rsid w:val="008D2BB6"/>
    <w:rsid w:val="009105E9"/>
    <w:rsid w:val="00930839"/>
    <w:rsid w:val="00A47B8D"/>
    <w:rsid w:val="00A845EA"/>
    <w:rsid w:val="00AF7E92"/>
    <w:rsid w:val="00B90859"/>
    <w:rsid w:val="00BA4EED"/>
    <w:rsid w:val="00C00D71"/>
    <w:rsid w:val="00CD440C"/>
    <w:rsid w:val="00D25943"/>
    <w:rsid w:val="00D63C00"/>
    <w:rsid w:val="00DE64B9"/>
    <w:rsid w:val="00E6563D"/>
    <w:rsid w:val="00EE4FE1"/>
    <w:rsid w:val="00F014C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63941"/>
  <w15:chartTrackingRefBased/>
  <w15:docId w15:val="{EA6E61EF-E281-496B-9E2F-5E03F5D11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845EA"/>
    <w:pPr>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sz w:val="24"/>
      <w:szCs w:val="24"/>
      <w:u w:color="000000"/>
      <w:bdr w:val="nil"/>
      <w:lang w:val="en-US"/>
      <w14:textOutline w14:w="0" w14:cap="flat" w14:cmpd="sng" w14:algn="ctr">
        <w14:noFill/>
        <w14:prstDash w14:val="solid"/>
        <w14:bevel/>
      </w14:textOutline>
    </w:rPr>
  </w:style>
  <w:style w:type="character" w:styleId="Hyperlink">
    <w:name w:val="Hyperlink"/>
    <w:basedOn w:val="DefaultParagraphFont"/>
    <w:uiPriority w:val="99"/>
    <w:unhideWhenUsed/>
    <w:rsid w:val="008D2B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roup.szbk.u-szeged.hu/sysbiol/scientific-resources/Proteome-wide-landscape-of-solubility-limits-in-a-bacterial-cell/Proteome_wide_landscape_of_solubility_limits_in_a_bacterial.zip"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4780D-6A23-4432-B197-0ED9CBE9D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7</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Ádám Györkei</dc:creator>
  <cp:keywords/>
  <dc:description/>
  <cp:lastModifiedBy>Ádám Györkei</cp:lastModifiedBy>
  <cp:revision>29</cp:revision>
  <dcterms:created xsi:type="dcterms:W3CDTF">2022-02-25T16:39:00Z</dcterms:created>
  <dcterms:modified xsi:type="dcterms:W3CDTF">2022-03-09T06:46:00Z</dcterms:modified>
</cp:coreProperties>
</file>