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6C43FF" w14:textId="77777777" w:rsidR="009A0EC4" w:rsidRPr="001810B2" w:rsidRDefault="009A0EC4" w:rsidP="009A0EC4">
      <w:pPr>
        <w:spacing w:line="480" w:lineRule="auto"/>
        <w:rPr>
          <w:b/>
          <w:bCs/>
          <w:sz w:val="28"/>
          <w:szCs w:val="28"/>
        </w:rPr>
      </w:pPr>
      <w:r w:rsidRPr="001810B2">
        <w:rPr>
          <w:b/>
          <w:bCs/>
          <w:sz w:val="28"/>
          <w:szCs w:val="28"/>
        </w:rPr>
        <w:t xml:space="preserve">A randomised study to assess the </w:t>
      </w:r>
      <w:r>
        <w:rPr>
          <w:b/>
          <w:bCs/>
          <w:sz w:val="28"/>
          <w:szCs w:val="28"/>
        </w:rPr>
        <w:t xml:space="preserve">nicotine </w:t>
      </w:r>
      <w:r w:rsidRPr="001810B2">
        <w:rPr>
          <w:b/>
          <w:bCs/>
          <w:sz w:val="28"/>
          <w:szCs w:val="28"/>
        </w:rPr>
        <w:t xml:space="preserve">pharmacokinetics of an oral nicotine pouch and two nicotine replacement therapy products </w:t>
      </w:r>
    </w:p>
    <w:p w14:paraId="5F793413" w14:textId="77777777" w:rsidR="009A0EC4" w:rsidRPr="001810B2" w:rsidRDefault="009A0EC4" w:rsidP="009A0EC4">
      <w:pPr>
        <w:spacing w:line="480" w:lineRule="auto"/>
        <w:rPr>
          <w:sz w:val="22"/>
          <w:szCs w:val="22"/>
        </w:rPr>
      </w:pPr>
    </w:p>
    <w:p w14:paraId="47CF9DB6" w14:textId="77777777" w:rsidR="009A0EC4" w:rsidRPr="001810B2" w:rsidRDefault="009A0EC4" w:rsidP="009A0EC4">
      <w:pPr>
        <w:spacing w:line="480" w:lineRule="auto"/>
        <w:rPr>
          <w:sz w:val="22"/>
          <w:szCs w:val="22"/>
        </w:rPr>
      </w:pPr>
      <w:r w:rsidRPr="001810B2">
        <w:rPr>
          <w:sz w:val="22"/>
          <w:szCs w:val="22"/>
        </w:rPr>
        <w:t>David Azzopardi</w:t>
      </w:r>
      <w:proofErr w:type="gramStart"/>
      <w:r w:rsidRPr="006856A3">
        <w:rPr>
          <w:sz w:val="22"/>
          <w:szCs w:val="22"/>
          <w:vertAlign w:val="superscript"/>
        </w:rPr>
        <w:t>1,*</w:t>
      </w:r>
      <w:proofErr w:type="gramEnd"/>
      <w:r w:rsidRPr="001810B2">
        <w:rPr>
          <w:sz w:val="22"/>
          <w:szCs w:val="22"/>
        </w:rPr>
        <w:t>, James Ebajemito</w:t>
      </w:r>
      <w:r w:rsidRPr="00AD6D67">
        <w:rPr>
          <w:sz w:val="22"/>
          <w:szCs w:val="22"/>
          <w:vertAlign w:val="superscript"/>
        </w:rPr>
        <w:t>1</w:t>
      </w:r>
      <w:r w:rsidRPr="001810B2">
        <w:rPr>
          <w:sz w:val="22"/>
          <w:szCs w:val="22"/>
        </w:rPr>
        <w:t>, Michael McEwan</w:t>
      </w:r>
      <w:r w:rsidRPr="00AD6D67">
        <w:rPr>
          <w:sz w:val="22"/>
          <w:szCs w:val="22"/>
          <w:vertAlign w:val="superscript"/>
        </w:rPr>
        <w:t>1</w:t>
      </w:r>
      <w:r w:rsidRPr="001810B2">
        <w:rPr>
          <w:sz w:val="22"/>
          <w:szCs w:val="22"/>
        </w:rPr>
        <w:t>, Oscar M Camacho</w:t>
      </w:r>
      <w:r w:rsidRPr="00AD6D67">
        <w:rPr>
          <w:sz w:val="22"/>
          <w:szCs w:val="22"/>
          <w:vertAlign w:val="superscript"/>
        </w:rPr>
        <w:t>1</w:t>
      </w:r>
      <w:r w:rsidRPr="001810B2">
        <w:rPr>
          <w:sz w:val="22"/>
          <w:szCs w:val="22"/>
        </w:rPr>
        <w:t>, Jesse Thissen</w:t>
      </w:r>
      <w:r w:rsidRPr="00AD6D67">
        <w:rPr>
          <w:sz w:val="22"/>
          <w:szCs w:val="22"/>
          <w:vertAlign w:val="superscript"/>
        </w:rPr>
        <w:t>1</w:t>
      </w:r>
      <w:r w:rsidRPr="001810B2">
        <w:rPr>
          <w:sz w:val="22"/>
          <w:szCs w:val="22"/>
        </w:rPr>
        <w:t>, George Hardie</w:t>
      </w:r>
      <w:r w:rsidRPr="00AD6D67">
        <w:rPr>
          <w:sz w:val="22"/>
          <w:szCs w:val="22"/>
          <w:vertAlign w:val="superscript"/>
        </w:rPr>
        <w:t>1</w:t>
      </w:r>
      <w:r w:rsidRPr="001810B2">
        <w:rPr>
          <w:sz w:val="22"/>
          <w:szCs w:val="22"/>
        </w:rPr>
        <w:t>, Richard Voisine</w:t>
      </w:r>
      <w:r>
        <w:rPr>
          <w:sz w:val="22"/>
          <w:szCs w:val="22"/>
          <w:vertAlign w:val="superscript"/>
        </w:rPr>
        <w:t>2</w:t>
      </w:r>
      <w:r w:rsidRPr="001810B2">
        <w:rPr>
          <w:sz w:val="22"/>
          <w:szCs w:val="22"/>
        </w:rPr>
        <w:t xml:space="preserve"> </w:t>
      </w:r>
      <w:r>
        <w:rPr>
          <w:sz w:val="22"/>
          <w:szCs w:val="22"/>
        </w:rPr>
        <w:t>, Gavin Mullard</w:t>
      </w:r>
      <w:r>
        <w:rPr>
          <w:sz w:val="22"/>
          <w:szCs w:val="22"/>
          <w:vertAlign w:val="superscript"/>
        </w:rPr>
        <w:t>3</w:t>
      </w:r>
      <w:r>
        <w:rPr>
          <w:sz w:val="22"/>
          <w:szCs w:val="22"/>
        </w:rPr>
        <w:t>, Zvi Cohen</w:t>
      </w:r>
      <w:r>
        <w:rPr>
          <w:sz w:val="22"/>
          <w:szCs w:val="22"/>
          <w:vertAlign w:val="superscript"/>
        </w:rPr>
        <w:t>2</w:t>
      </w:r>
      <w:r>
        <w:rPr>
          <w:sz w:val="22"/>
          <w:szCs w:val="22"/>
        </w:rPr>
        <w:t xml:space="preserve"> </w:t>
      </w:r>
      <w:r w:rsidRPr="001810B2">
        <w:rPr>
          <w:sz w:val="22"/>
          <w:szCs w:val="22"/>
        </w:rPr>
        <w:t>and James Murphy</w:t>
      </w:r>
      <w:r>
        <w:rPr>
          <w:sz w:val="22"/>
          <w:szCs w:val="22"/>
          <w:vertAlign w:val="superscript"/>
        </w:rPr>
        <w:t>4</w:t>
      </w:r>
    </w:p>
    <w:p w14:paraId="66FDF7CF" w14:textId="46311A48" w:rsidR="00D91523" w:rsidRDefault="00D91523"/>
    <w:p w14:paraId="64CA237B" w14:textId="5621019F" w:rsidR="009A0EC4" w:rsidRPr="007E7991" w:rsidRDefault="009A0EC4">
      <w:pPr>
        <w:rPr>
          <w:b/>
          <w:bCs/>
        </w:rPr>
      </w:pPr>
      <w:r w:rsidRPr="007E7991">
        <w:rPr>
          <w:b/>
          <w:bCs/>
        </w:rPr>
        <w:t>Supplementary Information</w:t>
      </w:r>
    </w:p>
    <w:p w14:paraId="4B480FB2" w14:textId="268EFED3" w:rsidR="009A0EC4" w:rsidRPr="009A0EC4" w:rsidRDefault="009A0EC4">
      <w:pPr>
        <w:rPr>
          <w:b/>
          <w:bCs/>
          <w:sz w:val="22"/>
          <w:szCs w:val="22"/>
        </w:rPr>
      </w:pPr>
    </w:p>
    <w:p w14:paraId="3C183038" w14:textId="77777777" w:rsidR="009A0EC4" w:rsidRPr="00AD1E39" w:rsidRDefault="009A0EC4" w:rsidP="00AD1E39">
      <w:pPr>
        <w:pStyle w:val="Heading1"/>
        <w:rPr>
          <w:rFonts w:ascii="Times New Roman" w:hAnsi="Times New Roman"/>
          <w:b/>
          <w:bCs/>
          <w:sz w:val="22"/>
          <w:szCs w:val="22"/>
        </w:rPr>
      </w:pPr>
      <w:bookmarkStart w:id="0" w:name="_Toc107832146"/>
      <w:bookmarkStart w:id="1" w:name="_Toc203209693"/>
      <w:bookmarkStart w:id="2" w:name="_Ref310592683"/>
      <w:bookmarkStart w:id="3" w:name="_Ref396911744"/>
      <w:bookmarkStart w:id="4" w:name="_Ref462125551"/>
      <w:bookmarkStart w:id="5" w:name="_Ref462125597"/>
      <w:bookmarkStart w:id="6" w:name="_Toc488412828"/>
      <w:bookmarkStart w:id="7" w:name="_Ref498595284"/>
      <w:bookmarkStart w:id="8" w:name="_Toc32484640"/>
      <w:bookmarkStart w:id="9" w:name="_Toc48818229"/>
      <w:r w:rsidRPr="00AD1E39">
        <w:rPr>
          <w:rFonts w:ascii="Times New Roman" w:hAnsi="Times New Roman"/>
          <w:b/>
          <w:bCs/>
          <w:sz w:val="22"/>
          <w:szCs w:val="22"/>
        </w:rPr>
        <w:t>Inclusion Criteria</w:t>
      </w:r>
      <w:bookmarkEnd w:id="0"/>
      <w:bookmarkEnd w:id="1"/>
      <w:bookmarkEnd w:id="2"/>
      <w:bookmarkEnd w:id="3"/>
      <w:bookmarkEnd w:id="4"/>
      <w:bookmarkEnd w:id="5"/>
      <w:bookmarkEnd w:id="6"/>
      <w:bookmarkEnd w:id="7"/>
      <w:bookmarkEnd w:id="8"/>
      <w:bookmarkEnd w:id="9"/>
    </w:p>
    <w:p w14:paraId="06FEB887" w14:textId="56EB40D6" w:rsidR="009A0EC4" w:rsidRPr="009A0EC4" w:rsidRDefault="009A0EC4" w:rsidP="009A0EC4">
      <w:pPr>
        <w:pStyle w:val="NormalParagHeading2"/>
        <w:numPr>
          <w:ilvl w:val="0"/>
          <w:numId w:val="2"/>
        </w:numPr>
        <w:ind w:left="360"/>
        <w:rPr>
          <w:sz w:val="22"/>
        </w:rPr>
      </w:pPr>
      <w:r w:rsidRPr="009A0EC4">
        <w:rPr>
          <w:sz w:val="22"/>
        </w:rPr>
        <w:t xml:space="preserve">Provision of signed and dated informed consent form </w:t>
      </w:r>
    </w:p>
    <w:p w14:paraId="74F9C0E5" w14:textId="77777777" w:rsidR="009A0EC4" w:rsidRPr="009A0EC4" w:rsidRDefault="009A0EC4" w:rsidP="009A0EC4">
      <w:pPr>
        <w:pStyle w:val="NormalParagHeading2"/>
        <w:numPr>
          <w:ilvl w:val="0"/>
          <w:numId w:val="2"/>
        </w:numPr>
        <w:ind w:left="360"/>
        <w:rPr>
          <w:sz w:val="22"/>
        </w:rPr>
      </w:pPr>
      <w:r w:rsidRPr="009A0EC4">
        <w:rPr>
          <w:sz w:val="22"/>
        </w:rPr>
        <w:t>Stated willingness to comply with all study procedures and availability for the duration of the study</w:t>
      </w:r>
    </w:p>
    <w:p w14:paraId="2C6A17B0" w14:textId="77777777" w:rsidR="009A0EC4" w:rsidRPr="009A0EC4" w:rsidRDefault="009A0EC4" w:rsidP="009A0EC4">
      <w:pPr>
        <w:pStyle w:val="NormalParagHeading2"/>
        <w:numPr>
          <w:ilvl w:val="0"/>
          <w:numId w:val="2"/>
        </w:numPr>
        <w:ind w:left="360"/>
        <w:rPr>
          <w:sz w:val="22"/>
        </w:rPr>
      </w:pPr>
      <w:r w:rsidRPr="009A0EC4">
        <w:rPr>
          <w:sz w:val="22"/>
        </w:rPr>
        <w:t xml:space="preserve">Healthy adult male or female </w:t>
      </w:r>
    </w:p>
    <w:p w14:paraId="7D1B9692" w14:textId="77777777" w:rsidR="009A0EC4" w:rsidRPr="009A0EC4" w:rsidRDefault="009A0EC4" w:rsidP="009A0EC4">
      <w:pPr>
        <w:pStyle w:val="NormalParagHeading2"/>
        <w:numPr>
          <w:ilvl w:val="0"/>
          <w:numId w:val="2"/>
        </w:numPr>
        <w:ind w:left="360"/>
        <w:rPr>
          <w:sz w:val="22"/>
        </w:rPr>
      </w:pPr>
      <w:r w:rsidRPr="009A0EC4">
        <w:rPr>
          <w:sz w:val="22"/>
        </w:rPr>
        <w:t>If female, meets one of the following criteria:</w:t>
      </w:r>
    </w:p>
    <w:p w14:paraId="266C64DD" w14:textId="77777777" w:rsidR="009A0EC4" w:rsidRPr="009A0EC4" w:rsidRDefault="009A0EC4" w:rsidP="009A0EC4">
      <w:pPr>
        <w:pStyle w:val="NormalParagHeading2"/>
        <w:numPr>
          <w:ilvl w:val="0"/>
          <w:numId w:val="3"/>
        </w:numPr>
        <w:ind w:left="720"/>
        <w:rPr>
          <w:sz w:val="22"/>
        </w:rPr>
      </w:pPr>
      <w:r w:rsidRPr="009A0EC4">
        <w:rPr>
          <w:sz w:val="22"/>
        </w:rPr>
        <w:t xml:space="preserve">Is of childbearing potential and agrees to use two of the accepted contraceptive regimens </w:t>
      </w:r>
      <w:r w:rsidRPr="009A0EC4">
        <w:rPr>
          <w:bCs/>
          <w:sz w:val="22"/>
        </w:rPr>
        <w:t>from at least 28 days prior to the first study product administration through to at least 30 days after the last dose of study product</w:t>
      </w:r>
      <w:r w:rsidRPr="009A0EC4">
        <w:rPr>
          <w:sz w:val="22"/>
        </w:rPr>
        <w:t>. An acceptable method of contraception includes one of the following:</w:t>
      </w:r>
    </w:p>
    <w:p w14:paraId="276635A6" w14:textId="77777777" w:rsidR="009A0EC4" w:rsidRPr="009A0EC4" w:rsidRDefault="009A0EC4" w:rsidP="009A0EC4">
      <w:pPr>
        <w:pStyle w:val="NormalParagHeading2"/>
        <w:numPr>
          <w:ilvl w:val="0"/>
          <w:numId w:val="4"/>
        </w:numPr>
        <w:ind w:left="1080"/>
        <w:rPr>
          <w:sz w:val="22"/>
        </w:rPr>
      </w:pPr>
      <w:r w:rsidRPr="009A0EC4">
        <w:rPr>
          <w:sz w:val="22"/>
        </w:rPr>
        <w:t>Systemic contraceptives (combined birth control pills, injectable/implant/insertable hormonal birth control products, transdermal patch)</w:t>
      </w:r>
    </w:p>
    <w:p w14:paraId="1724E019" w14:textId="77777777" w:rsidR="009A0EC4" w:rsidRPr="009A0EC4" w:rsidRDefault="009A0EC4" w:rsidP="009A0EC4">
      <w:pPr>
        <w:pStyle w:val="NormalParagHeading2"/>
        <w:numPr>
          <w:ilvl w:val="0"/>
          <w:numId w:val="4"/>
        </w:numPr>
        <w:ind w:left="1080"/>
        <w:rPr>
          <w:sz w:val="22"/>
        </w:rPr>
      </w:pPr>
      <w:r w:rsidRPr="009A0EC4">
        <w:rPr>
          <w:sz w:val="22"/>
        </w:rPr>
        <w:t>Intrauterine device (with or without hormones)</w:t>
      </w:r>
    </w:p>
    <w:p w14:paraId="7CB5DACC" w14:textId="77777777" w:rsidR="009A0EC4" w:rsidRPr="009A0EC4" w:rsidRDefault="009A0EC4" w:rsidP="009A0EC4">
      <w:pPr>
        <w:pStyle w:val="NormalParagHeading2"/>
        <w:numPr>
          <w:ilvl w:val="0"/>
          <w:numId w:val="4"/>
        </w:numPr>
        <w:ind w:left="1080"/>
        <w:rPr>
          <w:sz w:val="22"/>
        </w:rPr>
      </w:pPr>
      <w:r w:rsidRPr="009A0EC4">
        <w:rPr>
          <w:sz w:val="22"/>
        </w:rPr>
        <w:t>Barrier methods of contraception (male condom with spermicide, female condom, cervical cap, diaphragm, contraceptive sponge)</w:t>
      </w:r>
    </w:p>
    <w:p w14:paraId="6797BB65" w14:textId="77777777" w:rsidR="009A0EC4" w:rsidRPr="009A0EC4" w:rsidRDefault="009A0EC4" w:rsidP="009A0EC4">
      <w:pPr>
        <w:pStyle w:val="NormalParagHeading2"/>
        <w:numPr>
          <w:ilvl w:val="0"/>
          <w:numId w:val="4"/>
        </w:numPr>
        <w:ind w:left="1080"/>
        <w:rPr>
          <w:sz w:val="22"/>
        </w:rPr>
      </w:pPr>
      <w:r w:rsidRPr="009A0EC4">
        <w:rPr>
          <w:sz w:val="22"/>
        </w:rPr>
        <w:t xml:space="preserve">Male partner vasectomized at least 6 months prior to the first study product administration </w:t>
      </w:r>
    </w:p>
    <w:p w14:paraId="42FCF220" w14:textId="77777777" w:rsidR="009A0EC4" w:rsidRPr="009A0EC4" w:rsidRDefault="009A0EC4" w:rsidP="009A0EC4">
      <w:pPr>
        <w:pStyle w:val="NormalParagHeading2"/>
        <w:ind w:left="360"/>
        <w:rPr>
          <w:sz w:val="22"/>
        </w:rPr>
      </w:pPr>
      <w:r w:rsidRPr="009A0EC4">
        <w:rPr>
          <w:sz w:val="22"/>
        </w:rPr>
        <w:t>Or</w:t>
      </w:r>
    </w:p>
    <w:p w14:paraId="7CE186B2" w14:textId="77777777" w:rsidR="009A0EC4" w:rsidRPr="009A0EC4" w:rsidRDefault="009A0EC4" w:rsidP="009A0EC4">
      <w:pPr>
        <w:pStyle w:val="NormalParagHeading2"/>
        <w:numPr>
          <w:ilvl w:val="0"/>
          <w:numId w:val="3"/>
        </w:numPr>
        <w:ind w:left="720"/>
        <w:rPr>
          <w:sz w:val="22"/>
        </w:rPr>
      </w:pPr>
      <w:r w:rsidRPr="009A0EC4">
        <w:rPr>
          <w:sz w:val="22"/>
        </w:rPr>
        <w:t>Is of childbearing potential and agrees to abide by true abstinence from heterosexual intercourse, when this is in line with the preferred and usual lifestyle (not periodic abstinence)</w:t>
      </w:r>
    </w:p>
    <w:p w14:paraId="72F94908" w14:textId="77777777" w:rsidR="009A0EC4" w:rsidRPr="009A0EC4" w:rsidRDefault="009A0EC4" w:rsidP="009A0EC4">
      <w:pPr>
        <w:pStyle w:val="NormalParagHeading2"/>
        <w:ind w:left="360"/>
        <w:rPr>
          <w:sz w:val="22"/>
        </w:rPr>
      </w:pPr>
      <w:r w:rsidRPr="009A0EC4">
        <w:rPr>
          <w:sz w:val="22"/>
        </w:rPr>
        <w:t>Or</w:t>
      </w:r>
    </w:p>
    <w:p w14:paraId="6073A72C" w14:textId="77777777" w:rsidR="009A0EC4" w:rsidRPr="009A0EC4" w:rsidRDefault="009A0EC4" w:rsidP="009A0EC4">
      <w:pPr>
        <w:pStyle w:val="NormalParagHeading2"/>
        <w:numPr>
          <w:ilvl w:val="0"/>
          <w:numId w:val="3"/>
        </w:numPr>
        <w:ind w:left="720"/>
        <w:rPr>
          <w:sz w:val="22"/>
        </w:rPr>
      </w:pPr>
      <w:r w:rsidRPr="009A0EC4">
        <w:rPr>
          <w:sz w:val="22"/>
        </w:rPr>
        <w:t>Male partner has had a vasectomy less than 6 months prior to dosing, and agrees to use an additional acceptable contraceptive method from the first study product administration through to at least 30 days after the last dose of study product</w:t>
      </w:r>
    </w:p>
    <w:p w14:paraId="4FE13925" w14:textId="77777777" w:rsidR="009A0EC4" w:rsidRPr="009A0EC4" w:rsidRDefault="009A0EC4" w:rsidP="009A0EC4">
      <w:pPr>
        <w:pStyle w:val="NormalParagHeading2"/>
        <w:ind w:left="360"/>
        <w:rPr>
          <w:sz w:val="22"/>
        </w:rPr>
      </w:pPr>
      <w:r w:rsidRPr="009A0EC4">
        <w:rPr>
          <w:sz w:val="22"/>
        </w:rPr>
        <w:t>Or</w:t>
      </w:r>
    </w:p>
    <w:p w14:paraId="0E5A2B71" w14:textId="1864E739" w:rsidR="009A0EC4" w:rsidRPr="009A0EC4" w:rsidRDefault="009A0EC4" w:rsidP="009A0EC4">
      <w:pPr>
        <w:pStyle w:val="NormalParagHeading2"/>
        <w:numPr>
          <w:ilvl w:val="0"/>
          <w:numId w:val="3"/>
        </w:numPr>
        <w:ind w:left="720"/>
        <w:rPr>
          <w:sz w:val="22"/>
        </w:rPr>
      </w:pPr>
      <w:r w:rsidRPr="009A0EC4">
        <w:rPr>
          <w:sz w:val="22"/>
        </w:rPr>
        <w:t>Is of non-childbearing potential, defined as surgically sterile (i.e.</w:t>
      </w:r>
      <w:r w:rsidR="0079025D">
        <w:rPr>
          <w:sz w:val="22"/>
        </w:rPr>
        <w:t>,</w:t>
      </w:r>
      <w:r w:rsidRPr="009A0EC4">
        <w:rPr>
          <w:sz w:val="22"/>
        </w:rPr>
        <w:t xml:space="preserve"> has undergone complete hysterectomy, bilateral oophorectomy, or tubal ligation) or is in a postmenopausal state (i.e.</w:t>
      </w:r>
      <w:r w:rsidR="0079025D">
        <w:rPr>
          <w:sz w:val="22"/>
        </w:rPr>
        <w:t>,</w:t>
      </w:r>
      <w:r w:rsidRPr="009A0EC4">
        <w:rPr>
          <w:sz w:val="22"/>
        </w:rPr>
        <w:t xml:space="preserve"> at least 1 year without menses without an alternative medical condition prior to the first study product administration)</w:t>
      </w:r>
    </w:p>
    <w:p w14:paraId="34415037" w14:textId="77777777" w:rsidR="009A0EC4" w:rsidRPr="009A0EC4" w:rsidRDefault="009A0EC4" w:rsidP="009A0EC4">
      <w:pPr>
        <w:pStyle w:val="NormalParagHeading2"/>
        <w:numPr>
          <w:ilvl w:val="0"/>
          <w:numId w:val="2"/>
        </w:numPr>
        <w:ind w:left="360"/>
        <w:rPr>
          <w:sz w:val="22"/>
        </w:rPr>
      </w:pPr>
      <w:r w:rsidRPr="009A0EC4">
        <w:rPr>
          <w:sz w:val="22"/>
        </w:rPr>
        <w:t>Aged at least 19 years but not older than 55 years</w:t>
      </w:r>
    </w:p>
    <w:p w14:paraId="48AF105E" w14:textId="77777777" w:rsidR="009A0EC4" w:rsidRPr="009A0EC4" w:rsidRDefault="009A0EC4" w:rsidP="009A0EC4">
      <w:pPr>
        <w:pStyle w:val="NormalParagHeading2"/>
        <w:numPr>
          <w:ilvl w:val="0"/>
          <w:numId w:val="2"/>
        </w:numPr>
        <w:ind w:left="360"/>
        <w:rPr>
          <w:sz w:val="22"/>
        </w:rPr>
      </w:pPr>
      <w:r w:rsidRPr="009A0EC4">
        <w:rPr>
          <w:sz w:val="22"/>
        </w:rPr>
        <w:t>Body mass index (BMI) within 18.5 kg/m</w:t>
      </w:r>
      <w:r w:rsidRPr="009A0EC4">
        <w:rPr>
          <w:sz w:val="22"/>
          <w:vertAlign w:val="superscript"/>
        </w:rPr>
        <w:t>2</w:t>
      </w:r>
      <w:r w:rsidRPr="009A0EC4">
        <w:rPr>
          <w:sz w:val="22"/>
        </w:rPr>
        <w:t xml:space="preserve"> to 30.0 kg/m</w:t>
      </w:r>
      <w:r w:rsidRPr="009A0EC4">
        <w:rPr>
          <w:sz w:val="22"/>
          <w:vertAlign w:val="superscript"/>
        </w:rPr>
        <w:t>2</w:t>
      </w:r>
      <w:r w:rsidRPr="009A0EC4">
        <w:rPr>
          <w:sz w:val="22"/>
        </w:rPr>
        <w:t>, inclusively</w:t>
      </w:r>
      <w:r w:rsidRPr="009A0EC4">
        <w:rPr>
          <w:sz w:val="22"/>
          <w:vertAlign w:val="superscript"/>
        </w:rPr>
        <w:t xml:space="preserve"> </w:t>
      </w:r>
    </w:p>
    <w:p w14:paraId="7F13BD70" w14:textId="77777777" w:rsidR="009A0EC4" w:rsidRPr="009A0EC4" w:rsidRDefault="009A0EC4" w:rsidP="009A0EC4">
      <w:pPr>
        <w:pStyle w:val="NormalParagHeading2"/>
        <w:numPr>
          <w:ilvl w:val="0"/>
          <w:numId w:val="2"/>
        </w:numPr>
        <w:ind w:left="360"/>
        <w:rPr>
          <w:sz w:val="22"/>
        </w:rPr>
      </w:pPr>
      <w:r w:rsidRPr="009A0EC4">
        <w:rPr>
          <w:sz w:val="22"/>
        </w:rPr>
        <w:lastRenderedPageBreak/>
        <w:t>Minimal body weight of 50 kg</w:t>
      </w:r>
    </w:p>
    <w:p w14:paraId="335762FB" w14:textId="77777777" w:rsidR="009A0EC4" w:rsidRPr="009A0EC4" w:rsidRDefault="009A0EC4" w:rsidP="009A0EC4">
      <w:pPr>
        <w:pStyle w:val="NormalParagHeading2"/>
        <w:numPr>
          <w:ilvl w:val="0"/>
          <w:numId w:val="2"/>
        </w:numPr>
        <w:ind w:left="360"/>
        <w:rPr>
          <w:sz w:val="22"/>
        </w:rPr>
      </w:pPr>
      <w:r w:rsidRPr="009A0EC4">
        <w:rPr>
          <w:sz w:val="22"/>
        </w:rPr>
        <w:t>Primary tobacco product used in the last 6 months is combustible cigarettes or roll</w:t>
      </w:r>
      <w:r w:rsidRPr="009A0EC4">
        <w:rPr>
          <w:sz w:val="22"/>
        </w:rPr>
        <w:noBreakHyphen/>
        <w:t>your</w:t>
      </w:r>
      <w:r w:rsidRPr="009A0EC4">
        <w:rPr>
          <w:sz w:val="22"/>
        </w:rPr>
        <w:noBreakHyphen/>
        <w:t>own cigarettes</w:t>
      </w:r>
    </w:p>
    <w:p w14:paraId="3A7D033D" w14:textId="77777777" w:rsidR="009A0EC4" w:rsidRPr="009A0EC4" w:rsidRDefault="009A0EC4" w:rsidP="009A0EC4">
      <w:pPr>
        <w:pStyle w:val="NormalParagHeading2"/>
        <w:numPr>
          <w:ilvl w:val="0"/>
          <w:numId w:val="2"/>
        </w:numPr>
        <w:ind w:left="360"/>
        <w:rPr>
          <w:sz w:val="22"/>
        </w:rPr>
      </w:pPr>
      <w:r w:rsidRPr="009A0EC4">
        <w:rPr>
          <w:sz w:val="22"/>
        </w:rPr>
        <w:t>A smoker of 10 cigarettes or more &gt;6 mg ISO tar per day who has smoked for at least 6 months prior to the first study product administration</w:t>
      </w:r>
    </w:p>
    <w:p w14:paraId="68F1FCA5" w14:textId="77777777" w:rsidR="009A0EC4" w:rsidRPr="009A0EC4" w:rsidRDefault="009A0EC4" w:rsidP="009A0EC4">
      <w:pPr>
        <w:pStyle w:val="NormalParagHeading2"/>
        <w:numPr>
          <w:ilvl w:val="0"/>
          <w:numId w:val="2"/>
        </w:numPr>
        <w:ind w:left="360"/>
        <w:rPr>
          <w:sz w:val="22"/>
        </w:rPr>
      </w:pPr>
      <w:r w:rsidRPr="009A0EC4">
        <w:rPr>
          <w:sz w:val="22"/>
        </w:rPr>
        <w:t>Stated willingness to abstain from nicotine and tobacco products (except for the study products provided) from 24 hours prior to the first study product administration until the end of the study</w:t>
      </w:r>
    </w:p>
    <w:p w14:paraId="26763CB4" w14:textId="77777777" w:rsidR="009A0EC4" w:rsidRPr="009A0EC4" w:rsidRDefault="009A0EC4" w:rsidP="009A0EC4">
      <w:pPr>
        <w:pStyle w:val="NormalParagHeading2"/>
        <w:numPr>
          <w:ilvl w:val="0"/>
          <w:numId w:val="2"/>
        </w:numPr>
        <w:ind w:left="360"/>
        <w:rPr>
          <w:sz w:val="22"/>
        </w:rPr>
      </w:pPr>
      <w:r w:rsidRPr="009A0EC4">
        <w:rPr>
          <w:sz w:val="22"/>
        </w:rPr>
        <w:t>Positive urine cotinine test (≥200 ng/mL) at screening and prior to the first study product administration</w:t>
      </w:r>
    </w:p>
    <w:p w14:paraId="21039B69" w14:textId="77777777" w:rsidR="009A0EC4" w:rsidRPr="009A0EC4" w:rsidRDefault="009A0EC4" w:rsidP="009A0EC4">
      <w:pPr>
        <w:pStyle w:val="NormalParagHeading2"/>
        <w:numPr>
          <w:ilvl w:val="0"/>
          <w:numId w:val="2"/>
        </w:numPr>
        <w:ind w:left="360"/>
        <w:rPr>
          <w:sz w:val="22"/>
        </w:rPr>
      </w:pPr>
      <w:r w:rsidRPr="009A0EC4">
        <w:rPr>
          <w:sz w:val="22"/>
        </w:rPr>
        <w:t xml:space="preserve">Successful completion of the training session for study product use prior to the first study product administration (subject </w:t>
      </w:r>
      <w:proofErr w:type="gramStart"/>
      <w:r w:rsidRPr="009A0EC4">
        <w:rPr>
          <w:sz w:val="22"/>
        </w:rPr>
        <w:t>is able to</w:t>
      </w:r>
      <w:proofErr w:type="gramEnd"/>
      <w:r w:rsidRPr="009A0EC4">
        <w:rPr>
          <w:sz w:val="22"/>
        </w:rPr>
        <w:t xml:space="preserve"> follow the instructions and does not experience significant adverse events during the training session) </w:t>
      </w:r>
    </w:p>
    <w:p w14:paraId="226DD2B4" w14:textId="77777777" w:rsidR="009A0EC4" w:rsidRPr="009A0EC4" w:rsidRDefault="009A0EC4" w:rsidP="009A0EC4">
      <w:pPr>
        <w:pStyle w:val="NormalParagHeading2"/>
        <w:numPr>
          <w:ilvl w:val="0"/>
          <w:numId w:val="2"/>
        </w:numPr>
        <w:ind w:left="360"/>
        <w:rPr>
          <w:sz w:val="22"/>
        </w:rPr>
      </w:pPr>
      <w:r w:rsidRPr="009A0EC4">
        <w:rPr>
          <w:sz w:val="22"/>
        </w:rPr>
        <w:t>Clinical laboratory values within the laboratory's stated normal range; if not within this range, they must be without clinical significance, as determined by an investigator</w:t>
      </w:r>
    </w:p>
    <w:p w14:paraId="6A3908C6" w14:textId="7B01A94E" w:rsidR="009A0EC4" w:rsidRDefault="009A0EC4" w:rsidP="009A0EC4">
      <w:pPr>
        <w:pStyle w:val="NormalParagHeading2"/>
        <w:numPr>
          <w:ilvl w:val="0"/>
          <w:numId w:val="2"/>
        </w:numPr>
        <w:ind w:left="360"/>
        <w:rPr>
          <w:sz w:val="22"/>
        </w:rPr>
      </w:pPr>
      <w:r w:rsidRPr="009A0EC4">
        <w:rPr>
          <w:sz w:val="22"/>
        </w:rPr>
        <w:t>Have no clinically significant diseases captured in the medical history or evidence of clinically significant findings on the physical examination (including oral mucosa examination and vital signs) and/or ECG, as determined by an investigator</w:t>
      </w:r>
    </w:p>
    <w:p w14:paraId="09C8FEEA" w14:textId="77777777" w:rsidR="009A0EC4" w:rsidRPr="009A0EC4" w:rsidRDefault="009A0EC4" w:rsidP="009A0EC4">
      <w:pPr>
        <w:pStyle w:val="NormalParagHeading2"/>
        <w:ind w:left="360"/>
        <w:rPr>
          <w:sz w:val="22"/>
        </w:rPr>
      </w:pPr>
    </w:p>
    <w:p w14:paraId="2912756A" w14:textId="77777777" w:rsidR="009A0EC4" w:rsidRPr="00AD1E39" w:rsidRDefault="009A0EC4" w:rsidP="00AD1E39">
      <w:pPr>
        <w:pStyle w:val="Heading1"/>
        <w:rPr>
          <w:rFonts w:ascii="Times New Roman" w:hAnsi="Times New Roman"/>
          <w:b/>
          <w:bCs/>
          <w:sz w:val="22"/>
          <w:szCs w:val="22"/>
        </w:rPr>
      </w:pPr>
      <w:bookmarkStart w:id="10" w:name="_Toc486425487"/>
      <w:bookmarkStart w:id="11" w:name="_Toc486425605"/>
      <w:bookmarkStart w:id="12" w:name="_Toc486425725"/>
      <w:bookmarkStart w:id="13" w:name="_Toc486446778"/>
      <w:bookmarkStart w:id="14" w:name="_Toc486502624"/>
      <w:bookmarkStart w:id="15" w:name="_Toc487454886"/>
      <w:bookmarkStart w:id="16" w:name="_Toc487455006"/>
      <w:bookmarkStart w:id="17" w:name="_Toc487455127"/>
      <w:bookmarkStart w:id="18" w:name="_Toc487455246"/>
      <w:bookmarkStart w:id="19" w:name="_Toc487466435"/>
      <w:bookmarkStart w:id="20" w:name="_Toc487466568"/>
      <w:bookmarkStart w:id="21" w:name="_Toc48818230"/>
      <w:bookmarkStart w:id="22" w:name="_Toc32484641"/>
      <w:bookmarkStart w:id="23" w:name="_Ref488651426"/>
      <w:bookmarkStart w:id="24" w:name="_Toc488412829"/>
      <w:bookmarkStart w:id="25" w:name="_Toc203209694"/>
      <w:bookmarkStart w:id="26" w:name="_Toc107832147"/>
      <w:bookmarkEnd w:id="10"/>
      <w:bookmarkEnd w:id="11"/>
      <w:bookmarkEnd w:id="12"/>
      <w:bookmarkEnd w:id="13"/>
      <w:bookmarkEnd w:id="14"/>
      <w:bookmarkEnd w:id="15"/>
      <w:bookmarkEnd w:id="16"/>
      <w:bookmarkEnd w:id="17"/>
      <w:bookmarkEnd w:id="18"/>
      <w:bookmarkEnd w:id="19"/>
      <w:bookmarkEnd w:id="20"/>
      <w:r w:rsidRPr="00AD1E39">
        <w:rPr>
          <w:rFonts w:ascii="Times New Roman" w:hAnsi="Times New Roman"/>
          <w:b/>
          <w:bCs/>
          <w:sz w:val="22"/>
          <w:szCs w:val="22"/>
        </w:rPr>
        <w:t>Exclusion Criteria</w:t>
      </w:r>
      <w:bookmarkEnd w:id="21"/>
      <w:bookmarkEnd w:id="22"/>
      <w:bookmarkEnd w:id="23"/>
      <w:bookmarkEnd w:id="24"/>
      <w:bookmarkEnd w:id="25"/>
      <w:bookmarkEnd w:id="26"/>
    </w:p>
    <w:p w14:paraId="442F230C" w14:textId="77777777" w:rsidR="009A0EC4" w:rsidRPr="009A0EC4" w:rsidRDefault="009A0EC4" w:rsidP="009A0EC4">
      <w:pPr>
        <w:pStyle w:val="NormalParagHeading2"/>
        <w:numPr>
          <w:ilvl w:val="0"/>
          <w:numId w:val="5"/>
        </w:numPr>
        <w:rPr>
          <w:sz w:val="22"/>
        </w:rPr>
      </w:pPr>
      <w:r w:rsidRPr="009A0EC4">
        <w:rPr>
          <w:sz w:val="22"/>
        </w:rPr>
        <w:t>Female who is lactating at screening</w:t>
      </w:r>
    </w:p>
    <w:p w14:paraId="5F605E65" w14:textId="77777777" w:rsidR="009A0EC4" w:rsidRPr="009A0EC4" w:rsidRDefault="009A0EC4" w:rsidP="009A0EC4">
      <w:pPr>
        <w:pStyle w:val="NormalParagHeading2"/>
        <w:numPr>
          <w:ilvl w:val="0"/>
          <w:numId w:val="5"/>
        </w:numPr>
        <w:rPr>
          <w:sz w:val="22"/>
        </w:rPr>
      </w:pPr>
      <w:r w:rsidRPr="009A0EC4">
        <w:rPr>
          <w:sz w:val="22"/>
        </w:rPr>
        <w:t>Female who is pregnant according to the pregnancy test at screening or prior to the first study product administration</w:t>
      </w:r>
    </w:p>
    <w:p w14:paraId="0F123D22" w14:textId="77777777" w:rsidR="009A0EC4" w:rsidRPr="009A0EC4" w:rsidRDefault="009A0EC4" w:rsidP="009A0EC4">
      <w:pPr>
        <w:pStyle w:val="NormalParagHeading2"/>
        <w:numPr>
          <w:ilvl w:val="0"/>
          <w:numId w:val="5"/>
        </w:numPr>
        <w:rPr>
          <w:sz w:val="22"/>
        </w:rPr>
      </w:pPr>
      <w:r w:rsidRPr="009A0EC4">
        <w:rPr>
          <w:sz w:val="22"/>
        </w:rPr>
        <w:t>Presence of any tongue piercings or history of any tongue piercings in the last 90 days prior to the first study product administration</w:t>
      </w:r>
    </w:p>
    <w:p w14:paraId="49BFFF2B" w14:textId="77777777" w:rsidR="009A0EC4" w:rsidRPr="009A0EC4" w:rsidRDefault="009A0EC4" w:rsidP="009A0EC4">
      <w:pPr>
        <w:pStyle w:val="NormalParagHeading2"/>
        <w:numPr>
          <w:ilvl w:val="0"/>
          <w:numId w:val="5"/>
        </w:numPr>
        <w:rPr>
          <w:sz w:val="22"/>
        </w:rPr>
      </w:pPr>
      <w:r w:rsidRPr="009A0EC4">
        <w:rPr>
          <w:sz w:val="22"/>
        </w:rPr>
        <w:t xml:space="preserve">Presence of braces, partials, </w:t>
      </w:r>
      <w:proofErr w:type="gramStart"/>
      <w:r w:rsidRPr="009A0EC4">
        <w:rPr>
          <w:sz w:val="22"/>
        </w:rPr>
        <w:t>dentures</w:t>
      </w:r>
      <w:proofErr w:type="gramEnd"/>
      <w:r w:rsidRPr="009A0EC4">
        <w:rPr>
          <w:sz w:val="22"/>
        </w:rPr>
        <w:t xml:space="preserve"> or any dental work that could, in the opinion of an investigator, affect the conduct of the study (including missing molars)</w:t>
      </w:r>
    </w:p>
    <w:p w14:paraId="65ACE8D7" w14:textId="77777777" w:rsidR="009A0EC4" w:rsidRPr="009A0EC4" w:rsidRDefault="009A0EC4" w:rsidP="009A0EC4">
      <w:pPr>
        <w:pStyle w:val="NormalParagHeading2"/>
        <w:numPr>
          <w:ilvl w:val="0"/>
          <w:numId w:val="5"/>
        </w:numPr>
        <w:rPr>
          <w:sz w:val="22"/>
        </w:rPr>
      </w:pPr>
      <w:r w:rsidRPr="009A0EC4">
        <w:rPr>
          <w:sz w:val="22"/>
        </w:rPr>
        <w:t>Presence or history of significant form of oral and/or pharyngeal inflammation, oral lesions and/or gum disease or temporomandibular joint dysfunction</w:t>
      </w:r>
    </w:p>
    <w:p w14:paraId="356D603D" w14:textId="77777777" w:rsidR="009A0EC4" w:rsidRPr="009A0EC4" w:rsidRDefault="009A0EC4" w:rsidP="009A0EC4">
      <w:pPr>
        <w:pStyle w:val="NormalParagHeading2"/>
        <w:numPr>
          <w:ilvl w:val="0"/>
          <w:numId w:val="5"/>
        </w:numPr>
        <w:rPr>
          <w:sz w:val="22"/>
        </w:rPr>
      </w:pPr>
      <w:r w:rsidRPr="009A0EC4">
        <w:rPr>
          <w:sz w:val="22"/>
        </w:rPr>
        <w:t>History of significant hypersensitivity to any excipients of the formulations as well as severe hypersensitivity reactions (like angioedema) to any drugs</w:t>
      </w:r>
    </w:p>
    <w:p w14:paraId="4011DFB9" w14:textId="77777777" w:rsidR="009A0EC4" w:rsidRPr="009A0EC4" w:rsidRDefault="009A0EC4" w:rsidP="009A0EC4">
      <w:pPr>
        <w:pStyle w:val="NormalParagHeading2"/>
        <w:numPr>
          <w:ilvl w:val="0"/>
          <w:numId w:val="5"/>
        </w:numPr>
        <w:rPr>
          <w:sz w:val="22"/>
        </w:rPr>
      </w:pPr>
      <w:r w:rsidRPr="009A0EC4">
        <w:rPr>
          <w:sz w:val="22"/>
        </w:rPr>
        <w:t>Presence or history of significant gastrointestinal, liver or kidney disease, or surgery that may affect drug bioavailability</w:t>
      </w:r>
    </w:p>
    <w:p w14:paraId="08C094B3" w14:textId="77777777" w:rsidR="009A0EC4" w:rsidRPr="009A0EC4" w:rsidRDefault="009A0EC4" w:rsidP="009A0EC4">
      <w:pPr>
        <w:pStyle w:val="NormalParagHeading2"/>
        <w:numPr>
          <w:ilvl w:val="0"/>
          <w:numId w:val="5"/>
        </w:numPr>
        <w:rPr>
          <w:sz w:val="22"/>
        </w:rPr>
      </w:pPr>
      <w:r w:rsidRPr="009A0EC4">
        <w:rPr>
          <w:sz w:val="22"/>
        </w:rPr>
        <w:t>History of significant cardiovascular, pulmonary, hematologic, neurological, psychiatric, endocrine, immunologic or dermatologic disease</w:t>
      </w:r>
    </w:p>
    <w:p w14:paraId="5F155E5C" w14:textId="77777777" w:rsidR="009A0EC4" w:rsidRPr="009A0EC4" w:rsidRDefault="009A0EC4" w:rsidP="009A0EC4">
      <w:pPr>
        <w:pStyle w:val="NormalParagHeading2"/>
        <w:numPr>
          <w:ilvl w:val="0"/>
          <w:numId w:val="5"/>
        </w:numPr>
        <w:rPr>
          <w:iCs/>
          <w:sz w:val="22"/>
        </w:rPr>
      </w:pPr>
      <w:r w:rsidRPr="009A0EC4">
        <w:rPr>
          <w:iCs/>
          <w:sz w:val="22"/>
        </w:rPr>
        <w:t>Presence of clinically significant ECG abnormalities at the screening visit, as defined by medical judgment</w:t>
      </w:r>
    </w:p>
    <w:p w14:paraId="51D1C643" w14:textId="77777777" w:rsidR="009A0EC4" w:rsidRPr="009A0EC4" w:rsidRDefault="009A0EC4" w:rsidP="009A0EC4">
      <w:pPr>
        <w:pStyle w:val="NormalParagHeading2"/>
        <w:numPr>
          <w:ilvl w:val="0"/>
          <w:numId w:val="5"/>
        </w:numPr>
        <w:rPr>
          <w:sz w:val="22"/>
        </w:rPr>
      </w:pPr>
      <w:r w:rsidRPr="009A0EC4">
        <w:rPr>
          <w:sz w:val="22"/>
        </w:rPr>
        <w:t>Maintenance therapy with any drug (</w:t>
      </w:r>
      <w:proofErr w:type="gramStart"/>
      <w:r w:rsidRPr="009A0EC4">
        <w:rPr>
          <w:sz w:val="22"/>
        </w:rPr>
        <w:t>with the exception of</w:t>
      </w:r>
      <w:proofErr w:type="gramEnd"/>
      <w:r w:rsidRPr="009A0EC4">
        <w:rPr>
          <w:sz w:val="22"/>
        </w:rPr>
        <w:t xml:space="preserve"> hormonal contraceptives or hormone replacement therapy) or significant history of drug dependency or alcohol abuse (&gt; 3 units of alcohol per day, intake of excessive alcohol, acute or chronic)</w:t>
      </w:r>
    </w:p>
    <w:p w14:paraId="77AFE62F" w14:textId="77777777" w:rsidR="009A0EC4" w:rsidRPr="009A0EC4" w:rsidRDefault="009A0EC4" w:rsidP="009A0EC4">
      <w:pPr>
        <w:pStyle w:val="NormalParagHeading2"/>
        <w:numPr>
          <w:ilvl w:val="0"/>
          <w:numId w:val="5"/>
        </w:numPr>
        <w:rPr>
          <w:sz w:val="22"/>
        </w:rPr>
      </w:pPr>
      <w:r w:rsidRPr="009A0EC4">
        <w:rPr>
          <w:sz w:val="22"/>
        </w:rPr>
        <w:t>Any clinically significant illness in the 28 days prior to the first study product administration</w:t>
      </w:r>
    </w:p>
    <w:p w14:paraId="321E7DDB" w14:textId="77777777" w:rsidR="009A0EC4" w:rsidRPr="009A0EC4" w:rsidRDefault="009A0EC4" w:rsidP="009A0EC4">
      <w:pPr>
        <w:pStyle w:val="NormalParagHeading2"/>
        <w:numPr>
          <w:ilvl w:val="0"/>
          <w:numId w:val="5"/>
        </w:numPr>
        <w:rPr>
          <w:sz w:val="22"/>
        </w:rPr>
      </w:pPr>
      <w:r w:rsidRPr="009A0EC4">
        <w:rPr>
          <w:sz w:val="22"/>
        </w:rPr>
        <w:t>Use of any prescription drugs (</w:t>
      </w:r>
      <w:proofErr w:type="gramStart"/>
      <w:r w:rsidRPr="009A0EC4">
        <w:rPr>
          <w:sz w:val="22"/>
        </w:rPr>
        <w:t>with the exception of</w:t>
      </w:r>
      <w:proofErr w:type="gramEnd"/>
      <w:r w:rsidRPr="009A0EC4">
        <w:rPr>
          <w:sz w:val="22"/>
        </w:rPr>
        <w:t xml:space="preserve"> hormonal contraceptives or hormone replacement therapy) in the 28 days prior to the first study product administration, that in the opinion of an investigator would put into question the status of the participant as healthy</w:t>
      </w:r>
    </w:p>
    <w:p w14:paraId="56CEF9DF" w14:textId="77777777" w:rsidR="009A0EC4" w:rsidRPr="009A0EC4" w:rsidRDefault="009A0EC4" w:rsidP="009A0EC4">
      <w:pPr>
        <w:pStyle w:val="NormalParagHeading2"/>
        <w:numPr>
          <w:ilvl w:val="0"/>
          <w:numId w:val="5"/>
        </w:numPr>
        <w:rPr>
          <w:sz w:val="22"/>
        </w:rPr>
      </w:pPr>
      <w:r w:rsidRPr="009A0EC4">
        <w:rPr>
          <w:sz w:val="22"/>
        </w:rPr>
        <w:t>Use of pseudoephedrine in the 7 days prior to the first study product administration</w:t>
      </w:r>
    </w:p>
    <w:p w14:paraId="5D54CC82" w14:textId="77777777" w:rsidR="009A0EC4" w:rsidRPr="009A0EC4" w:rsidRDefault="009A0EC4" w:rsidP="009A0EC4">
      <w:pPr>
        <w:pStyle w:val="NormalParagHeading2"/>
        <w:numPr>
          <w:ilvl w:val="0"/>
          <w:numId w:val="5"/>
        </w:numPr>
        <w:rPr>
          <w:sz w:val="22"/>
        </w:rPr>
      </w:pPr>
      <w:r w:rsidRPr="009A0EC4">
        <w:rPr>
          <w:sz w:val="22"/>
        </w:rPr>
        <w:lastRenderedPageBreak/>
        <w:t>Use of any medication or substance that aids in smoking cessation, including but not limited to any nicotine replacement therapy (e.g., nicotine gum, lozenge, patch), varenicline (</w:t>
      </w:r>
      <w:proofErr w:type="spellStart"/>
      <w:r w:rsidRPr="009A0EC4">
        <w:rPr>
          <w:sz w:val="22"/>
        </w:rPr>
        <w:t>Chantix</w:t>
      </w:r>
      <w:proofErr w:type="spellEnd"/>
      <w:r w:rsidRPr="009A0EC4">
        <w:rPr>
          <w:sz w:val="22"/>
          <w:vertAlign w:val="superscript"/>
        </w:rPr>
        <w:t>®</w:t>
      </w:r>
      <w:r w:rsidRPr="009A0EC4">
        <w:rPr>
          <w:sz w:val="22"/>
        </w:rPr>
        <w:t>), bupropion (Wellbutrin</w:t>
      </w:r>
      <w:r w:rsidRPr="009A0EC4">
        <w:rPr>
          <w:sz w:val="22"/>
          <w:vertAlign w:val="superscript"/>
        </w:rPr>
        <w:t>®</w:t>
      </w:r>
      <w:r w:rsidRPr="009A0EC4">
        <w:rPr>
          <w:sz w:val="22"/>
        </w:rPr>
        <w:t>, Zyban</w:t>
      </w:r>
      <w:r w:rsidRPr="009A0EC4">
        <w:rPr>
          <w:sz w:val="22"/>
          <w:vertAlign w:val="superscript"/>
        </w:rPr>
        <w:t>®</w:t>
      </w:r>
      <w:r w:rsidRPr="009A0EC4">
        <w:rPr>
          <w:sz w:val="22"/>
        </w:rPr>
        <w:t>), or Lobelia extract in the 28 days prior to the first study product administration</w:t>
      </w:r>
    </w:p>
    <w:p w14:paraId="193671AB" w14:textId="77777777" w:rsidR="009A0EC4" w:rsidRPr="009A0EC4" w:rsidRDefault="009A0EC4" w:rsidP="009A0EC4">
      <w:pPr>
        <w:pStyle w:val="NormalParagHeading2"/>
        <w:numPr>
          <w:ilvl w:val="0"/>
          <w:numId w:val="5"/>
        </w:numPr>
        <w:rPr>
          <w:sz w:val="22"/>
        </w:rPr>
      </w:pPr>
      <w:r w:rsidRPr="009A0EC4">
        <w:rPr>
          <w:sz w:val="22"/>
        </w:rPr>
        <w:t>Any history of tuberculosis</w:t>
      </w:r>
    </w:p>
    <w:p w14:paraId="58B369D0" w14:textId="77777777" w:rsidR="009A0EC4" w:rsidRPr="009A0EC4" w:rsidRDefault="009A0EC4" w:rsidP="009A0EC4">
      <w:pPr>
        <w:pStyle w:val="NormalParagHeading2"/>
        <w:numPr>
          <w:ilvl w:val="0"/>
          <w:numId w:val="5"/>
        </w:numPr>
        <w:rPr>
          <w:sz w:val="22"/>
        </w:rPr>
      </w:pPr>
      <w:r w:rsidRPr="009A0EC4">
        <w:rPr>
          <w:sz w:val="22"/>
        </w:rPr>
        <w:t>Positive test result for alcohol and/or drugs of abuse at screening or prior to the first product administration</w:t>
      </w:r>
    </w:p>
    <w:p w14:paraId="75EF2F58" w14:textId="77777777" w:rsidR="009A0EC4" w:rsidRPr="009A0EC4" w:rsidRDefault="009A0EC4" w:rsidP="009A0EC4">
      <w:pPr>
        <w:pStyle w:val="NormalParagHeading2"/>
        <w:numPr>
          <w:ilvl w:val="0"/>
          <w:numId w:val="5"/>
        </w:numPr>
        <w:rPr>
          <w:sz w:val="22"/>
        </w:rPr>
      </w:pPr>
      <w:r w:rsidRPr="009A0EC4">
        <w:rPr>
          <w:sz w:val="22"/>
        </w:rPr>
        <w:t>Positive screening results to HIV Ag/Ab Combo, Hepatitis B surface Antigen (</w:t>
      </w:r>
      <w:proofErr w:type="spellStart"/>
      <w:r w:rsidRPr="009A0EC4">
        <w:rPr>
          <w:sz w:val="22"/>
        </w:rPr>
        <w:t>HBsAG</w:t>
      </w:r>
      <w:proofErr w:type="spellEnd"/>
      <w:r w:rsidRPr="009A0EC4">
        <w:rPr>
          <w:sz w:val="22"/>
        </w:rPr>
        <w:t xml:space="preserve"> (B) (hepatitis B)) or Hepatitis C Virus (HCV (C)) tests</w:t>
      </w:r>
    </w:p>
    <w:p w14:paraId="73F83A8D" w14:textId="77777777" w:rsidR="009A0EC4" w:rsidRPr="009A0EC4" w:rsidRDefault="009A0EC4" w:rsidP="009A0EC4">
      <w:pPr>
        <w:pStyle w:val="NormalParagHeading2"/>
        <w:numPr>
          <w:ilvl w:val="0"/>
          <w:numId w:val="5"/>
        </w:numPr>
        <w:rPr>
          <w:sz w:val="22"/>
        </w:rPr>
      </w:pPr>
      <w:r w:rsidRPr="009A0EC4">
        <w:rPr>
          <w:sz w:val="22"/>
        </w:rPr>
        <w:t>Inclusion in a previous group for this clinical study</w:t>
      </w:r>
    </w:p>
    <w:p w14:paraId="14EB2F88" w14:textId="77777777" w:rsidR="009A0EC4" w:rsidRPr="009A0EC4" w:rsidRDefault="009A0EC4" w:rsidP="009A0EC4">
      <w:pPr>
        <w:pStyle w:val="NormalParagHeading2"/>
        <w:numPr>
          <w:ilvl w:val="0"/>
          <w:numId w:val="5"/>
        </w:numPr>
        <w:rPr>
          <w:sz w:val="22"/>
        </w:rPr>
      </w:pPr>
      <w:r w:rsidRPr="009A0EC4">
        <w:rPr>
          <w:sz w:val="22"/>
        </w:rPr>
        <w:t>Intake of an Investigational Product (IP) in any other clinical trial in the 28 days prior to the first study product administration</w:t>
      </w:r>
    </w:p>
    <w:p w14:paraId="1D8B3512" w14:textId="6A3E81AD" w:rsidR="009A0EC4" w:rsidRPr="009A0EC4" w:rsidRDefault="009A0EC4" w:rsidP="009A0EC4">
      <w:pPr>
        <w:pStyle w:val="NormalParagHeading2"/>
        <w:numPr>
          <w:ilvl w:val="0"/>
          <w:numId w:val="5"/>
        </w:numPr>
        <w:rPr>
          <w:sz w:val="22"/>
        </w:rPr>
      </w:pPr>
      <w:r w:rsidRPr="009A0EC4">
        <w:rPr>
          <w:sz w:val="22"/>
        </w:rPr>
        <w:t>Donation of 50 mL or more of blood in the 28 days prior to the first study product administration</w:t>
      </w:r>
    </w:p>
    <w:p w14:paraId="007FC404" w14:textId="77777777" w:rsidR="009A0EC4" w:rsidRPr="009A0EC4" w:rsidRDefault="009A0EC4" w:rsidP="009A0EC4">
      <w:pPr>
        <w:pStyle w:val="NormalParagHeading2"/>
        <w:numPr>
          <w:ilvl w:val="0"/>
          <w:numId w:val="5"/>
        </w:numPr>
        <w:rPr>
          <w:sz w:val="22"/>
        </w:rPr>
      </w:pPr>
      <w:r w:rsidRPr="009A0EC4">
        <w:rPr>
          <w:sz w:val="22"/>
        </w:rPr>
        <w:t>Donation of 500 mL or more of blood (Canadian Blood Services, Hema-Quebec, clinical studies, etc.) in the 56 days prior to the first study product administration</w:t>
      </w:r>
    </w:p>
    <w:p w14:paraId="408F8413" w14:textId="77777777" w:rsidR="009A0EC4" w:rsidRPr="009A0EC4" w:rsidRDefault="009A0EC4" w:rsidP="009A0EC4">
      <w:pPr>
        <w:pStyle w:val="NormalParagHeading2"/>
        <w:numPr>
          <w:ilvl w:val="0"/>
          <w:numId w:val="5"/>
        </w:numPr>
        <w:rPr>
          <w:sz w:val="22"/>
        </w:rPr>
      </w:pPr>
      <w:r w:rsidRPr="009A0EC4">
        <w:rPr>
          <w:sz w:val="22"/>
        </w:rPr>
        <w:t xml:space="preserve">Postponement of a decision to quit using tobacco- or nicotine-containing products </w:t>
      </w:r>
      <w:proofErr w:type="gramStart"/>
      <w:r w:rsidRPr="009A0EC4">
        <w:rPr>
          <w:sz w:val="22"/>
        </w:rPr>
        <w:t>in order to</w:t>
      </w:r>
      <w:proofErr w:type="gramEnd"/>
      <w:r w:rsidRPr="009A0EC4">
        <w:rPr>
          <w:sz w:val="22"/>
        </w:rPr>
        <w:t xml:space="preserve"> participate in this study</w:t>
      </w:r>
    </w:p>
    <w:p w14:paraId="65622184" w14:textId="035E84D4" w:rsidR="009A0EC4" w:rsidRPr="009A0EC4" w:rsidRDefault="009A0EC4" w:rsidP="009A0EC4">
      <w:pPr>
        <w:pStyle w:val="NormalParagHeading2"/>
        <w:numPr>
          <w:ilvl w:val="0"/>
          <w:numId w:val="5"/>
        </w:numPr>
        <w:rPr>
          <w:b/>
          <w:bCs/>
          <w:sz w:val="22"/>
        </w:rPr>
      </w:pPr>
      <w:r w:rsidRPr="009A0EC4">
        <w:rPr>
          <w:sz w:val="22"/>
        </w:rPr>
        <w:t>Previously attempted to quit using tobacco- or nicotine-containing products in the 28 days prior to the first study product administration</w:t>
      </w:r>
      <w:r>
        <w:t>.</w:t>
      </w:r>
    </w:p>
    <w:p w14:paraId="5B43C543" w14:textId="51F3752E" w:rsidR="009A0EC4" w:rsidRPr="009A0EC4" w:rsidRDefault="009A0EC4" w:rsidP="009A0EC4">
      <w:pPr>
        <w:pStyle w:val="NormalParagHeading2"/>
        <w:rPr>
          <w:sz w:val="22"/>
        </w:rPr>
      </w:pPr>
    </w:p>
    <w:p w14:paraId="6D1059D6" w14:textId="77777777" w:rsidR="009A0EC4" w:rsidRPr="00AD1E39" w:rsidRDefault="009A0EC4" w:rsidP="00AD1E39">
      <w:pPr>
        <w:pStyle w:val="Heading1"/>
        <w:rPr>
          <w:rFonts w:ascii="Times New Roman" w:hAnsi="Times New Roman"/>
          <w:b/>
          <w:bCs/>
          <w:sz w:val="22"/>
          <w:szCs w:val="22"/>
        </w:rPr>
      </w:pPr>
      <w:bookmarkStart w:id="27" w:name="_Toc488147302"/>
      <w:bookmarkStart w:id="28" w:name="_Toc32484645"/>
      <w:bookmarkStart w:id="29" w:name="_Toc48818234"/>
      <w:r w:rsidRPr="00AD1E39">
        <w:rPr>
          <w:rFonts w:ascii="Times New Roman" w:hAnsi="Times New Roman"/>
          <w:b/>
          <w:bCs/>
          <w:sz w:val="22"/>
          <w:szCs w:val="22"/>
        </w:rPr>
        <w:t>Lifestyle and/or Dietary Requirements</w:t>
      </w:r>
      <w:bookmarkEnd w:id="27"/>
      <w:bookmarkEnd w:id="28"/>
      <w:bookmarkEnd w:id="29"/>
    </w:p>
    <w:p w14:paraId="2753562A" w14:textId="77777777" w:rsidR="009A0EC4" w:rsidRPr="009A0EC4" w:rsidRDefault="009A0EC4" w:rsidP="009A0EC4">
      <w:pPr>
        <w:pStyle w:val="NormalParagraphHeading2Bullet1"/>
        <w:rPr>
          <w:sz w:val="22"/>
        </w:rPr>
      </w:pPr>
      <w:r w:rsidRPr="009A0EC4">
        <w:rPr>
          <w:sz w:val="22"/>
        </w:rPr>
        <w:t>Subjects will be prohibited from consuming food or beverages containing grapefruit and/or pomelo for 7 days prior to the period 1 study product administration and during the study.</w:t>
      </w:r>
    </w:p>
    <w:p w14:paraId="431D40A1" w14:textId="77777777" w:rsidR="009A0EC4" w:rsidRPr="009A0EC4" w:rsidRDefault="009A0EC4" w:rsidP="009A0EC4">
      <w:pPr>
        <w:pStyle w:val="NormalParagraphHeading2Bullet1"/>
        <w:rPr>
          <w:sz w:val="22"/>
        </w:rPr>
      </w:pPr>
      <w:r w:rsidRPr="009A0EC4">
        <w:rPr>
          <w:sz w:val="22"/>
        </w:rPr>
        <w:t>Subjects will be prohibited from consuming alcohol for 48 hours prior to the period 1 study product administration and during the study.</w:t>
      </w:r>
    </w:p>
    <w:p w14:paraId="5445433E" w14:textId="53A48992" w:rsidR="009A0EC4" w:rsidRPr="009A0EC4" w:rsidRDefault="009A0EC4" w:rsidP="009A0EC4">
      <w:pPr>
        <w:pStyle w:val="NormalParagraphHeading2Bullet1"/>
        <w:rPr>
          <w:sz w:val="22"/>
        </w:rPr>
      </w:pPr>
      <w:r w:rsidRPr="009A0EC4">
        <w:rPr>
          <w:sz w:val="22"/>
        </w:rPr>
        <w:t xml:space="preserve">Subjects will be prohibited from consuming food or beverages containing </w:t>
      </w:r>
      <w:proofErr w:type="spellStart"/>
      <w:r w:rsidRPr="009A0EC4">
        <w:rPr>
          <w:sz w:val="22"/>
        </w:rPr>
        <w:t>xanthines</w:t>
      </w:r>
      <w:proofErr w:type="spellEnd"/>
      <w:r w:rsidRPr="009A0EC4">
        <w:rPr>
          <w:sz w:val="22"/>
        </w:rPr>
        <w:t xml:space="preserve"> (i.e.</w:t>
      </w:r>
      <w:r w:rsidRPr="009A0EC4">
        <w:rPr>
          <w:sz w:val="22"/>
        </w:rPr>
        <w:t>,</w:t>
      </w:r>
      <w:r w:rsidRPr="009A0EC4">
        <w:rPr>
          <w:sz w:val="22"/>
        </w:rPr>
        <w:t xml:space="preserve"> tea, coffee, cola drinks, energy drinks or chocolate) for 48 hours prior to the period 1 study product administration and during the study.</w:t>
      </w:r>
    </w:p>
    <w:p w14:paraId="00318ACD" w14:textId="69CBA518" w:rsidR="009A0EC4" w:rsidRPr="009A0EC4" w:rsidRDefault="009A0EC4" w:rsidP="009A0EC4">
      <w:pPr>
        <w:pStyle w:val="NormalParagraphHeading2Bullet1"/>
        <w:rPr>
          <w:sz w:val="22"/>
        </w:rPr>
      </w:pPr>
      <w:r w:rsidRPr="009A0EC4">
        <w:rPr>
          <w:sz w:val="22"/>
        </w:rPr>
        <w:t xml:space="preserve">Subjects will eat only the food provided by the study site during confinement at the </w:t>
      </w:r>
      <w:r w:rsidR="007E7991">
        <w:rPr>
          <w:sz w:val="22"/>
        </w:rPr>
        <w:t>clinical research unit (</w:t>
      </w:r>
      <w:r w:rsidRPr="009A0EC4">
        <w:rPr>
          <w:sz w:val="22"/>
        </w:rPr>
        <w:t>CRU</w:t>
      </w:r>
      <w:r w:rsidR="007E7991">
        <w:rPr>
          <w:sz w:val="22"/>
        </w:rPr>
        <w:t>)</w:t>
      </w:r>
      <w:r w:rsidRPr="009A0EC4">
        <w:rPr>
          <w:sz w:val="22"/>
        </w:rPr>
        <w:t>.</w:t>
      </w:r>
    </w:p>
    <w:p w14:paraId="07A695D2" w14:textId="77777777" w:rsidR="009A0EC4" w:rsidRPr="009A0EC4" w:rsidRDefault="009A0EC4" w:rsidP="009A0EC4">
      <w:pPr>
        <w:pStyle w:val="NormalParagraphHeading2Bullet1"/>
        <w:rPr>
          <w:sz w:val="22"/>
        </w:rPr>
      </w:pPr>
      <w:r w:rsidRPr="009A0EC4">
        <w:rPr>
          <w:sz w:val="22"/>
        </w:rPr>
        <w:t>Subjects will be prohibited from consuming cannabinoids for 14 days prior to the period 1 study product administration and during the study.</w:t>
      </w:r>
    </w:p>
    <w:p w14:paraId="1CCE4760" w14:textId="77777777" w:rsidR="009A0EC4" w:rsidRPr="009A0EC4" w:rsidRDefault="009A0EC4" w:rsidP="009A0EC4">
      <w:pPr>
        <w:pStyle w:val="NormalParagraphHeading2Bullet1"/>
        <w:rPr>
          <w:sz w:val="22"/>
        </w:rPr>
      </w:pPr>
      <w:r w:rsidRPr="009A0EC4">
        <w:rPr>
          <w:sz w:val="22"/>
        </w:rPr>
        <w:t xml:space="preserve">Subjects will abstain from nicotine and tobacco products (except for the study products provided) for 24 hours prior to the period 1 study product administration and until 12 hours after the last product administration of the study. </w:t>
      </w:r>
    </w:p>
    <w:p w14:paraId="3094E491" w14:textId="3FA42825" w:rsidR="009A0EC4" w:rsidRPr="009A0EC4" w:rsidRDefault="009A0EC4" w:rsidP="009A0EC4">
      <w:pPr>
        <w:pStyle w:val="NormalParagraphHeading2Bullet1"/>
        <w:rPr>
          <w:sz w:val="22"/>
        </w:rPr>
      </w:pPr>
      <w:r w:rsidRPr="009A0EC4">
        <w:rPr>
          <w:sz w:val="22"/>
        </w:rPr>
        <w:t>Female subjects of childbearing potential will have to take appropriate measures to prevent pregnancy for at least 28 days prior to the first study product administration (in period 1), during the study and for at least 30 days after the last study product administration (period 3). It is the participant’s responsibility to notify the CRU if a pregnancy occurs from the end of their study participation until 30 days after the last study product dosing.</w:t>
      </w:r>
    </w:p>
    <w:p w14:paraId="5B1149D5" w14:textId="7504C91E" w:rsidR="009A0EC4" w:rsidRPr="009A0EC4" w:rsidRDefault="009A0EC4" w:rsidP="009A0EC4">
      <w:pPr>
        <w:pStyle w:val="NormalParagraphHeading2Bullet1"/>
        <w:rPr>
          <w:sz w:val="22"/>
        </w:rPr>
      </w:pPr>
      <w:r w:rsidRPr="009A0EC4">
        <w:rPr>
          <w:sz w:val="22"/>
        </w:rPr>
        <w:t xml:space="preserve">Subjects will undergo a complete search of their personal belongings, including jackets/coats, if applicable, and personal belongings will be decontaminated at admission to the clinical site. Subjects’ personal belongings will be decontaminated again at 24 hours prior to product administration of period 1. Subjects will not have access to their personal belongings from 24 hours prior to the product administration of period 1 until the end of the confinement </w:t>
      </w:r>
      <w:r w:rsidRPr="009A0EC4">
        <w:rPr>
          <w:sz w:val="22"/>
        </w:rPr>
        <w:lastRenderedPageBreak/>
        <w:t>period (</w:t>
      </w:r>
      <w:proofErr w:type="gramStart"/>
      <w:r w:rsidRPr="009A0EC4">
        <w:rPr>
          <w:sz w:val="22"/>
        </w:rPr>
        <w:t>with the exception of</w:t>
      </w:r>
      <w:proofErr w:type="gramEnd"/>
      <w:r w:rsidRPr="009A0EC4">
        <w:rPr>
          <w:sz w:val="22"/>
        </w:rPr>
        <w:t xml:space="preserve"> decontaminated personal belongings that are mandatory to the subject).</w:t>
      </w:r>
    </w:p>
    <w:p w14:paraId="414A4696" w14:textId="77777777" w:rsidR="009A0EC4" w:rsidRPr="009A0EC4" w:rsidRDefault="009A0EC4" w:rsidP="009A0EC4">
      <w:pPr>
        <w:pStyle w:val="NormalParagraphHeading2Bullet1"/>
        <w:rPr>
          <w:sz w:val="22"/>
        </w:rPr>
      </w:pPr>
      <w:r w:rsidRPr="009A0EC4">
        <w:rPr>
          <w:sz w:val="22"/>
        </w:rPr>
        <w:t>Subjects will be required to take a shower and to wash their hair at admission to the clinical site and at 24 hours prior to the product administration of period 1.</w:t>
      </w:r>
    </w:p>
    <w:p w14:paraId="5982AE53" w14:textId="77777777" w:rsidR="009A0EC4" w:rsidRPr="009A0EC4" w:rsidRDefault="009A0EC4" w:rsidP="009A0EC4">
      <w:pPr>
        <w:pStyle w:val="NormalParagraphHeading2Bullet1"/>
        <w:rPr>
          <w:sz w:val="22"/>
        </w:rPr>
      </w:pPr>
      <w:r w:rsidRPr="009A0EC4">
        <w:rPr>
          <w:sz w:val="22"/>
        </w:rPr>
        <w:t xml:space="preserve">Subjects will be required to wear clothing provided by the clinical site for the duration of the confinement period. </w:t>
      </w:r>
    </w:p>
    <w:p w14:paraId="03E33763" w14:textId="4AB590BF" w:rsidR="009A0EC4" w:rsidRDefault="009A0EC4" w:rsidP="009A0EC4">
      <w:pPr>
        <w:pStyle w:val="NormalParagHeading2"/>
        <w:rPr>
          <w:b/>
          <w:bCs/>
          <w:sz w:val="22"/>
        </w:rPr>
      </w:pPr>
    </w:p>
    <w:p w14:paraId="677393A5" w14:textId="344E2FA4" w:rsidR="001C5AB3" w:rsidRPr="00AD1E39" w:rsidRDefault="001C5AB3" w:rsidP="001C5AB3">
      <w:pPr>
        <w:pStyle w:val="Heading1"/>
        <w:rPr>
          <w:rFonts w:ascii="Times New Roman" w:hAnsi="Times New Roman"/>
          <w:b/>
          <w:bCs/>
          <w:sz w:val="22"/>
          <w:szCs w:val="22"/>
        </w:rPr>
      </w:pPr>
      <w:r>
        <w:rPr>
          <w:rFonts w:ascii="Times New Roman" w:hAnsi="Times New Roman"/>
          <w:b/>
          <w:bCs/>
          <w:sz w:val="22"/>
          <w:szCs w:val="22"/>
        </w:rPr>
        <w:t>Schedule of activitie</w:t>
      </w:r>
      <w:r w:rsidRPr="00AD1E39">
        <w:rPr>
          <w:rFonts w:ascii="Times New Roman" w:hAnsi="Times New Roman"/>
          <w:b/>
          <w:bCs/>
          <w:sz w:val="22"/>
          <w:szCs w:val="22"/>
        </w:rPr>
        <w:t>s</w:t>
      </w:r>
    </w:p>
    <w:p w14:paraId="08CA2A0D" w14:textId="77777777" w:rsidR="0079025D" w:rsidRPr="0079025D" w:rsidRDefault="0079025D" w:rsidP="0079025D">
      <w:pPr>
        <w:pStyle w:val="In-TextTableTitle"/>
        <w:rPr>
          <w:rFonts w:ascii="Times New Roman" w:hAnsi="Times New Roman" w:cs="Times New Roman"/>
          <w:sz w:val="22"/>
        </w:rPr>
      </w:pPr>
      <w:bookmarkStart w:id="30" w:name="_Toc394312397"/>
      <w:bookmarkStart w:id="31" w:name="_Toc488412837"/>
      <w:bookmarkStart w:id="32" w:name="_Toc32484659"/>
      <w:bookmarkStart w:id="33" w:name="_Toc48818248"/>
      <w:r w:rsidRPr="0079025D">
        <w:rPr>
          <w:rFonts w:ascii="Times New Roman" w:hAnsi="Times New Roman" w:cs="Times New Roman"/>
          <w:sz w:val="22"/>
        </w:rPr>
        <w:t xml:space="preserve">Table </w:t>
      </w:r>
      <w:r w:rsidRPr="0079025D">
        <w:rPr>
          <w:rFonts w:ascii="Times New Roman" w:hAnsi="Times New Roman" w:cs="Times New Roman"/>
          <w:sz w:val="22"/>
        </w:rPr>
        <w:fldChar w:fldCharType="begin"/>
      </w:r>
      <w:r w:rsidRPr="0079025D">
        <w:rPr>
          <w:rFonts w:ascii="Times New Roman" w:hAnsi="Times New Roman" w:cs="Times New Roman"/>
          <w:sz w:val="22"/>
        </w:rPr>
        <w:instrText xml:space="preserve"> SEQ Table \* ARABIC </w:instrText>
      </w:r>
      <w:r w:rsidRPr="0079025D">
        <w:rPr>
          <w:rFonts w:ascii="Times New Roman" w:hAnsi="Times New Roman" w:cs="Times New Roman"/>
          <w:sz w:val="22"/>
        </w:rPr>
        <w:fldChar w:fldCharType="separate"/>
      </w:r>
      <w:r w:rsidRPr="0079025D">
        <w:rPr>
          <w:rFonts w:ascii="Times New Roman" w:hAnsi="Times New Roman" w:cs="Times New Roman"/>
          <w:noProof/>
          <w:sz w:val="22"/>
        </w:rPr>
        <w:t>1</w:t>
      </w:r>
      <w:r w:rsidRPr="0079025D">
        <w:rPr>
          <w:rFonts w:ascii="Times New Roman" w:hAnsi="Times New Roman" w:cs="Times New Roman"/>
          <w:sz w:val="22"/>
        </w:rPr>
        <w:fldChar w:fldCharType="end"/>
      </w:r>
      <w:r w:rsidRPr="0079025D">
        <w:rPr>
          <w:rFonts w:ascii="Times New Roman" w:hAnsi="Times New Roman" w:cs="Times New Roman"/>
          <w:sz w:val="22"/>
        </w:rPr>
        <w:t>. Schedule of Activities</w:t>
      </w: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8"/>
        <w:gridCol w:w="1090"/>
        <w:gridCol w:w="708"/>
        <w:gridCol w:w="708"/>
        <w:gridCol w:w="812"/>
        <w:gridCol w:w="812"/>
        <w:gridCol w:w="812"/>
        <w:gridCol w:w="1499"/>
      </w:tblGrid>
      <w:tr w:rsidR="00AD1E39" w:rsidRPr="00BC004C" w14:paraId="2CEA990E" w14:textId="77777777" w:rsidTr="00BC004C">
        <w:trPr>
          <w:trHeight w:hRule="exact" w:val="288"/>
          <w:tblHeader/>
        </w:trPr>
        <w:tc>
          <w:tcPr>
            <w:tcW w:w="1960" w:type="pct"/>
            <w:tcBorders>
              <w:top w:val="single" w:sz="4" w:space="0" w:color="auto"/>
              <w:left w:val="single" w:sz="4" w:space="0" w:color="auto"/>
              <w:bottom w:val="single" w:sz="4" w:space="0" w:color="auto"/>
              <w:right w:val="single" w:sz="4" w:space="0" w:color="auto"/>
            </w:tcBorders>
            <w:shd w:val="clear" w:color="auto" w:fill="D9D9D9"/>
            <w:vAlign w:val="center"/>
          </w:tcPr>
          <w:p w14:paraId="4EBBED98" w14:textId="77777777" w:rsidR="00AD1E39" w:rsidRPr="00BC004C" w:rsidRDefault="00AD1E39" w:rsidP="00FA06E9">
            <w:pPr>
              <w:pStyle w:val="In-TextTableBodytext"/>
              <w:rPr>
                <w:sz w:val="20"/>
                <w:szCs w:val="20"/>
              </w:rPr>
            </w:pPr>
          </w:p>
        </w:tc>
        <w:tc>
          <w:tcPr>
            <w:tcW w:w="30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A96B4E4" w14:textId="77777777" w:rsidR="00AD1E39" w:rsidRPr="00BC004C" w:rsidRDefault="00AD1E39" w:rsidP="00FA06E9">
            <w:pPr>
              <w:pStyle w:val="In-TextTableBodytext"/>
              <w:rPr>
                <w:b/>
                <w:sz w:val="20"/>
                <w:szCs w:val="20"/>
              </w:rPr>
            </w:pPr>
            <w:r w:rsidRPr="00BC004C">
              <w:rPr>
                <w:b/>
                <w:sz w:val="20"/>
                <w:szCs w:val="20"/>
              </w:rPr>
              <w:t>Screening</w:t>
            </w:r>
          </w:p>
        </w:tc>
        <w:tc>
          <w:tcPr>
            <w:tcW w:w="736"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2A64C0C" w14:textId="24ED6127" w:rsidR="00AD1E39" w:rsidRPr="00BC004C" w:rsidRDefault="00AD1E39" w:rsidP="00FA06E9">
            <w:pPr>
              <w:pStyle w:val="In-TextTableBodytext"/>
              <w:rPr>
                <w:b/>
                <w:sz w:val="20"/>
                <w:szCs w:val="20"/>
              </w:rPr>
            </w:pPr>
          </w:p>
        </w:tc>
        <w:tc>
          <w:tcPr>
            <w:tcW w:w="4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0C02B32" w14:textId="77777777" w:rsidR="00AD1E39" w:rsidRPr="00BC004C" w:rsidRDefault="00AD1E39" w:rsidP="00FA06E9">
            <w:pPr>
              <w:pStyle w:val="In-TextTableBodytext"/>
              <w:rPr>
                <w:b/>
                <w:sz w:val="20"/>
                <w:szCs w:val="20"/>
              </w:rPr>
            </w:pPr>
            <w:r w:rsidRPr="00BC004C">
              <w:rPr>
                <w:b/>
                <w:sz w:val="20"/>
                <w:szCs w:val="20"/>
              </w:rPr>
              <w:t>Period 1</w:t>
            </w:r>
          </w:p>
        </w:tc>
        <w:tc>
          <w:tcPr>
            <w:tcW w:w="4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745F7E7" w14:textId="77777777" w:rsidR="00AD1E39" w:rsidRPr="00BC004C" w:rsidRDefault="00AD1E39" w:rsidP="00FA06E9">
            <w:pPr>
              <w:pStyle w:val="In-TextTableBodytext"/>
              <w:rPr>
                <w:b/>
                <w:sz w:val="20"/>
                <w:szCs w:val="20"/>
              </w:rPr>
            </w:pPr>
            <w:r w:rsidRPr="00BC004C">
              <w:rPr>
                <w:b/>
                <w:sz w:val="20"/>
                <w:szCs w:val="20"/>
              </w:rPr>
              <w:t>Period 2</w:t>
            </w:r>
          </w:p>
        </w:tc>
        <w:tc>
          <w:tcPr>
            <w:tcW w:w="4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244317B" w14:textId="77777777" w:rsidR="00AD1E39" w:rsidRPr="00BC004C" w:rsidRDefault="00AD1E39" w:rsidP="00FA06E9">
            <w:pPr>
              <w:pStyle w:val="In-TextTableBodytext"/>
              <w:rPr>
                <w:b/>
                <w:sz w:val="20"/>
                <w:szCs w:val="20"/>
              </w:rPr>
            </w:pPr>
            <w:r w:rsidRPr="00BC004C">
              <w:rPr>
                <w:b/>
                <w:sz w:val="20"/>
                <w:szCs w:val="20"/>
              </w:rPr>
              <w:t>Period 3</w:t>
            </w:r>
          </w:p>
        </w:tc>
        <w:tc>
          <w:tcPr>
            <w:tcW w:w="75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D2B3058" w14:textId="73B37A00" w:rsidR="00AD1E39" w:rsidRPr="00BC004C" w:rsidRDefault="00AD1E39" w:rsidP="00FA06E9">
            <w:pPr>
              <w:pStyle w:val="In-TextTableBodytext"/>
              <w:rPr>
                <w:b/>
                <w:sz w:val="20"/>
                <w:szCs w:val="20"/>
              </w:rPr>
            </w:pPr>
            <w:r w:rsidRPr="00BC004C">
              <w:rPr>
                <w:b/>
                <w:sz w:val="20"/>
                <w:szCs w:val="20"/>
              </w:rPr>
              <w:t>End of Study</w:t>
            </w:r>
            <w:r w:rsidR="00662BBF" w:rsidRPr="00662BBF">
              <w:rPr>
                <w:bCs/>
                <w:sz w:val="20"/>
                <w:szCs w:val="20"/>
                <w:vertAlign w:val="superscript"/>
              </w:rPr>
              <w:t>1</w:t>
            </w:r>
          </w:p>
        </w:tc>
      </w:tr>
      <w:tr w:rsidR="00AD1E39" w:rsidRPr="00BC004C" w14:paraId="5DAE8317" w14:textId="77777777" w:rsidTr="00BC004C">
        <w:trPr>
          <w:trHeight w:hRule="exact" w:val="288"/>
          <w:tblHeader/>
        </w:trPr>
        <w:tc>
          <w:tcPr>
            <w:tcW w:w="19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EFE75F1" w14:textId="77777777" w:rsidR="0079025D" w:rsidRPr="00BC004C" w:rsidRDefault="0079025D" w:rsidP="00FA06E9">
            <w:pPr>
              <w:pStyle w:val="In-TextTableBodytext"/>
              <w:jc w:val="left"/>
              <w:rPr>
                <w:b/>
                <w:sz w:val="20"/>
                <w:szCs w:val="20"/>
              </w:rPr>
            </w:pPr>
            <w:r w:rsidRPr="00BC004C">
              <w:rPr>
                <w:b/>
                <w:sz w:val="20"/>
                <w:szCs w:val="20"/>
              </w:rPr>
              <w:t>Day</w:t>
            </w:r>
          </w:p>
        </w:tc>
        <w:tc>
          <w:tcPr>
            <w:tcW w:w="30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2FF7FCF" w14:textId="77777777" w:rsidR="0079025D" w:rsidRPr="00BC004C" w:rsidRDefault="0079025D" w:rsidP="00FA06E9">
            <w:pPr>
              <w:pStyle w:val="In-TextTableBodytext"/>
              <w:rPr>
                <w:b/>
                <w:sz w:val="20"/>
                <w:szCs w:val="20"/>
              </w:rPr>
            </w:pPr>
            <w:r w:rsidRPr="00BC004C">
              <w:rPr>
                <w:b/>
                <w:sz w:val="20"/>
                <w:szCs w:val="20"/>
              </w:rPr>
              <w:t>-28 to -2</w:t>
            </w:r>
          </w:p>
        </w:tc>
        <w:tc>
          <w:tcPr>
            <w:tcW w:w="36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ED6F932" w14:textId="77777777" w:rsidR="0079025D" w:rsidRPr="00BC004C" w:rsidRDefault="0079025D" w:rsidP="00FA06E9">
            <w:pPr>
              <w:pStyle w:val="In-TextTableBodytext"/>
              <w:rPr>
                <w:b/>
                <w:sz w:val="20"/>
                <w:szCs w:val="20"/>
              </w:rPr>
            </w:pPr>
            <w:r w:rsidRPr="00BC004C">
              <w:rPr>
                <w:b/>
                <w:sz w:val="20"/>
                <w:szCs w:val="20"/>
              </w:rPr>
              <w:t>-2</w:t>
            </w:r>
          </w:p>
        </w:tc>
        <w:tc>
          <w:tcPr>
            <w:tcW w:w="36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822DA90" w14:textId="77777777" w:rsidR="0079025D" w:rsidRPr="00BC004C" w:rsidRDefault="0079025D" w:rsidP="00FA06E9">
            <w:pPr>
              <w:pStyle w:val="In-TextTableBodytext"/>
              <w:rPr>
                <w:b/>
                <w:sz w:val="20"/>
                <w:szCs w:val="20"/>
              </w:rPr>
            </w:pPr>
            <w:r w:rsidRPr="00BC004C">
              <w:rPr>
                <w:b/>
                <w:sz w:val="20"/>
                <w:szCs w:val="20"/>
              </w:rPr>
              <w:t>-1</w:t>
            </w:r>
          </w:p>
        </w:tc>
        <w:tc>
          <w:tcPr>
            <w:tcW w:w="4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C27B9A0" w14:textId="77777777" w:rsidR="0079025D" w:rsidRPr="00BC004C" w:rsidRDefault="0079025D" w:rsidP="00FA06E9">
            <w:pPr>
              <w:pStyle w:val="In-TextTableBodytext"/>
              <w:rPr>
                <w:b/>
                <w:sz w:val="20"/>
                <w:szCs w:val="20"/>
              </w:rPr>
            </w:pPr>
            <w:r w:rsidRPr="00BC004C">
              <w:rPr>
                <w:b/>
                <w:sz w:val="20"/>
                <w:szCs w:val="20"/>
              </w:rPr>
              <w:t>1</w:t>
            </w:r>
          </w:p>
        </w:tc>
        <w:tc>
          <w:tcPr>
            <w:tcW w:w="4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B091DF2" w14:textId="77777777" w:rsidR="0079025D" w:rsidRPr="00BC004C" w:rsidRDefault="0079025D" w:rsidP="00FA06E9">
            <w:pPr>
              <w:pStyle w:val="In-TextTableBodytext"/>
              <w:rPr>
                <w:b/>
                <w:sz w:val="20"/>
                <w:szCs w:val="20"/>
              </w:rPr>
            </w:pPr>
            <w:r w:rsidRPr="00BC004C">
              <w:rPr>
                <w:b/>
                <w:sz w:val="20"/>
                <w:szCs w:val="20"/>
              </w:rPr>
              <w:t>2</w:t>
            </w:r>
          </w:p>
        </w:tc>
        <w:tc>
          <w:tcPr>
            <w:tcW w:w="4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7CE9944" w14:textId="77777777" w:rsidR="0079025D" w:rsidRPr="00BC004C" w:rsidRDefault="0079025D" w:rsidP="00FA06E9">
            <w:pPr>
              <w:pStyle w:val="In-TextTableBodytext"/>
              <w:rPr>
                <w:b/>
                <w:sz w:val="20"/>
                <w:szCs w:val="20"/>
              </w:rPr>
            </w:pPr>
            <w:r w:rsidRPr="00BC004C">
              <w:rPr>
                <w:b/>
                <w:sz w:val="20"/>
                <w:szCs w:val="20"/>
              </w:rPr>
              <w:t>3</w:t>
            </w:r>
          </w:p>
        </w:tc>
        <w:tc>
          <w:tcPr>
            <w:tcW w:w="75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BDAA311" w14:textId="77777777" w:rsidR="0079025D" w:rsidRPr="00BC004C" w:rsidRDefault="0079025D" w:rsidP="00FA06E9">
            <w:pPr>
              <w:pStyle w:val="In-TextTableBodytext"/>
              <w:rPr>
                <w:b/>
                <w:sz w:val="20"/>
                <w:szCs w:val="20"/>
              </w:rPr>
            </w:pPr>
            <w:r w:rsidRPr="00BC004C">
              <w:rPr>
                <w:b/>
                <w:sz w:val="20"/>
                <w:szCs w:val="20"/>
              </w:rPr>
              <w:t>3</w:t>
            </w:r>
          </w:p>
        </w:tc>
      </w:tr>
      <w:tr w:rsidR="00BC004C" w:rsidRPr="00BC004C" w14:paraId="198188F4"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0AE7E0E0" w14:textId="3B796C97" w:rsidR="0079025D" w:rsidRPr="00BC004C" w:rsidRDefault="0079025D" w:rsidP="00FA06E9">
            <w:pPr>
              <w:pStyle w:val="In-TextTableBodytext"/>
              <w:jc w:val="left"/>
              <w:rPr>
                <w:sz w:val="20"/>
                <w:szCs w:val="20"/>
              </w:rPr>
            </w:pPr>
            <w:r w:rsidRPr="00BC004C">
              <w:rPr>
                <w:sz w:val="20"/>
                <w:szCs w:val="20"/>
              </w:rPr>
              <w:t>Informed Consent</w:t>
            </w:r>
            <w:r w:rsidR="00662BBF" w:rsidRPr="00662BBF">
              <w:rPr>
                <w:sz w:val="20"/>
                <w:szCs w:val="20"/>
                <w:vertAlign w:val="superscript"/>
              </w:rPr>
              <w:t>2</w:t>
            </w:r>
          </w:p>
        </w:tc>
        <w:tc>
          <w:tcPr>
            <w:tcW w:w="307" w:type="pct"/>
            <w:tcBorders>
              <w:top w:val="single" w:sz="4" w:space="0" w:color="auto"/>
              <w:left w:val="single" w:sz="4" w:space="0" w:color="auto"/>
              <w:bottom w:val="single" w:sz="4" w:space="0" w:color="auto"/>
              <w:right w:val="single" w:sz="4" w:space="0" w:color="auto"/>
            </w:tcBorders>
            <w:vAlign w:val="center"/>
            <w:hideMark/>
          </w:tcPr>
          <w:p w14:paraId="7CAAAAD7"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3A690686"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6A2C0570"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35D993D2"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7708BBF9"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252033BF" w14:textId="77777777" w:rsidR="0079025D" w:rsidRPr="00BC004C" w:rsidRDefault="0079025D" w:rsidP="00FA06E9">
            <w:pPr>
              <w:pStyle w:val="In-TextTableBodytext"/>
              <w:rPr>
                <w:sz w:val="20"/>
                <w:szCs w:val="20"/>
              </w:rPr>
            </w:pPr>
          </w:p>
        </w:tc>
        <w:tc>
          <w:tcPr>
            <w:tcW w:w="756" w:type="pct"/>
            <w:tcBorders>
              <w:top w:val="single" w:sz="4" w:space="0" w:color="auto"/>
              <w:left w:val="single" w:sz="4" w:space="0" w:color="auto"/>
              <w:bottom w:val="single" w:sz="4" w:space="0" w:color="auto"/>
              <w:right w:val="single" w:sz="4" w:space="0" w:color="auto"/>
            </w:tcBorders>
            <w:vAlign w:val="center"/>
          </w:tcPr>
          <w:p w14:paraId="5F6DFCA1" w14:textId="77777777" w:rsidR="0079025D" w:rsidRPr="00BC004C" w:rsidRDefault="0079025D" w:rsidP="00FA06E9">
            <w:pPr>
              <w:pStyle w:val="In-TextTableBodytext"/>
              <w:rPr>
                <w:sz w:val="20"/>
                <w:szCs w:val="20"/>
              </w:rPr>
            </w:pPr>
          </w:p>
        </w:tc>
      </w:tr>
      <w:tr w:rsidR="00BC004C" w:rsidRPr="00BC004C" w14:paraId="722E033C"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196FB1AA" w14:textId="77777777" w:rsidR="0079025D" w:rsidRPr="00BC004C" w:rsidRDefault="0079025D" w:rsidP="00FA06E9">
            <w:pPr>
              <w:pStyle w:val="In-TextTableBodytext"/>
              <w:jc w:val="left"/>
              <w:rPr>
                <w:sz w:val="20"/>
                <w:szCs w:val="20"/>
              </w:rPr>
            </w:pPr>
            <w:r w:rsidRPr="00BC004C">
              <w:rPr>
                <w:sz w:val="20"/>
                <w:szCs w:val="20"/>
              </w:rPr>
              <w:t>Eligibility Criteria Review</w:t>
            </w:r>
          </w:p>
        </w:tc>
        <w:tc>
          <w:tcPr>
            <w:tcW w:w="307" w:type="pct"/>
            <w:tcBorders>
              <w:top w:val="single" w:sz="4" w:space="0" w:color="auto"/>
              <w:left w:val="single" w:sz="4" w:space="0" w:color="auto"/>
              <w:bottom w:val="single" w:sz="4" w:space="0" w:color="auto"/>
              <w:right w:val="single" w:sz="4" w:space="0" w:color="auto"/>
            </w:tcBorders>
            <w:vAlign w:val="center"/>
            <w:hideMark/>
          </w:tcPr>
          <w:p w14:paraId="6CFF82FF" w14:textId="77777777" w:rsidR="0079025D" w:rsidRPr="00BC004C" w:rsidRDefault="0079025D" w:rsidP="00FA06E9">
            <w:pPr>
              <w:pStyle w:val="In-TextTableBodytext"/>
              <w:rPr>
                <w:sz w:val="20"/>
                <w:szCs w:val="20"/>
                <w:highlight w:val="yellow"/>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21517257" w14:textId="77777777" w:rsidR="0079025D" w:rsidRPr="00BC004C" w:rsidRDefault="0079025D" w:rsidP="00FA06E9">
            <w:pPr>
              <w:pStyle w:val="In-TextTableBodytext"/>
              <w:rPr>
                <w:sz w:val="20"/>
                <w:szCs w:val="20"/>
                <w:highlight w:val="yellow"/>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4C9C3744"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2001065E"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625E15BE"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4E7512CF" w14:textId="77777777" w:rsidR="0079025D" w:rsidRPr="00BC004C" w:rsidRDefault="0079025D" w:rsidP="00FA06E9">
            <w:pPr>
              <w:pStyle w:val="In-TextTableBodytext"/>
              <w:rPr>
                <w:sz w:val="20"/>
                <w:szCs w:val="20"/>
                <w:highlight w:val="yellow"/>
              </w:rPr>
            </w:pPr>
          </w:p>
        </w:tc>
        <w:tc>
          <w:tcPr>
            <w:tcW w:w="756" w:type="pct"/>
            <w:tcBorders>
              <w:top w:val="single" w:sz="4" w:space="0" w:color="auto"/>
              <w:left w:val="single" w:sz="4" w:space="0" w:color="auto"/>
              <w:bottom w:val="single" w:sz="4" w:space="0" w:color="auto"/>
              <w:right w:val="single" w:sz="4" w:space="0" w:color="auto"/>
            </w:tcBorders>
            <w:vAlign w:val="center"/>
          </w:tcPr>
          <w:p w14:paraId="7C5F618B" w14:textId="77777777" w:rsidR="0079025D" w:rsidRPr="00BC004C" w:rsidRDefault="0079025D" w:rsidP="00FA06E9">
            <w:pPr>
              <w:pStyle w:val="In-TextTableBodytext"/>
              <w:rPr>
                <w:sz w:val="20"/>
                <w:szCs w:val="20"/>
                <w:highlight w:val="yellow"/>
              </w:rPr>
            </w:pPr>
          </w:p>
        </w:tc>
      </w:tr>
      <w:tr w:rsidR="00BC004C" w:rsidRPr="00BC004C" w14:paraId="202491D8"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6A3F0ACF" w14:textId="77777777" w:rsidR="0079025D" w:rsidRPr="00BC004C" w:rsidRDefault="0079025D" w:rsidP="00FA06E9">
            <w:pPr>
              <w:pStyle w:val="In-TextTableBodytext"/>
              <w:jc w:val="left"/>
              <w:rPr>
                <w:sz w:val="20"/>
                <w:szCs w:val="20"/>
              </w:rPr>
            </w:pPr>
            <w:r w:rsidRPr="00BC004C">
              <w:rPr>
                <w:sz w:val="20"/>
                <w:szCs w:val="20"/>
              </w:rPr>
              <w:t>Demographics</w:t>
            </w:r>
          </w:p>
        </w:tc>
        <w:tc>
          <w:tcPr>
            <w:tcW w:w="307" w:type="pct"/>
            <w:tcBorders>
              <w:top w:val="single" w:sz="4" w:space="0" w:color="auto"/>
              <w:left w:val="single" w:sz="4" w:space="0" w:color="auto"/>
              <w:bottom w:val="single" w:sz="4" w:space="0" w:color="auto"/>
              <w:right w:val="single" w:sz="4" w:space="0" w:color="auto"/>
            </w:tcBorders>
            <w:vAlign w:val="center"/>
            <w:hideMark/>
          </w:tcPr>
          <w:p w14:paraId="0F8E8457"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6977A89D" w14:textId="77777777" w:rsidR="0079025D" w:rsidRPr="00BC004C" w:rsidRDefault="0079025D" w:rsidP="00FA06E9">
            <w:pPr>
              <w:pStyle w:val="In-TextTableBodytext"/>
              <w:rPr>
                <w:sz w:val="20"/>
                <w:szCs w:val="20"/>
                <w:highlight w:val="yellow"/>
              </w:rPr>
            </w:pPr>
          </w:p>
        </w:tc>
        <w:tc>
          <w:tcPr>
            <w:tcW w:w="368" w:type="pct"/>
            <w:tcBorders>
              <w:top w:val="single" w:sz="4" w:space="0" w:color="auto"/>
              <w:left w:val="single" w:sz="4" w:space="0" w:color="auto"/>
              <w:bottom w:val="single" w:sz="4" w:space="0" w:color="auto"/>
              <w:right w:val="single" w:sz="4" w:space="0" w:color="auto"/>
            </w:tcBorders>
            <w:vAlign w:val="center"/>
          </w:tcPr>
          <w:p w14:paraId="2E8C72EA"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5D2159B7"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637BB219"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1B6C4326" w14:textId="77777777" w:rsidR="0079025D" w:rsidRPr="00BC004C" w:rsidRDefault="0079025D" w:rsidP="00FA06E9">
            <w:pPr>
              <w:pStyle w:val="In-TextTableBodytext"/>
              <w:rPr>
                <w:sz w:val="20"/>
                <w:szCs w:val="20"/>
                <w:highlight w:val="yellow"/>
              </w:rPr>
            </w:pPr>
          </w:p>
        </w:tc>
        <w:tc>
          <w:tcPr>
            <w:tcW w:w="756" w:type="pct"/>
            <w:tcBorders>
              <w:top w:val="single" w:sz="4" w:space="0" w:color="auto"/>
              <w:left w:val="single" w:sz="4" w:space="0" w:color="auto"/>
              <w:bottom w:val="single" w:sz="4" w:space="0" w:color="auto"/>
              <w:right w:val="single" w:sz="4" w:space="0" w:color="auto"/>
            </w:tcBorders>
            <w:vAlign w:val="center"/>
          </w:tcPr>
          <w:p w14:paraId="2358C905" w14:textId="77777777" w:rsidR="0079025D" w:rsidRPr="00BC004C" w:rsidRDefault="0079025D" w:rsidP="00FA06E9">
            <w:pPr>
              <w:pStyle w:val="In-TextTableBodytext"/>
              <w:rPr>
                <w:sz w:val="20"/>
                <w:szCs w:val="20"/>
                <w:highlight w:val="yellow"/>
              </w:rPr>
            </w:pPr>
          </w:p>
        </w:tc>
      </w:tr>
      <w:tr w:rsidR="00BC004C" w:rsidRPr="00BC004C" w14:paraId="6199F769"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35FBDAD2" w14:textId="77777777" w:rsidR="0079025D" w:rsidRPr="00BC004C" w:rsidRDefault="0079025D" w:rsidP="00FA06E9">
            <w:pPr>
              <w:pStyle w:val="In-TextTableBodytext"/>
              <w:jc w:val="left"/>
              <w:rPr>
                <w:sz w:val="20"/>
                <w:szCs w:val="20"/>
              </w:rPr>
            </w:pPr>
            <w:r w:rsidRPr="00BC004C">
              <w:rPr>
                <w:sz w:val="20"/>
                <w:szCs w:val="20"/>
              </w:rPr>
              <w:t>Medical History</w:t>
            </w:r>
          </w:p>
        </w:tc>
        <w:tc>
          <w:tcPr>
            <w:tcW w:w="307" w:type="pct"/>
            <w:tcBorders>
              <w:top w:val="single" w:sz="4" w:space="0" w:color="auto"/>
              <w:left w:val="single" w:sz="4" w:space="0" w:color="auto"/>
              <w:bottom w:val="single" w:sz="4" w:space="0" w:color="auto"/>
              <w:right w:val="single" w:sz="4" w:space="0" w:color="auto"/>
            </w:tcBorders>
            <w:vAlign w:val="center"/>
            <w:hideMark/>
          </w:tcPr>
          <w:p w14:paraId="1A066B7B"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03560236" w14:textId="77777777" w:rsidR="0079025D" w:rsidRPr="00BC004C" w:rsidRDefault="0079025D" w:rsidP="00FA06E9">
            <w:pPr>
              <w:pStyle w:val="In-TextTableBodytext"/>
              <w:rPr>
                <w:sz w:val="20"/>
                <w:szCs w:val="20"/>
                <w:highlight w:val="yellow"/>
              </w:rPr>
            </w:pPr>
          </w:p>
        </w:tc>
        <w:tc>
          <w:tcPr>
            <w:tcW w:w="368" w:type="pct"/>
            <w:tcBorders>
              <w:top w:val="single" w:sz="4" w:space="0" w:color="auto"/>
              <w:left w:val="single" w:sz="4" w:space="0" w:color="auto"/>
              <w:bottom w:val="single" w:sz="4" w:space="0" w:color="auto"/>
              <w:right w:val="single" w:sz="4" w:space="0" w:color="auto"/>
            </w:tcBorders>
            <w:vAlign w:val="center"/>
          </w:tcPr>
          <w:p w14:paraId="159F91C2"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25A78589"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26BAAC3E"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626E8756" w14:textId="77777777" w:rsidR="0079025D" w:rsidRPr="00BC004C" w:rsidRDefault="0079025D" w:rsidP="00FA06E9">
            <w:pPr>
              <w:pStyle w:val="In-TextTableBodytext"/>
              <w:rPr>
                <w:sz w:val="20"/>
                <w:szCs w:val="20"/>
                <w:highlight w:val="yellow"/>
              </w:rPr>
            </w:pPr>
          </w:p>
        </w:tc>
        <w:tc>
          <w:tcPr>
            <w:tcW w:w="756" w:type="pct"/>
            <w:tcBorders>
              <w:top w:val="single" w:sz="4" w:space="0" w:color="auto"/>
              <w:left w:val="single" w:sz="4" w:space="0" w:color="auto"/>
              <w:bottom w:val="single" w:sz="4" w:space="0" w:color="auto"/>
              <w:right w:val="single" w:sz="4" w:space="0" w:color="auto"/>
            </w:tcBorders>
            <w:vAlign w:val="center"/>
          </w:tcPr>
          <w:p w14:paraId="454ACCA7" w14:textId="77777777" w:rsidR="0079025D" w:rsidRPr="00BC004C" w:rsidRDefault="0079025D" w:rsidP="00FA06E9">
            <w:pPr>
              <w:pStyle w:val="In-TextTableBodytext"/>
              <w:rPr>
                <w:sz w:val="20"/>
                <w:szCs w:val="20"/>
                <w:highlight w:val="yellow"/>
              </w:rPr>
            </w:pPr>
          </w:p>
        </w:tc>
      </w:tr>
      <w:tr w:rsidR="00BC004C" w:rsidRPr="00BC004C" w14:paraId="29607C43"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6AB561B1" w14:textId="2BF2BDC4" w:rsidR="0079025D" w:rsidRPr="00BC004C" w:rsidRDefault="0079025D" w:rsidP="00FA06E9">
            <w:pPr>
              <w:pStyle w:val="In-TextTableBodytext"/>
              <w:jc w:val="left"/>
              <w:rPr>
                <w:sz w:val="20"/>
                <w:szCs w:val="20"/>
              </w:rPr>
            </w:pPr>
            <w:r w:rsidRPr="00BC004C">
              <w:rPr>
                <w:sz w:val="20"/>
                <w:szCs w:val="20"/>
              </w:rPr>
              <w:t xml:space="preserve">Smoking Habit </w:t>
            </w:r>
            <w:r w:rsidRPr="00BC004C">
              <w:rPr>
                <w:sz w:val="20"/>
                <w:szCs w:val="20"/>
              </w:rPr>
              <w:t>Questioning</w:t>
            </w:r>
          </w:p>
        </w:tc>
        <w:tc>
          <w:tcPr>
            <w:tcW w:w="307" w:type="pct"/>
            <w:tcBorders>
              <w:top w:val="single" w:sz="4" w:space="0" w:color="auto"/>
              <w:left w:val="single" w:sz="4" w:space="0" w:color="auto"/>
              <w:bottom w:val="single" w:sz="4" w:space="0" w:color="auto"/>
              <w:right w:val="single" w:sz="4" w:space="0" w:color="auto"/>
            </w:tcBorders>
            <w:vAlign w:val="center"/>
            <w:hideMark/>
          </w:tcPr>
          <w:p w14:paraId="4B71A861"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62556C59" w14:textId="77777777" w:rsidR="0079025D" w:rsidRPr="00BC004C" w:rsidRDefault="0079025D" w:rsidP="00FA06E9">
            <w:pPr>
              <w:pStyle w:val="In-TextTableBodytext"/>
              <w:rPr>
                <w:sz w:val="20"/>
                <w:szCs w:val="20"/>
                <w:highlight w:val="yellow"/>
              </w:rPr>
            </w:pPr>
          </w:p>
        </w:tc>
        <w:tc>
          <w:tcPr>
            <w:tcW w:w="368" w:type="pct"/>
            <w:tcBorders>
              <w:top w:val="single" w:sz="4" w:space="0" w:color="auto"/>
              <w:left w:val="single" w:sz="4" w:space="0" w:color="auto"/>
              <w:bottom w:val="single" w:sz="4" w:space="0" w:color="auto"/>
              <w:right w:val="single" w:sz="4" w:space="0" w:color="auto"/>
            </w:tcBorders>
            <w:vAlign w:val="center"/>
          </w:tcPr>
          <w:p w14:paraId="022A8DBE"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358C6BB8"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670D4670"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03542A4E" w14:textId="77777777" w:rsidR="0079025D" w:rsidRPr="00BC004C" w:rsidRDefault="0079025D" w:rsidP="00FA06E9">
            <w:pPr>
              <w:pStyle w:val="In-TextTableBodytext"/>
              <w:rPr>
                <w:sz w:val="20"/>
                <w:szCs w:val="20"/>
                <w:highlight w:val="yellow"/>
              </w:rPr>
            </w:pPr>
          </w:p>
        </w:tc>
        <w:tc>
          <w:tcPr>
            <w:tcW w:w="756" w:type="pct"/>
            <w:tcBorders>
              <w:top w:val="single" w:sz="4" w:space="0" w:color="auto"/>
              <w:left w:val="single" w:sz="4" w:space="0" w:color="auto"/>
              <w:bottom w:val="single" w:sz="4" w:space="0" w:color="auto"/>
              <w:right w:val="single" w:sz="4" w:space="0" w:color="auto"/>
            </w:tcBorders>
            <w:vAlign w:val="center"/>
          </w:tcPr>
          <w:p w14:paraId="4EE7B03A" w14:textId="77777777" w:rsidR="0079025D" w:rsidRPr="00BC004C" w:rsidRDefault="0079025D" w:rsidP="00FA06E9">
            <w:pPr>
              <w:pStyle w:val="In-TextTableBodytext"/>
              <w:rPr>
                <w:sz w:val="20"/>
                <w:szCs w:val="20"/>
                <w:highlight w:val="yellow"/>
              </w:rPr>
            </w:pPr>
          </w:p>
        </w:tc>
      </w:tr>
      <w:tr w:rsidR="00BC004C" w:rsidRPr="00BC004C" w14:paraId="35FD253F"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758BE2FD" w14:textId="26B156E8" w:rsidR="0079025D" w:rsidRPr="00BC004C" w:rsidRDefault="0079025D" w:rsidP="00FA06E9">
            <w:pPr>
              <w:pStyle w:val="In-TextTableBodytext"/>
              <w:jc w:val="left"/>
              <w:rPr>
                <w:sz w:val="20"/>
                <w:szCs w:val="20"/>
              </w:rPr>
            </w:pPr>
            <w:r w:rsidRPr="00BC004C">
              <w:rPr>
                <w:sz w:val="20"/>
                <w:szCs w:val="20"/>
              </w:rPr>
              <w:t>Admission</w:t>
            </w:r>
            <w:r w:rsidR="00662BBF" w:rsidRPr="00530896">
              <w:rPr>
                <w:sz w:val="20"/>
                <w:szCs w:val="20"/>
                <w:vertAlign w:val="superscript"/>
              </w:rPr>
              <w:t>3</w:t>
            </w:r>
          </w:p>
        </w:tc>
        <w:tc>
          <w:tcPr>
            <w:tcW w:w="307" w:type="pct"/>
            <w:tcBorders>
              <w:top w:val="single" w:sz="4" w:space="0" w:color="auto"/>
              <w:left w:val="single" w:sz="4" w:space="0" w:color="auto"/>
              <w:bottom w:val="single" w:sz="4" w:space="0" w:color="auto"/>
              <w:right w:val="single" w:sz="4" w:space="0" w:color="auto"/>
            </w:tcBorders>
            <w:vAlign w:val="center"/>
          </w:tcPr>
          <w:p w14:paraId="128FFD26"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hideMark/>
          </w:tcPr>
          <w:p w14:paraId="38EF4A63"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4F05788D"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1FEEA918"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21D9B877" w14:textId="77777777" w:rsidR="0079025D" w:rsidRPr="00BC004C" w:rsidRDefault="0079025D" w:rsidP="00FA06E9">
            <w:pPr>
              <w:pStyle w:val="In-TextTableBodytext"/>
              <w:rPr>
                <w:sz w:val="20"/>
                <w:szCs w:val="20"/>
                <w:highlight w:val="yellow"/>
              </w:rPr>
            </w:pPr>
          </w:p>
        </w:tc>
        <w:tc>
          <w:tcPr>
            <w:tcW w:w="414" w:type="pct"/>
            <w:tcBorders>
              <w:top w:val="single" w:sz="4" w:space="0" w:color="auto"/>
              <w:left w:val="single" w:sz="4" w:space="0" w:color="auto"/>
              <w:bottom w:val="single" w:sz="4" w:space="0" w:color="auto"/>
              <w:right w:val="single" w:sz="4" w:space="0" w:color="auto"/>
            </w:tcBorders>
            <w:vAlign w:val="center"/>
          </w:tcPr>
          <w:p w14:paraId="3886704B" w14:textId="77777777" w:rsidR="0079025D" w:rsidRPr="00BC004C" w:rsidRDefault="0079025D" w:rsidP="00FA06E9">
            <w:pPr>
              <w:pStyle w:val="In-TextTableBodytext"/>
              <w:rPr>
                <w:sz w:val="20"/>
                <w:szCs w:val="20"/>
                <w:highlight w:val="yellow"/>
              </w:rPr>
            </w:pPr>
          </w:p>
        </w:tc>
        <w:tc>
          <w:tcPr>
            <w:tcW w:w="756" w:type="pct"/>
            <w:tcBorders>
              <w:top w:val="single" w:sz="4" w:space="0" w:color="auto"/>
              <w:left w:val="single" w:sz="4" w:space="0" w:color="auto"/>
              <w:bottom w:val="single" w:sz="4" w:space="0" w:color="auto"/>
              <w:right w:val="single" w:sz="4" w:space="0" w:color="auto"/>
            </w:tcBorders>
            <w:vAlign w:val="center"/>
          </w:tcPr>
          <w:p w14:paraId="188EB687" w14:textId="77777777" w:rsidR="0079025D" w:rsidRPr="00BC004C" w:rsidRDefault="0079025D" w:rsidP="00FA06E9">
            <w:pPr>
              <w:pStyle w:val="In-TextTableBodytext"/>
              <w:rPr>
                <w:sz w:val="20"/>
                <w:szCs w:val="20"/>
                <w:highlight w:val="yellow"/>
              </w:rPr>
            </w:pPr>
          </w:p>
        </w:tc>
      </w:tr>
      <w:tr w:rsidR="00BC004C" w:rsidRPr="00BC004C" w14:paraId="0DE8FE82"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4B8AB14F" w14:textId="270569AB" w:rsidR="0079025D" w:rsidRPr="00BC004C" w:rsidRDefault="0079025D" w:rsidP="00FA06E9">
            <w:pPr>
              <w:pStyle w:val="In-TextTableBodytext"/>
              <w:jc w:val="left"/>
              <w:rPr>
                <w:sz w:val="20"/>
                <w:szCs w:val="20"/>
              </w:rPr>
            </w:pPr>
            <w:r w:rsidRPr="00BC004C">
              <w:rPr>
                <w:sz w:val="20"/>
                <w:szCs w:val="20"/>
              </w:rPr>
              <w:t>Vital Signs</w:t>
            </w:r>
            <w:r w:rsidR="00662BBF" w:rsidRPr="00530896">
              <w:rPr>
                <w:sz w:val="20"/>
                <w:szCs w:val="20"/>
                <w:vertAlign w:val="superscript"/>
              </w:rPr>
              <w:t>4</w:t>
            </w:r>
          </w:p>
        </w:tc>
        <w:tc>
          <w:tcPr>
            <w:tcW w:w="307" w:type="pct"/>
            <w:tcBorders>
              <w:top w:val="single" w:sz="4" w:space="0" w:color="auto"/>
              <w:left w:val="single" w:sz="4" w:space="0" w:color="auto"/>
              <w:bottom w:val="single" w:sz="4" w:space="0" w:color="auto"/>
              <w:right w:val="single" w:sz="4" w:space="0" w:color="auto"/>
            </w:tcBorders>
            <w:vAlign w:val="center"/>
            <w:hideMark/>
          </w:tcPr>
          <w:p w14:paraId="22C11238"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63E4C51C"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5A6AAA0C"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hideMark/>
          </w:tcPr>
          <w:p w14:paraId="490A7742"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318E0435"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304427F1" w14:textId="77777777" w:rsidR="0079025D" w:rsidRPr="00BC004C" w:rsidRDefault="0079025D" w:rsidP="00FA06E9">
            <w:pPr>
              <w:pStyle w:val="In-TextTableBodytext"/>
              <w:rPr>
                <w:sz w:val="20"/>
                <w:szCs w:val="20"/>
              </w:rPr>
            </w:pPr>
            <w:r w:rsidRPr="00BC004C">
              <w:rPr>
                <w:sz w:val="20"/>
                <w:szCs w:val="20"/>
              </w:rPr>
              <w:t>X</w:t>
            </w:r>
          </w:p>
        </w:tc>
        <w:tc>
          <w:tcPr>
            <w:tcW w:w="756" w:type="pct"/>
            <w:tcBorders>
              <w:top w:val="single" w:sz="4" w:space="0" w:color="auto"/>
              <w:left w:val="single" w:sz="4" w:space="0" w:color="auto"/>
              <w:bottom w:val="single" w:sz="4" w:space="0" w:color="auto"/>
              <w:right w:val="single" w:sz="4" w:space="0" w:color="auto"/>
            </w:tcBorders>
            <w:vAlign w:val="center"/>
          </w:tcPr>
          <w:p w14:paraId="41BD155A" w14:textId="77777777" w:rsidR="0079025D" w:rsidRPr="00BC004C" w:rsidRDefault="0079025D" w:rsidP="00FA06E9">
            <w:pPr>
              <w:pStyle w:val="In-TextTableBodytext"/>
              <w:rPr>
                <w:sz w:val="20"/>
                <w:szCs w:val="20"/>
              </w:rPr>
            </w:pPr>
          </w:p>
        </w:tc>
      </w:tr>
      <w:tr w:rsidR="00BC004C" w:rsidRPr="00BC004C" w14:paraId="1D54D2C9"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3E78686A" w14:textId="21175355" w:rsidR="0079025D" w:rsidRPr="00BC004C" w:rsidRDefault="0079025D" w:rsidP="00FA06E9">
            <w:pPr>
              <w:pStyle w:val="In-TextTableBodytext"/>
              <w:jc w:val="left"/>
              <w:rPr>
                <w:sz w:val="20"/>
                <w:szCs w:val="20"/>
              </w:rPr>
            </w:pPr>
            <w:r w:rsidRPr="00BC004C">
              <w:rPr>
                <w:sz w:val="20"/>
                <w:szCs w:val="20"/>
              </w:rPr>
              <w:t>Physical Examination</w:t>
            </w:r>
            <w:r w:rsidR="00662BBF" w:rsidRPr="00530896">
              <w:rPr>
                <w:sz w:val="20"/>
                <w:szCs w:val="20"/>
                <w:vertAlign w:val="superscript"/>
              </w:rPr>
              <w:t>5</w:t>
            </w:r>
          </w:p>
        </w:tc>
        <w:tc>
          <w:tcPr>
            <w:tcW w:w="307" w:type="pct"/>
            <w:tcBorders>
              <w:top w:val="single" w:sz="4" w:space="0" w:color="auto"/>
              <w:left w:val="single" w:sz="4" w:space="0" w:color="auto"/>
              <w:bottom w:val="single" w:sz="4" w:space="0" w:color="auto"/>
              <w:right w:val="single" w:sz="4" w:space="0" w:color="auto"/>
            </w:tcBorders>
            <w:vAlign w:val="center"/>
            <w:hideMark/>
          </w:tcPr>
          <w:p w14:paraId="2C4A8446"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41C13C22"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2D2CC1DD"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29160923"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4D6952FD"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5CA1947E" w14:textId="77777777" w:rsidR="0079025D" w:rsidRPr="00BC004C" w:rsidRDefault="0079025D" w:rsidP="00FA06E9">
            <w:pPr>
              <w:pStyle w:val="In-TextTableBodytext"/>
              <w:rPr>
                <w:sz w:val="20"/>
                <w:szCs w:val="20"/>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3DCA84C8" w14:textId="77777777" w:rsidR="0079025D" w:rsidRPr="00BC004C" w:rsidRDefault="0079025D" w:rsidP="00FA06E9">
            <w:pPr>
              <w:pStyle w:val="In-TextTableBodytext"/>
              <w:rPr>
                <w:sz w:val="20"/>
                <w:szCs w:val="20"/>
              </w:rPr>
            </w:pPr>
            <w:r w:rsidRPr="00BC004C">
              <w:rPr>
                <w:sz w:val="20"/>
                <w:szCs w:val="20"/>
              </w:rPr>
              <w:t>X</w:t>
            </w:r>
          </w:p>
        </w:tc>
      </w:tr>
      <w:tr w:rsidR="00BC004C" w:rsidRPr="00BC004C" w14:paraId="7CE2A6A7"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5A273299" w14:textId="5FE0627E" w:rsidR="0079025D" w:rsidRPr="00BC004C" w:rsidRDefault="0079025D" w:rsidP="00FA06E9">
            <w:pPr>
              <w:pStyle w:val="In-TextTableBodytext"/>
              <w:jc w:val="left"/>
              <w:rPr>
                <w:sz w:val="20"/>
                <w:szCs w:val="20"/>
              </w:rPr>
            </w:pPr>
            <w:r w:rsidRPr="00BC004C">
              <w:rPr>
                <w:sz w:val="20"/>
                <w:szCs w:val="20"/>
              </w:rPr>
              <w:t>Examination of Oral Mucosa</w:t>
            </w:r>
            <w:r w:rsidR="00662BBF" w:rsidRPr="00530896">
              <w:rPr>
                <w:sz w:val="20"/>
                <w:szCs w:val="20"/>
                <w:vertAlign w:val="superscript"/>
              </w:rPr>
              <w:t>6</w:t>
            </w:r>
          </w:p>
        </w:tc>
        <w:tc>
          <w:tcPr>
            <w:tcW w:w="307" w:type="pct"/>
            <w:tcBorders>
              <w:top w:val="single" w:sz="4" w:space="0" w:color="auto"/>
              <w:left w:val="single" w:sz="4" w:space="0" w:color="auto"/>
              <w:bottom w:val="single" w:sz="4" w:space="0" w:color="auto"/>
              <w:right w:val="single" w:sz="4" w:space="0" w:color="auto"/>
            </w:tcBorders>
            <w:vAlign w:val="center"/>
            <w:hideMark/>
          </w:tcPr>
          <w:p w14:paraId="2CCCFFA9"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4F78B555"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64D16DE5"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hideMark/>
          </w:tcPr>
          <w:p w14:paraId="5171D93C"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17A7B3FB"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17B06E37" w14:textId="77777777" w:rsidR="0079025D" w:rsidRPr="00BC004C" w:rsidRDefault="0079025D" w:rsidP="00FA06E9">
            <w:pPr>
              <w:pStyle w:val="In-TextTableBodytext"/>
              <w:rPr>
                <w:sz w:val="20"/>
                <w:szCs w:val="20"/>
              </w:rPr>
            </w:pPr>
            <w:r w:rsidRPr="00BC004C">
              <w:rPr>
                <w:sz w:val="20"/>
                <w:szCs w:val="20"/>
              </w:rPr>
              <w:t>X</w:t>
            </w:r>
          </w:p>
        </w:tc>
        <w:tc>
          <w:tcPr>
            <w:tcW w:w="756" w:type="pct"/>
            <w:tcBorders>
              <w:top w:val="single" w:sz="4" w:space="0" w:color="auto"/>
              <w:left w:val="single" w:sz="4" w:space="0" w:color="auto"/>
              <w:bottom w:val="single" w:sz="4" w:space="0" w:color="auto"/>
              <w:right w:val="single" w:sz="4" w:space="0" w:color="auto"/>
            </w:tcBorders>
            <w:vAlign w:val="center"/>
          </w:tcPr>
          <w:p w14:paraId="6680F923" w14:textId="77777777" w:rsidR="0079025D" w:rsidRPr="00BC004C" w:rsidRDefault="0079025D" w:rsidP="00FA06E9">
            <w:pPr>
              <w:pStyle w:val="In-TextTableBodytext"/>
              <w:rPr>
                <w:sz w:val="20"/>
                <w:szCs w:val="20"/>
                <w:highlight w:val="yellow"/>
              </w:rPr>
            </w:pPr>
          </w:p>
        </w:tc>
      </w:tr>
      <w:tr w:rsidR="00BC004C" w:rsidRPr="00BC004C" w14:paraId="42140333"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1E2046F0" w14:textId="3C8AA06D" w:rsidR="0079025D" w:rsidRPr="00BC004C" w:rsidRDefault="0079025D" w:rsidP="00FA06E9">
            <w:pPr>
              <w:pStyle w:val="In-TextTableBodytext"/>
              <w:jc w:val="left"/>
              <w:rPr>
                <w:sz w:val="20"/>
                <w:szCs w:val="20"/>
              </w:rPr>
            </w:pPr>
            <w:r w:rsidRPr="00BC004C">
              <w:rPr>
                <w:sz w:val="20"/>
                <w:szCs w:val="20"/>
              </w:rPr>
              <w:t>Product Appreciation Questionnaire</w:t>
            </w:r>
            <w:r w:rsidR="00662BBF" w:rsidRPr="00530896">
              <w:rPr>
                <w:sz w:val="20"/>
                <w:szCs w:val="20"/>
                <w:vertAlign w:val="superscript"/>
              </w:rPr>
              <w:t>7</w:t>
            </w:r>
          </w:p>
        </w:tc>
        <w:tc>
          <w:tcPr>
            <w:tcW w:w="307" w:type="pct"/>
            <w:tcBorders>
              <w:top w:val="single" w:sz="4" w:space="0" w:color="auto"/>
              <w:left w:val="single" w:sz="4" w:space="0" w:color="auto"/>
              <w:bottom w:val="single" w:sz="4" w:space="0" w:color="auto"/>
              <w:right w:val="single" w:sz="4" w:space="0" w:color="auto"/>
            </w:tcBorders>
            <w:vAlign w:val="center"/>
          </w:tcPr>
          <w:p w14:paraId="574E18D0"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6A1AC32B"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1FBE4022"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hideMark/>
          </w:tcPr>
          <w:p w14:paraId="60AF2753"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3A84863A"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091E2834" w14:textId="77777777" w:rsidR="0079025D" w:rsidRPr="00BC004C" w:rsidRDefault="0079025D" w:rsidP="00FA06E9">
            <w:pPr>
              <w:pStyle w:val="In-TextTableBodytext"/>
              <w:rPr>
                <w:sz w:val="20"/>
                <w:szCs w:val="20"/>
              </w:rPr>
            </w:pPr>
            <w:r w:rsidRPr="00BC004C">
              <w:rPr>
                <w:sz w:val="20"/>
                <w:szCs w:val="20"/>
              </w:rPr>
              <w:t>X</w:t>
            </w:r>
          </w:p>
        </w:tc>
        <w:tc>
          <w:tcPr>
            <w:tcW w:w="756" w:type="pct"/>
            <w:tcBorders>
              <w:top w:val="single" w:sz="4" w:space="0" w:color="auto"/>
              <w:left w:val="single" w:sz="4" w:space="0" w:color="auto"/>
              <w:bottom w:val="single" w:sz="4" w:space="0" w:color="auto"/>
              <w:right w:val="single" w:sz="4" w:space="0" w:color="auto"/>
            </w:tcBorders>
            <w:vAlign w:val="center"/>
          </w:tcPr>
          <w:p w14:paraId="64F91127" w14:textId="77777777" w:rsidR="0079025D" w:rsidRPr="00BC004C" w:rsidRDefault="0079025D" w:rsidP="00FA06E9">
            <w:pPr>
              <w:pStyle w:val="In-TextTableBodytext"/>
              <w:rPr>
                <w:sz w:val="20"/>
                <w:szCs w:val="20"/>
                <w:highlight w:val="yellow"/>
              </w:rPr>
            </w:pPr>
          </w:p>
        </w:tc>
      </w:tr>
      <w:tr w:rsidR="00BC004C" w:rsidRPr="00BC004C" w14:paraId="2E871226"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14CB82F0" w14:textId="31EE515F" w:rsidR="0079025D" w:rsidRPr="00BC004C" w:rsidRDefault="0079025D" w:rsidP="00FA06E9">
            <w:pPr>
              <w:pStyle w:val="In-TextTableBodytext"/>
              <w:jc w:val="left"/>
              <w:rPr>
                <w:sz w:val="20"/>
                <w:szCs w:val="20"/>
              </w:rPr>
            </w:pPr>
            <w:r w:rsidRPr="00BC004C">
              <w:rPr>
                <w:sz w:val="20"/>
                <w:szCs w:val="20"/>
              </w:rPr>
              <w:t>Clinical Laboratory Tests</w:t>
            </w:r>
            <w:r w:rsidR="00662BBF" w:rsidRPr="00530896">
              <w:rPr>
                <w:sz w:val="20"/>
                <w:szCs w:val="20"/>
                <w:vertAlign w:val="superscript"/>
              </w:rPr>
              <w:t>8</w:t>
            </w:r>
          </w:p>
        </w:tc>
        <w:tc>
          <w:tcPr>
            <w:tcW w:w="307" w:type="pct"/>
            <w:tcBorders>
              <w:top w:val="single" w:sz="4" w:space="0" w:color="auto"/>
              <w:left w:val="single" w:sz="4" w:space="0" w:color="auto"/>
              <w:bottom w:val="single" w:sz="4" w:space="0" w:color="auto"/>
              <w:right w:val="single" w:sz="4" w:space="0" w:color="auto"/>
            </w:tcBorders>
            <w:vAlign w:val="center"/>
            <w:hideMark/>
          </w:tcPr>
          <w:p w14:paraId="5E6AE8A2"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466B7893"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23FD848F"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4FD31DAB"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7125FA0A"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58F6586D" w14:textId="77777777" w:rsidR="0079025D" w:rsidRPr="00BC004C" w:rsidRDefault="0079025D" w:rsidP="00FA06E9">
            <w:pPr>
              <w:pStyle w:val="In-TextTableBodytext"/>
              <w:rPr>
                <w:sz w:val="20"/>
                <w:szCs w:val="20"/>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7DAB451B" w14:textId="77777777" w:rsidR="0079025D" w:rsidRPr="00BC004C" w:rsidRDefault="0079025D" w:rsidP="00FA06E9">
            <w:pPr>
              <w:pStyle w:val="In-TextTableBodytext"/>
              <w:rPr>
                <w:sz w:val="20"/>
                <w:szCs w:val="20"/>
              </w:rPr>
            </w:pPr>
            <w:r w:rsidRPr="00BC004C">
              <w:rPr>
                <w:sz w:val="20"/>
                <w:szCs w:val="20"/>
              </w:rPr>
              <w:t>X</w:t>
            </w:r>
          </w:p>
        </w:tc>
      </w:tr>
      <w:tr w:rsidR="00BC004C" w:rsidRPr="00BC004C" w14:paraId="2CED41CE"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0ED000AB" w14:textId="77777777" w:rsidR="0079025D" w:rsidRPr="00BC004C" w:rsidRDefault="0079025D" w:rsidP="00FA06E9">
            <w:pPr>
              <w:pStyle w:val="In-TextTableBodytext"/>
              <w:jc w:val="left"/>
              <w:rPr>
                <w:sz w:val="20"/>
                <w:szCs w:val="20"/>
              </w:rPr>
            </w:pPr>
            <w:r w:rsidRPr="00BC004C">
              <w:rPr>
                <w:sz w:val="20"/>
                <w:szCs w:val="20"/>
              </w:rPr>
              <w:t>Serology</w:t>
            </w:r>
          </w:p>
        </w:tc>
        <w:tc>
          <w:tcPr>
            <w:tcW w:w="307" w:type="pct"/>
            <w:tcBorders>
              <w:top w:val="single" w:sz="4" w:space="0" w:color="auto"/>
              <w:left w:val="single" w:sz="4" w:space="0" w:color="auto"/>
              <w:bottom w:val="single" w:sz="4" w:space="0" w:color="auto"/>
              <w:right w:val="single" w:sz="4" w:space="0" w:color="auto"/>
            </w:tcBorders>
            <w:vAlign w:val="center"/>
            <w:hideMark/>
          </w:tcPr>
          <w:p w14:paraId="5CB650D3"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59478B0A"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28ADD70D"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301FCE16"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4F31FCF4"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4BC20A1C" w14:textId="77777777" w:rsidR="0079025D" w:rsidRPr="00BC004C" w:rsidRDefault="0079025D" w:rsidP="00FA06E9">
            <w:pPr>
              <w:pStyle w:val="In-TextTableBodytext"/>
              <w:rPr>
                <w:sz w:val="20"/>
                <w:szCs w:val="20"/>
              </w:rPr>
            </w:pPr>
          </w:p>
        </w:tc>
        <w:tc>
          <w:tcPr>
            <w:tcW w:w="756" w:type="pct"/>
            <w:tcBorders>
              <w:top w:val="single" w:sz="4" w:space="0" w:color="auto"/>
              <w:left w:val="single" w:sz="4" w:space="0" w:color="auto"/>
              <w:bottom w:val="single" w:sz="4" w:space="0" w:color="auto"/>
              <w:right w:val="single" w:sz="4" w:space="0" w:color="auto"/>
            </w:tcBorders>
            <w:vAlign w:val="center"/>
          </w:tcPr>
          <w:p w14:paraId="6E0ABC78" w14:textId="77777777" w:rsidR="0079025D" w:rsidRPr="00BC004C" w:rsidRDefault="0079025D" w:rsidP="00FA06E9">
            <w:pPr>
              <w:pStyle w:val="In-TextTableBodytext"/>
              <w:rPr>
                <w:sz w:val="20"/>
                <w:szCs w:val="20"/>
              </w:rPr>
            </w:pPr>
          </w:p>
        </w:tc>
      </w:tr>
      <w:tr w:rsidR="00BC004C" w:rsidRPr="00BC004C" w14:paraId="3F0C830D"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25023934" w14:textId="77777777" w:rsidR="0079025D" w:rsidRPr="00BC004C" w:rsidRDefault="0079025D" w:rsidP="00FA06E9">
            <w:pPr>
              <w:pStyle w:val="In-TextTableBodytext"/>
              <w:jc w:val="left"/>
              <w:rPr>
                <w:sz w:val="20"/>
                <w:szCs w:val="20"/>
              </w:rPr>
            </w:pPr>
            <w:r w:rsidRPr="00BC004C">
              <w:rPr>
                <w:sz w:val="20"/>
                <w:szCs w:val="20"/>
              </w:rPr>
              <w:t>12-lead ECG</w:t>
            </w:r>
          </w:p>
        </w:tc>
        <w:tc>
          <w:tcPr>
            <w:tcW w:w="307" w:type="pct"/>
            <w:tcBorders>
              <w:top w:val="single" w:sz="4" w:space="0" w:color="auto"/>
              <w:left w:val="single" w:sz="4" w:space="0" w:color="auto"/>
              <w:bottom w:val="single" w:sz="4" w:space="0" w:color="auto"/>
              <w:right w:val="single" w:sz="4" w:space="0" w:color="auto"/>
            </w:tcBorders>
            <w:vAlign w:val="center"/>
            <w:hideMark/>
          </w:tcPr>
          <w:p w14:paraId="615950A9"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3A785C41"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367802EE"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35152BB8"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083B01B9"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5ABDBB72" w14:textId="77777777" w:rsidR="0079025D" w:rsidRPr="00BC004C" w:rsidRDefault="0079025D" w:rsidP="00FA06E9">
            <w:pPr>
              <w:pStyle w:val="In-TextTableBodytext"/>
              <w:rPr>
                <w:sz w:val="20"/>
                <w:szCs w:val="20"/>
              </w:rPr>
            </w:pPr>
          </w:p>
        </w:tc>
        <w:tc>
          <w:tcPr>
            <w:tcW w:w="756" w:type="pct"/>
            <w:tcBorders>
              <w:top w:val="single" w:sz="4" w:space="0" w:color="auto"/>
              <w:left w:val="single" w:sz="4" w:space="0" w:color="auto"/>
              <w:bottom w:val="single" w:sz="4" w:space="0" w:color="auto"/>
              <w:right w:val="single" w:sz="4" w:space="0" w:color="auto"/>
            </w:tcBorders>
            <w:vAlign w:val="center"/>
          </w:tcPr>
          <w:p w14:paraId="3BCCE8D2" w14:textId="77777777" w:rsidR="0079025D" w:rsidRPr="00BC004C" w:rsidRDefault="0079025D" w:rsidP="00FA06E9">
            <w:pPr>
              <w:pStyle w:val="In-TextTableBodytext"/>
              <w:rPr>
                <w:sz w:val="20"/>
                <w:szCs w:val="20"/>
              </w:rPr>
            </w:pPr>
          </w:p>
        </w:tc>
      </w:tr>
      <w:tr w:rsidR="00BC004C" w:rsidRPr="00BC004C" w14:paraId="5F822C70"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5E0C5D7E" w14:textId="77777777" w:rsidR="0079025D" w:rsidRPr="00BC004C" w:rsidRDefault="0079025D" w:rsidP="00FA06E9">
            <w:pPr>
              <w:pStyle w:val="In-TextTableBodytext"/>
              <w:jc w:val="left"/>
              <w:rPr>
                <w:sz w:val="20"/>
                <w:szCs w:val="20"/>
              </w:rPr>
            </w:pPr>
            <w:r w:rsidRPr="00BC004C">
              <w:rPr>
                <w:bCs/>
                <w:sz w:val="20"/>
                <w:szCs w:val="20"/>
              </w:rPr>
              <w:t>Alcohol, Cotinine and Drugs of Abuse Screen</w:t>
            </w:r>
          </w:p>
        </w:tc>
        <w:tc>
          <w:tcPr>
            <w:tcW w:w="307" w:type="pct"/>
            <w:tcBorders>
              <w:top w:val="single" w:sz="4" w:space="0" w:color="auto"/>
              <w:left w:val="single" w:sz="4" w:space="0" w:color="auto"/>
              <w:bottom w:val="single" w:sz="4" w:space="0" w:color="auto"/>
              <w:right w:val="single" w:sz="4" w:space="0" w:color="auto"/>
            </w:tcBorders>
            <w:vAlign w:val="center"/>
            <w:hideMark/>
          </w:tcPr>
          <w:p w14:paraId="1B6B8776"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073887CC"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1EBE4CFE"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059C6260"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5B76B5E5"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742CF4CB" w14:textId="77777777" w:rsidR="0079025D" w:rsidRPr="00BC004C" w:rsidRDefault="0079025D" w:rsidP="00FA06E9">
            <w:pPr>
              <w:pStyle w:val="In-TextTableBodytext"/>
              <w:rPr>
                <w:sz w:val="20"/>
                <w:szCs w:val="20"/>
              </w:rPr>
            </w:pPr>
          </w:p>
        </w:tc>
        <w:tc>
          <w:tcPr>
            <w:tcW w:w="756" w:type="pct"/>
            <w:tcBorders>
              <w:top w:val="single" w:sz="4" w:space="0" w:color="auto"/>
              <w:left w:val="single" w:sz="4" w:space="0" w:color="auto"/>
              <w:bottom w:val="single" w:sz="4" w:space="0" w:color="auto"/>
              <w:right w:val="single" w:sz="4" w:space="0" w:color="auto"/>
            </w:tcBorders>
            <w:vAlign w:val="center"/>
          </w:tcPr>
          <w:p w14:paraId="7BB81172" w14:textId="77777777" w:rsidR="0079025D" w:rsidRPr="00BC004C" w:rsidRDefault="0079025D" w:rsidP="00FA06E9">
            <w:pPr>
              <w:pStyle w:val="In-TextTableBodytext"/>
              <w:rPr>
                <w:sz w:val="20"/>
                <w:szCs w:val="20"/>
              </w:rPr>
            </w:pPr>
          </w:p>
        </w:tc>
      </w:tr>
      <w:tr w:rsidR="00BC004C" w:rsidRPr="00BC004C" w14:paraId="4BC924E6"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1FEF9F6E" w14:textId="77777777" w:rsidR="0079025D" w:rsidRPr="00BC004C" w:rsidRDefault="0079025D" w:rsidP="00FA06E9">
            <w:pPr>
              <w:pStyle w:val="In-TextTableBodytext"/>
              <w:jc w:val="left"/>
              <w:rPr>
                <w:sz w:val="20"/>
                <w:szCs w:val="20"/>
              </w:rPr>
            </w:pPr>
            <w:r w:rsidRPr="00BC004C">
              <w:rPr>
                <w:sz w:val="20"/>
                <w:szCs w:val="20"/>
              </w:rPr>
              <w:t>Serum Pregnancy Test (females only)</w:t>
            </w:r>
          </w:p>
        </w:tc>
        <w:tc>
          <w:tcPr>
            <w:tcW w:w="307" w:type="pct"/>
            <w:tcBorders>
              <w:top w:val="single" w:sz="4" w:space="0" w:color="auto"/>
              <w:left w:val="single" w:sz="4" w:space="0" w:color="auto"/>
              <w:bottom w:val="single" w:sz="4" w:space="0" w:color="auto"/>
              <w:right w:val="single" w:sz="4" w:space="0" w:color="auto"/>
            </w:tcBorders>
            <w:vAlign w:val="center"/>
            <w:hideMark/>
          </w:tcPr>
          <w:p w14:paraId="46C3F12A"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6607A68E"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tcPr>
          <w:p w14:paraId="4E8D8EAB"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27A72458"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5229FEDD"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30233549" w14:textId="77777777" w:rsidR="0079025D" w:rsidRPr="00BC004C" w:rsidRDefault="0079025D" w:rsidP="00FA06E9">
            <w:pPr>
              <w:pStyle w:val="In-TextTableBodytext"/>
              <w:rPr>
                <w:sz w:val="20"/>
                <w:szCs w:val="20"/>
              </w:rPr>
            </w:pPr>
          </w:p>
        </w:tc>
        <w:tc>
          <w:tcPr>
            <w:tcW w:w="756" w:type="pct"/>
            <w:tcBorders>
              <w:top w:val="single" w:sz="4" w:space="0" w:color="auto"/>
              <w:left w:val="single" w:sz="4" w:space="0" w:color="auto"/>
              <w:bottom w:val="single" w:sz="4" w:space="0" w:color="auto"/>
              <w:right w:val="single" w:sz="4" w:space="0" w:color="auto"/>
            </w:tcBorders>
            <w:vAlign w:val="center"/>
            <w:hideMark/>
          </w:tcPr>
          <w:p w14:paraId="51BFF28E" w14:textId="77777777" w:rsidR="0079025D" w:rsidRPr="00BC004C" w:rsidRDefault="0079025D" w:rsidP="00FA06E9">
            <w:pPr>
              <w:pStyle w:val="In-TextTableBodytext"/>
              <w:rPr>
                <w:sz w:val="20"/>
                <w:szCs w:val="20"/>
              </w:rPr>
            </w:pPr>
            <w:r w:rsidRPr="00BC004C">
              <w:rPr>
                <w:sz w:val="20"/>
                <w:szCs w:val="20"/>
              </w:rPr>
              <w:t>X</w:t>
            </w:r>
          </w:p>
        </w:tc>
      </w:tr>
      <w:tr w:rsidR="00BC004C" w:rsidRPr="00BC004C" w14:paraId="7D80F2B0"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7E997A4C" w14:textId="77777777" w:rsidR="0079025D" w:rsidRPr="00BC004C" w:rsidRDefault="0079025D" w:rsidP="00FA06E9">
            <w:pPr>
              <w:pStyle w:val="In-TextTableBodytext"/>
              <w:jc w:val="left"/>
              <w:rPr>
                <w:sz w:val="20"/>
                <w:szCs w:val="20"/>
              </w:rPr>
            </w:pPr>
            <w:r w:rsidRPr="00BC004C">
              <w:rPr>
                <w:sz w:val="20"/>
                <w:szCs w:val="20"/>
              </w:rPr>
              <w:t>Randomization</w:t>
            </w:r>
          </w:p>
        </w:tc>
        <w:tc>
          <w:tcPr>
            <w:tcW w:w="307" w:type="pct"/>
            <w:tcBorders>
              <w:top w:val="single" w:sz="4" w:space="0" w:color="auto"/>
              <w:left w:val="single" w:sz="4" w:space="0" w:color="auto"/>
              <w:bottom w:val="single" w:sz="4" w:space="0" w:color="auto"/>
              <w:right w:val="single" w:sz="4" w:space="0" w:color="auto"/>
            </w:tcBorders>
            <w:vAlign w:val="center"/>
          </w:tcPr>
          <w:p w14:paraId="60F5A148"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4A3921BF"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0CD06705"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hideMark/>
          </w:tcPr>
          <w:p w14:paraId="320CDAFF"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tcPr>
          <w:p w14:paraId="323A3A9C"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7EE74191" w14:textId="77777777" w:rsidR="0079025D" w:rsidRPr="00BC004C" w:rsidRDefault="0079025D" w:rsidP="00FA06E9">
            <w:pPr>
              <w:pStyle w:val="In-TextTableBodytext"/>
              <w:rPr>
                <w:sz w:val="20"/>
                <w:szCs w:val="20"/>
              </w:rPr>
            </w:pPr>
          </w:p>
        </w:tc>
        <w:tc>
          <w:tcPr>
            <w:tcW w:w="756" w:type="pct"/>
            <w:tcBorders>
              <w:top w:val="single" w:sz="4" w:space="0" w:color="auto"/>
              <w:left w:val="single" w:sz="4" w:space="0" w:color="auto"/>
              <w:bottom w:val="single" w:sz="4" w:space="0" w:color="auto"/>
              <w:right w:val="single" w:sz="4" w:space="0" w:color="auto"/>
            </w:tcBorders>
            <w:vAlign w:val="center"/>
          </w:tcPr>
          <w:p w14:paraId="08CB6226" w14:textId="77777777" w:rsidR="0079025D" w:rsidRPr="00BC004C" w:rsidRDefault="0079025D" w:rsidP="00FA06E9">
            <w:pPr>
              <w:pStyle w:val="In-TextTableBodytext"/>
              <w:rPr>
                <w:sz w:val="20"/>
                <w:szCs w:val="20"/>
              </w:rPr>
            </w:pPr>
          </w:p>
        </w:tc>
      </w:tr>
      <w:tr w:rsidR="00BC004C" w:rsidRPr="00BC004C" w14:paraId="11A6E4E3"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56EB548E" w14:textId="0B2BE762" w:rsidR="0079025D" w:rsidRPr="00BC004C" w:rsidRDefault="0079025D" w:rsidP="00FA06E9">
            <w:pPr>
              <w:pStyle w:val="In-TextTableBodytext"/>
              <w:jc w:val="left"/>
              <w:rPr>
                <w:sz w:val="20"/>
                <w:szCs w:val="20"/>
              </w:rPr>
            </w:pPr>
            <w:r w:rsidRPr="00BC004C">
              <w:rPr>
                <w:sz w:val="20"/>
                <w:szCs w:val="20"/>
              </w:rPr>
              <w:t>Training Session</w:t>
            </w:r>
            <w:r w:rsidR="00662BBF" w:rsidRPr="00530896">
              <w:rPr>
                <w:sz w:val="20"/>
                <w:szCs w:val="20"/>
                <w:vertAlign w:val="superscript"/>
              </w:rPr>
              <w:t>9</w:t>
            </w:r>
          </w:p>
        </w:tc>
        <w:tc>
          <w:tcPr>
            <w:tcW w:w="307" w:type="pct"/>
            <w:tcBorders>
              <w:top w:val="single" w:sz="4" w:space="0" w:color="auto"/>
              <w:left w:val="single" w:sz="4" w:space="0" w:color="auto"/>
              <w:bottom w:val="single" w:sz="4" w:space="0" w:color="auto"/>
              <w:right w:val="single" w:sz="4" w:space="0" w:color="auto"/>
            </w:tcBorders>
            <w:vAlign w:val="center"/>
          </w:tcPr>
          <w:p w14:paraId="1D17A6ED"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hideMark/>
          </w:tcPr>
          <w:p w14:paraId="2F6B95AF"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4D5A2E45"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tcPr>
          <w:p w14:paraId="17ADE2CA"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04E20B12"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6ECF610B" w14:textId="77777777" w:rsidR="0079025D" w:rsidRPr="00BC004C" w:rsidRDefault="0079025D" w:rsidP="00FA06E9">
            <w:pPr>
              <w:pStyle w:val="In-TextTableBodytext"/>
              <w:rPr>
                <w:sz w:val="20"/>
                <w:szCs w:val="20"/>
              </w:rPr>
            </w:pPr>
          </w:p>
        </w:tc>
        <w:tc>
          <w:tcPr>
            <w:tcW w:w="756" w:type="pct"/>
            <w:tcBorders>
              <w:top w:val="single" w:sz="4" w:space="0" w:color="auto"/>
              <w:left w:val="single" w:sz="4" w:space="0" w:color="auto"/>
              <w:bottom w:val="single" w:sz="4" w:space="0" w:color="auto"/>
              <w:right w:val="single" w:sz="4" w:space="0" w:color="auto"/>
            </w:tcBorders>
            <w:vAlign w:val="center"/>
          </w:tcPr>
          <w:p w14:paraId="24CAC2FB" w14:textId="77777777" w:rsidR="0079025D" w:rsidRPr="00BC004C" w:rsidRDefault="0079025D" w:rsidP="00FA06E9">
            <w:pPr>
              <w:pStyle w:val="In-TextTableBodytext"/>
              <w:rPr>
                <w:sz w:val="20"/>
                <w:szCs w:val="20"/>
              </w:rPr>
            </w:pPr>
          </w:p>
        </w:tc>
      </w:tr>
      <w:tr w:rsidR="00BC004C" w:rsidRPr="00BC004C" w14:paraId="370906F5"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4AA799CD" w14:textId="0B8F7F22" w:rsidR="0079025D" w:rsidRPr="00BC004C" w:rsidRDefault="0079025D" w:rsidP="00FA06E9">
            <w:pPr>
              <w:pStyle w:val="In-TextTableBodytext"/>
              <w:jc w:val="left"/>
              <w:rPr>
                <w:sz w:val="20"/>
                <w:szCs w:val="20"/>
              </w:rPr>
            </w:pPr>
            <w:r w:rsidRPr="00BC004C">
              <w:rPr>
                <w:sz w:val="20"/>
                <w:szCs w:val="20"/>
              </w:rPr>
              <w:t>Study Product Administration</w:t>
            </w:r>
            <w:r w:rsidR="00662BBF" w:rsidRPr="00530896">
              <w:rPr>
                <w:sz w:val="20"/>
                <w:szCs w:val="20"/>
                <w:vertAlign w:val="superscript"/>
              </w:rPr>
              <w:t>10</w:t>
            </w:r>
          </w:p>
        </w:tc>
        <w:tc>
          <w:tcPr>
            <w:tcW w:w="307" w:type="pct"/>
            <w:tcBorders>
              <w:top w:val="single" w:sz="4" w:space="0" w:color="auto"/>
              <w:left w:val="single" w:sz="4" w:space="0" w:color="auto"/>
              <w:bottom w:val="single" w:sz="4" w:space="0" w:color="auto"/>
              <w:right w:val="single" w:sz="4" w:space="0" w:color="auto"/>
            </w:tcBorders>
            <w:vAlign w:val="center"/>
          </w:tcPr>
          <w:p w14:paraId="1AC4364D"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7463DFDE"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369034D2"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hideMark/>
          </w:tcPr>
          <w:p w14:paraId="554728CA"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25F4B8AF"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385DC93F" w14:textId="77777777" w:rsidR="0079025D" w:rsidRPr="00BC004C" w:rsidRDefault="0079025D" w:rsidP="00FA06E9">
            <w:pPr>
              <w:pStyle w:val="In-TextTableBodytext"/>
              <w:rPr>
                <w:sz w:val="20"/>
                <w:szCs w:val="20"/>
              </w:rPr>
            </w:pPr>
            <w:r w:rsidRPr="00BC004C">
              <w:rPr>
                <w:sz w:val="20"/>
                <w:szCs w:val="20"/>
              </w:rPr>
              <w:t>X</w:t>
            </w:r>
          </w:p>
        </w:tc>
        <w:tc>
          <w:tcPr>
            <w:tcW w:w="756" w:type="pct"/>
            <w:tcBorders>
              <w:top w:val="single" w:sz="4" w:space="0" w:color="auto"/>
              <w:left w:val="single" w:sz="4" w:space="0" w:color="auto"/>
              <w:bottom w:val="single" w:sz="4" w:space="0" w:color="auto"/>
              <w:right w:val="single" w:sz="4" w:space="0" w:color="auto"/>
            </w:tcBorders>
            <w:vAlign w:val="center"/>
          </w:tcPr>
          <w:p w14:paraId="00FE4E28" w14:textId="77777777" w:rsidR="0079025D" w:rsidRPr="00BC004C" w:rsidRDefault="0079025D" w:rsidP="00FA06E9">
            <w:pPr>
              <w:pStyle w:val="In-TextTableBodytext"/>
              <w:rPr>
                <w:sz w:val="20"/>
                <w:szCs w:val="20"/>
              </w:rPr>
            </w:pPr>
          </w:p>
        </w:tc>
      </w:tr>
      <w:tr w:rsidR="00BC004C" w:rsidRPr="00BC004C" w14:paraId="2CC5972D"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705CC835" w14:textId="153F3B33" w:rsidR="0079025D" w:rsidRPr="00BC004C" w:rsidRDefault="0079025D" w:rsidP="00FA06E9">
            <w:pPr>
              <w:pStyle w:val="In-TextTableBodytext"/>
              <w:jc w:val="left"/>
              <w:rPr>
                <w:sz w:val="20"/>
                <w:szCs w:val="20"/>
              </w:rPr>
            </w:pPr>
            <w:r w:rsidRPr="00BC004C">
              <w:rPr>
                <w:sz w:val="20"/>
                <w:szCs w:val="20"/>
              </w:rPr>
              <w:t>Blood sampling for PK</w:t>
            </w:r>
            <w:r w:rsidR="00662BBF" w:rsidRPr="00530896">
              <w:rPr>
                <w:sz w:val="20"/>
                <w:szCs w:val="20"/>
                <w:vertAlign w:val="superscript"/>
              </w:rPr>
              <w:t>11</w:t>
            </w:r>
          </w:p>
        </w:tc>
        <w:tc>
          <w:tcPr>
            <w:tcW w:w="307" w:type="pct"/>
            <w:tcBorders>
              <w:top w:val="single" w:sz="4" w:space="0" w:color="auto"/>
              <w:left w:val="single" w:sz="4" w:space="0" w:color="auto"/>
              <w:bottom w:val="single" w:sz="4" w:space="0" w:color="auto"/>
              <w:right w:val="single" w:sz="4" w:space="0" w:color="auto"/>
            </w:tcBorders>
            <w:vAlign w:val="center"/>
          </w:tcPr>
          <w:p w14:paraId="32799171"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7CCD5D03"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6D76286F"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hideMark/>
          </w:tcPr>
          <w:p w14:paraId="68FA1D56"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5E44658D"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00F8AEFD" w14:textId="77777777" w:rsidR="0079025D" w:rsidRPr="00BC004C" w:rsidRDefault="0079025D" w:rsidP="00FA06E9">
            <w:pPr>
              <w:pStyle w:val="In-TextTableBodytext"/>
              <w:rPr>
                <w:sz w:val="20"/>
                <w:szCs w:val="20"/>
              </w:rPr>
            </w:pPr>
            <w:r w:rsidRPr="00BC004C">
              <w:rPr>
                <w:sz w:val="20"/>
                <w:szCs w:val="20"/>
              </w:rPr>
              <w:t>X</w:t>
            </w:r>
          </w:p>
        </w:tc>
        <w:tc>
          <w:tcPr>
            <w:tcW w:w="756" w:type="pct"/>
            <w:tcBorders>
              <w:top w:val="single" w:sz="4" w:space="0" w:color="auto"/>
              <w:left w:val="single" w:sz="4" w:space="0" w:color="auto"/>
              <w:bottom w:val="single" w:sz="4" w:space="0" w:color="auto"/>
              <w:right w:val="single" w:sz="4" w:space="0" w:color="auto"/>
            </w:tcBorders>
            <w:vAlign w:val="center"/>
          </w:tcPr>
          <w:p w14:paraId="5F5DCE70" w14:textId="77777777" w:rsidR="0079025D" w:rsidRPr="00BC004C" w:rsidRDefault="0079025D" w:rsidP="00FA06E9">
            <w:pPr>
              <w:pStyle w:val="In-TextTableBodytext"/>
              <w:rPr>
                <w:sz w:val="20"/>
                <w:szCs w:val="20"/>
              </w:rPr>
            </w:pPr>
          </w:p>
        </w:tc>
      </w:tr>
      <w:tr w:rsidR="00BC004C" w:rsidRPr="00BC004C" w14:paraId="45D65C1B"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33455B49" w14:textId="2E8410CC" w:rsidR="0079025D" w:rsidRPr="00BC004C" w:rsidRDefault="0079025D" w:rsidP="00FA06E9">
            <w:pPr>
              <w:pStyle w:val="In-TextTableBodytext"/>
              <w:jc w:val="left"/>
              <w:rPr>
                <w:sz w:val="20"/>
                <w:szCs w:val="20"/>
              </w:rPr>
            </w:pPr>
            <w:r w:rsidRPr="00BC004C">
              <w:rPr>
                <w:sz w:val="20"/>
                <w:szCs w:val="20"/>
              </w:rPr>
              <w:t>Discharge</w:t>
            </w:r>
            <w:r w:rsidR="00662BBF" w:rsidRPr="00530896">
              <w:rPr>
                <w:sz w:val="20"/>
                <w:szCs w:val="20"/>
                <w:vertAlign w:val="superscript"/>
              </w:rPr>
              <w:t>12</w:t>
            </w:r>
          </w:p>
        </w:tc>
        <w:tc>
          <w:tcPr>
            <w:tcW w:w="307" w:type="pct"/>
            <w:tcBorders>
              <w:top w:val="single" w:sz="4" w:space="0" w:color="auto"/>
              <w:left w:val="single" w:sz="4" w:space="0" w:color="auto"/>
              <w:bottom w:val="single" w:sz="4" w:space="0" w:color="auto"/>
              <w:right w:val="single" w:sz="4" w:space="0" w:color="auto"/>
            </w:tcBorders>
            <w:vAlign w:val="center"/>
          </w:tcPr>
          <w:p w14:paraId="06CBD35E"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54787A70" w14:textId="77777777" w:rsidR="0079025D" w:rsidRPr="00BC004C" w:rsidRDefault="0079025D" w:rsidP="00FA06E9">
            <w:pPr>
              <w:pStyle w:val="In-TextTableBodytext"/>
              <w:rPr>
                <w:sz w:val="20"/>
                <w:szCs w:val="20"/>
              </w:rPr>
            </w:pPr>
          </w:p>
        </w:tc>
        <w:tc>
          <w:tcPr>
            <w:tcW w:w="368" w:type="pct"/>
            <w:tcBorders>
              <w:top w:val="single" w:sz="4" w:space="0" w:color="auto"/>
              <w:left w:val="single" w:sz="4" w:space="0" w:color="auto"/>
              <w:bottom w:val="single" w:sz="4" w:space="0" w:color="auto"/>
              <w:right w:val="single" w:sz="4" w:space="0" w:color="auto"/>
            </w:tcBorders>
            <w:vAlign w:val="center"/>
          </w:tcPr>
          <w:p w14:paraId="2CFE0ADB"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28F34A2D"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tcPr>
          <w:p w14:paraId="1871794A" w14:textId="77777777" w:rsidR="0079025D" w:rsidRPr="00BC004C" w:rsidRDefault="0079025D" w:rsidP="00FA06E9">
            <w:pPr>
              <w:pStyle w:val="In-TextTableBodytext"/>
              <w:rPr>
                <w:sz w:val="20"/>
                <w:szCs w:val="20"/>
              </w:rPr>
            </w:pPr>
          </w:p>
        </w:tc>
        <w:tc>
          <w:tcPr>
            <w:tcW w:w="414" w:type="pct"/>
            <w:tcBorders>
              <w:top w:val="single" w:sz="4" w:space="0" w:color="auto"/>
              <w:left w:val="single" w:sz="4" w:space="0" w:color="auto"/>
              <w:bottom w:val="single" w:sz="4" w:space="0" w:color="auto"/>
              <w:right w:val="single" w:sz="4" w:space="0" w:color="auto"/>
            </w:tcBorders>
            <w:vAlign w:val="center"/>
            <w:hideMark/>
          </w:tcPr>
          <w:p w14:paraId="5446D6A9" w14:textId="77777777" w:rsidR="0079025D" w:rsidRPr="00BC004C" w:rsidRDefault="0079025D" w:rsidP="00FA06E9">
            <w:pPr>
              <w:pStyle w:val="In-TextTableBodytext"/>
              <w:rPr>
                <w:sz w:val="20"/>
                <w:szCs w:val="20"/>
              </w:rPr>
            </w:pPr>
            <w:r w:rsidRPr="00BC004C">
              <w:rPr>
                <w:sz w:val="20"/>
                <w:szCs w:val="20"/>
              </w:rPr>
              <w:t>X</w:t>
            </w:r>
          </w:p>
        </w:tc>
        <w:tc>
          <w:tcPr>
            <w:tcW w:w="756" w:type="pct"/>
            <w:tcBorders>
              <w:top w:val="single" w:sz="4" w:space="0" w:color="auto"/>
              <w:left w:val="single" w:sz="4" w:space="0" w:color="auto"/>
              <w:bottom w:val="single" w:sz="4" w:space="0" w:color="auto"/>
              <w:right w:val="single" w:sz="4" w:space="0" w:color="auto"/>
            </w:tcBorders>
            <w:vAlign w:val="center"/>
          </w:tcPr>
          <w:p w14:paraId="3CA5F5E0" w14:textId="77777777" w:rsidR="0079025D" w:rsidRPr="00BC004C" w:rsidRDefault="0079025D" w:rsidP="00FA06E9">
            <w:pPr>
              <w:pStyle w:val="In-TextTableBodytext"/>
              <w:rPr>
                <w:sz w:val="20"/>
                <w:szCs w:val="20"/>
              </w:rPr>
            </w:pPr>
          </w:p>
        </w:tc>
      </w:tr>
      <w:tr w:rsidR="00BC004C" w:rsidRPr="00BC004C" w14:paraId="09161952"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4B984775" w14:textId="1F166779" w:rsidR="0079025D" w:rsidRPr="00BC004C" w:rsidRDefault="0079025D" w:rsidP="00FA06E9">
            <w:pPr>
              <w:pStyle w:val="In-TextTableBodytext"/>
              <w:jc w:val="left"/>
              <w:rPr>
                <w:sz w:val="20"/>
                <w:szCs w:val="20"/>
              </w:rPr>
            </w:pPr>
            <w:r w:rsidRPr="00BC004C">
              <w:rPr>
                <w:sz w:val="20"/>
                <w:szCs w:val="20"/>
              </w:rPr>
              <w:t>AE Monitoring</w:t>
            </w:r>
            <w:r w:rsidR="00662BBF" w:rsidRPr="00530896">
              <w:rPr>
                <w:sz w:val="20"/>
                <w:szCs w:val="20"/>
                <w:vertAlign w:val="superscript"/>
              </w:rPr>
              <w:t>13</w:t>
            </w:r>
          </w:p>
        </w:tc>
        <w:tc>
          <w:tcPr>
            <w:tcW w:w="307" w:type="pct"/>
            <w:tcBorders>
              <w:top w:val="single" w:sz="4" w:space="0" w:color="auto"/>
              <w:left w:val="single" w:sz="4" w:space="0" w:color="auto"/>
              <w:bottom w:val="single" w:sz="4" w:space="0" w:color="auto"/>
              <w:right w:val="single" w:sz="4" w:space="0" w:color="auto"/>
            </w:tcBorders>
            <w:vAlign w:val="center"/>
            <w:hideMark/>
          </w:tcPr>
          <w:p w14:paraId="2BFA3091"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3825F515"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2337E845"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32D6570A"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63D5E868"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2041CC74" w14:textId="77777777" w:rsidR="0079025D" w:rsidRPr="00BC004C" w:rsidRDefault="0079025D" w:rsidP="00FA06E9">
            <w:pPr>
              <w:pStyle w:val="In-TextTableBodytext"/>
              <w:rPr>
                <w:sz w:val="20"/>
                <w:szCs w:val="20"/>
              </w:rPr>
            </w:pPr>
            <w:r w:rsidRPr="00BC004C">
              <w:rPr>
                <w:sz w:val="20"/>
                <w:szCs w:val="20"/>
              </w:rPr>
              <w:t>X</w:t>
            </w:r>
          </w:p>
        </w:tc>
        <w:tc>
          <w:tcPr>
            <w:tcW w:w="756" w:type="pct"/>
            <w:tcBorders>
              <w:top w:val="single" w:sz="4" w:space="0" w:color="auto"/>
              <w:left w:val="single" w:sz="4" w:space="0" w:color="auto"/>
              <w:bottom w:val="single" w:sz="4" w:space="0" w:color="auto"/>
              <w:right w:val="single" w:sz="4" w:space="0" w:color="auto"/>
            </w:tcBorders>
            <w:vAlign w:val="center"/>
            <w:hideMark/>
          </w:tcPr>
          <w:p w14:paraId="174D3C7C" w14:textId="77777777" w:rsidR="0079025D" w:rsidRPr="00BC004C" w:rsidRDefault="0079025D" w:rsidP="00FA06E9">
            <w:pPr>
              <w:pStyle w:val="In-TextTableBodytext"/>
              <w:rPr>
                <w:sz w:val="20"/>
                <w:szCs w:val="20"/>
              </w:rPr>
            </w:pPr>
            <w:r w:rsidRPr="00BC004C">
              <w:rPr>
                <w:sz w:val="20"/>
                <w:szCs w:val="20"/>
              </w:rPr>
              <w:t>X</w:t>
            </w:r>
          </w:p>
        </w:tc>
      </w:tr>
      <w:tr w:rsidR="00BC004C" w:rsidRPr="00BC004C" w14:paraId="53E3A8F0" w14:textId="77777777" w:rsidTr="00BC004C">
        <w:trPr>
          <w:trHeight w:hRule="exact" w:val="288"/>
        </w:trPr>
        <w:tc>
          <w:tcPr>
            <w:tcW w:w="1960" w:type="pct"/>
            <w:tcBorders>
              <w:top w:val="single" w:sz="4" w:space="0" w:color="auto"/>
              <w:left w:val="single" w:sz="4" w:space="0" w:color="auto"/>
              <w:bottom w:val="single" w:sz="4" w:space="0" w:color="auto"/>
              <w:right w:val="single" w:sz="4" w:space="0" w:color="auto"/>
            </w:tcBorders>
            <w:vAlign w:val="center"/>
            <w:hideMark/>
          </w:tcPr>
          <w:p w14:paraId="2FD62213" w14:textId="77777777" w:rsidR="0079025D" w:rsidRPr="00BC004C" w:rsidRDefault="0079025D" w:rsidP="00FA06E9">
            <w:pPr>
              <w:pStyle w:val="In-TextTableBodytext"/>
              <w:jc w:val="left"/>
              <w:rPr>
                <w:sz w:val="20"/>
                <w:szCs w:val="20"/>
              </w:rPr>
            </w:pPr>
            <w:r w:rsidRPr="00BC004C">
              <w:rPr>
                <w:sz w:val="20"/>
                <w:szCs w:val="20"/>
              </w:rPr>
              <w:t>Concomitant Medication Recording</w:t>
            </w:r>
          </w:p>
        </w:tc>
        <w:tc>
          <w:tcPr>
            <w:tcW w:w="307" w:type="pct"/>
            <w:tcBorders>
              <w:top w:val="single" w:sz="4" w:space="0" w:color="auto"/>
              <w:left w:val="single" w:sz="4" w:space="0" w:color="auto"/>
              <w:bottom w:val="single" w:sz="4" w:space="0" w:color="auto"/>
              <w:right w:val="single" w:sz="4" w:space="0" w:color="auto"/>
            </w:tcBorders>
            <w:vAlign w:val="center"/>
            <w:hideMark/>
          </w:tcPr>
          <w:p w14:paraId="44E61116"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492A5F32" w14:textId="77777777" w:rsidR="0079025D" w:rsidRPr="00BC004C" w:rsidRDefault="0079025D" w:rsidP="00FA06E9">
            <w:pPr>
              <w:pStyle w:val="In-TextTableBodytext"/>
              <w:rPr>
                <w:sz w:val="20"/>
                <w:szCs w:val="20"/>
              </w:rPr>
            </w:pPr>
            <w:r w:rsidRPr="00BC004C">
              <w:rPr>
                <w:sz w:val="20"/>
                <w:szCs w:val="20"/>
              </w:rPr>
              <w:t>X</w:t>
            </w:r>
          </w:p>
        </w:tc>
        <w:tc>
          <w:tcPr>
            <w:tcW w:w="368" w:type="pct"/>
            <w:tcBorders>
              <w:top w:val="single" w:sz="4" w:space="0" w:color="auto"/>
              <w:left w:val="single" w:sz="4" w:space="0" w:color="auto"/>
              <w:bottom w:val="single" w:sz="4" w:space="0" w:color="auto"/>
              <w:right w:val="single" w:sz="4" w:space="0" w:color="auto"/>
            </w:tcBorders>
            <w:vAlign w:val="center"/>
            <w:hideMark/>
          </w:tcPr>
          <w:p w14:paraId="7992D1B5"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10841713"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3675F35E" w14:textId="77777777" w:rsidR="0079025D" w:rsidRPr="00BC004C" w:rsidRDefault="0079025D" w:rsidP="00FA06E9">
            <w:pPr>
              <w:pStyle w:val="In-TextTableBodytext"/>
              <w:rPr>
                <w:sz w:val="20"/>
                <w:szCs w:val="20"/>
              </w:rPr>
            </w:pPr>
            <w:r w:rsidRPr="00BC004C">
              <w:rPr>
                <w:sz w:val="20"/>
                <w:szCs w:val="20"/>
              </w:rPr>
              <w:t>X</w:t>
            </w:r>
          </w:p>
        </w:tc>
        <w:tc>
          <w:tcPr>
            <w:tcW w:w="414" w:type="pct"/>
            <w:tcBorders>
              <w:top w:val="single" w:sz="4" w:space="0" w:color="auto"/>
              <w:left w:val="single" w:sz="4" w:space="0" w:color="auto"/>
              <w:bottom w:val="single" w:sz="4" w:space="0" w:color="auto"/>
              <w:right w:val="single" w:sz="4" w:space="0" w:color="auto"/>
            </w:tcBorders>
            <w:vAlign w:val="center"/>
            <w:hideMark/>
          </w:tcPr>
          <w:p w14:paraId="66063137" w14:textId="77777777" w:rsidR="0079025D" w:rsidRPr="00BC004C" w:rsidRDefault="0079025D" w:rsidP="00FA06E9">
            <w:pPr>
              <w:pStyle w:val="In-TextTableBodytext"/>
              <w:rPr>
                <w:sz w:val="20"/>
                <w:szCs w:val="20"/>
              </w:rPr>
            </w:pPr>
            <w:r w:rsidRPr="00BC004C">
              <w:rPr>
                <w:sz w:val="20"/>
                <w:szCs w:val="20"/>
              </w:rPr>
              <w:t>X</w:t>
            </w:r>
          </w:p>
        </w:tc>
        <w:tc>
          <w:tcPr>
            <w:tcW w:w="756" w:type="pct"/>
            <w:tcBorders>
              <w:top w:val="single" w:sz="4" w:space="0" w:color="auto"/>
              <w:left w:val="single" w:sz="4" w:space="0" w:color="auto"/>
              <w:bottom w:val="single" w:sz="4" w:space="0" w:color="auto"/>
              <w:right w:val="single" w:sz="4" w:space="0" w:color="auto"/>
            </w:tcBorders>
            <w:vAlign w:val="center"/>
            <w:hideMark/>
          </w:tcPr>
          <w:p w14:paraId="169B038B" w14:textId="77777777" w:rsidR="0079025D" w:rsidRPr="00BC004C" w:rsidRDefault="0079025D" w:rsidP="00FA06E9">
            <w:pPr>
              <w:pStyle w:val="In-TextTableBodytext"/>
              <w:rPr>
                <w:sz w:val="20"/>
                <w:szCs w:val="20"/>
              </w:rPr>
            </w:pPr>
            <w:r w:rsidRPr="00BC004C">
              <w:rPr>
                <w:sz w:val="20"/>
                <w:szCs w:val="20"/>
              </w:rPr>
              <w:t>X</w:t>
            </w:r>
          </w:p>
        </w:tc>
      </w:tr>
    </w:tbl>
    <w:p w14:paraId="7A043571" w14:textId="6144BFE3" w:rsidR="00662BBF" w:rsidRPr="00530896" w:rsidRDefault="00662BBF" w:rsidP="00530896">
      <w:pPr>
        <w:pStyle w:val="FootnoteText"/>
        <w:ind w:left="0" w:firstLine="0"/>
        <w:rPr>
          <w:sz w:val="18"/>
          <w:szCs w:val="18"/>
        </w:rPr>
      </w:pPr>
      <w:r w:rsidRPr="00530896">
        <w:rPr>
          <w:sz w:val="18"/>
          <w:szCs w:val="18"/>
          <w:vertAlign w:val="superscript"/>
        </w:rPr>
        <w:t>1</w:t>
      </w:r>
      <w:r w:rsidRPr="00530896">
        <w:rPr>
          <w:sz w:val="18"/>
          <w:szCs w:val="18"/>
        </w:rPr>
        <w:t xml:space="preserve"> </w:t>
      </w:r>
      <w:r w:rsidRPr="00530896">
        <w:rPr>
          <w:rFonts w:eastAsia="Calibri"/>
          <w:snapToGrid w:val="0"/>
          <w:sz w:val="18"/>
          <w:szCs w:val="18"/>
          <w:lang w:val="en-CA"/>
        </w:rPr>
        <w:t>End of study procedures will be performed following completion of period 3, or as soon as possible after the last study treatment administration for subjects who are withdrawn.</w:t>
      </w:r>
    </w:p>
    <w:p w14:paraId="0E8322FE" w14:textId="6D5990B0" w:rsidR="00662BBF" w:rsidRPr="00530896" w:rsidRDefault="00662BBF" w:rsidP="00662BBF">
      <w:pPr>
        <w:pStyle w:val="In-TextTableFootnote"/>
        <w:rPr>
          <w:sz w:val="18"/>
          <w:szCs w:val="18"/>
        </w:rPr>
      </w:pPr>
      <w:r w:rsidRPr="00530896">
        <w:rPr>
          <w:sz w:val="18"/>
          <w:szCs w:val="18"/>
          <w:vertAlign w:val="superscript"/>
        </w:rPr>
        <w:t>2</w:t>
      </w:r>
      <w:r w:rsidRPr="00530896">
        <w:rPr>
          <w:sz w:val="18"/>
          <w:szCs w:val="18"/>
        </w:rPr>
        <w:t xml:space="preserve"> </w:t>
      </w:r>
      <w:r w:rsidRPr="00530896">
        <w:rPr>
          <w:sz w:val="18"/>
          <w:szCs w:val="18"/>
        </w:rPr>
        <w:t>The latest version of the consent form must be signed prior to subject's inclusion (prior to the first product administration).</w:t>
      </w:r>
    </w:p>
    <w:p w14:paraId="57E23653" w14:textId="21195717" w:rsidR="00662BBF" w:rsidRPr="00530896" w:rsidRDefault="00662BBF" w:rsidP="00662BBF">
      <w:pPr>
        <w:pStyle w:val="In-TextTableFootnote"/>
        <w:tabs>
          <w:tab w:val="right" w:pos="12960"/>
        </w:tabs>
        <w:rPr>
          <w:sz w:val="18"/>
          <w:szCs w:val="18"/>
          <w:lang w:val="en-US"/>
        </w:rPr>
      </w:pPr>
      <w:r w:rsidRPr="00530896">
        <w:rPr>
          <w:sz w:val="18"/>
          <w:szCs w:val="18"/>
          <w:vertAlign w:val="superscript"/>
        </w:rPr>
        <w:t>3</w:t>
      </w:r>
      <w:r w:rsidRPr="00530896">
        <w:rPr>
          <w:rStyle w:val="FootnoteReference"/>
          <w:szCs w:val="18"/>
        </w:rPr>
        <w:t xml:space="preserve"> </w:t>
      </w:r>
      <w:r w:rsidRPr="00530896">
        <w:rPr>
          <w:sz w:val="18"/>
          <w:szCs w:val="18"/>
        </w:rPr>
        <w:t>Admission to the clinical site will occur 36 hours prior to the first product administration.</w:t>
      </w:r>
      <w:r w:rsidRPr="00530896">
        <w:rPr>
          <w:sz w:val="18"/>
          <w:szCs w:val="18"/>
        </w:rPr>
        <w:tab/>
      </w:r>
    </w:p>
    <w:p w14:paraId="200B2B2C" w14:textId="77777777" w:rsidR="00530896" w:rsidRDefault="00662BBF" w:rsidP="00662BBF">
      <w:pPr>
        <w:pStyle w:val="In-TextTableFootnote"/>
        <w:rPr>
          <w:sz w:val="18"/>
          <w:szCs w:val="18"/>
        </w:rPr>
      </w:pPr>
      <w:r w:rsidRPr="00530896">
        <w:rPr>
          <w:sz w:val="18"/>
          <w:szCs w:val="18"/>
          <w:vertAlign w:val="superscript"/>
        </w:rPr>
        <w:t>4</w:t>
      </w:r>
      <w:r w:rsidRPr="00530896">
        <w:rPr>
          <w:sz w:val="18"/>
          <w:szCs w:val="18"/>
        </w:rPr>
        <w:t xml:space="preserve"> </w:t>
      </w:r>
      <w:r w:rsidRPr="00530896">
        <w:rPr>
          <w:sz w:val="18"/>
          <w:szCs w:val="18"/>
        </w:rPr>
        <w:t xml:space="preserve">Vital signs at screening, at admission to the clinical site and prior to each product administration will include blood pressure, pulse rate and body temperature. Vital signs following each product administration will include blood pressure and pulse rate. On-study vital signs scheduled time points for each treatment period </w:t>
      </w:r>
      <w:proofErr w:type="gramStart"/>
      <w:r w:rsidRPr="00530896">
        <w:rPr>
          <w:sz w:val="18"/>
          <w:szCs w:val="18"/>
        </w:rPr>
        <w:t>are:</w:t>
      </w:r>
      <w:proofErr w:type="gramEnd"/>
      <w:r w:rsidRPr="00530896">
        <w:rPr>
          <w:sz w:val="18"/>
          <w:szCs w:val="18"/>
        </w:rPr>
        <w:t xml:space="preserve"> prior to product administration and at approximately 1 and 12 hours following each product administration.</w:t>
      </w:r>
    </w:p>
    <w:p w14:paraId="02CC54C4" w14:textId="0FC1FCC8" w:rsidR="00662BBF" w:rsidRPr="00530896" w:rsidRDefault="00662BBF" w:rsidP="00662BBF">
      <w:pPr>
        <w:pStyle w:val="In-TextTableFootnote"/>
        <w:rPr>
          <w:sz w:val="18"/>
          <w:szCs w:val="18"/>
        </w:rPr>
      </w:pPr>
      <w:r w:rsidRPr="00530896">
        <w:rPr>
          <w:sz w:val="18"/>
          <w:szCs w:val="18"/>
          <w:vertAlign w:val="superscript"/>
        </w:rPr>
        <w:t>5</w:t>
      </w:r>
      <w:r w:rsidRPr="00530896">
        <w:rPr>
          <w:sz w:val="18"/>
          <w:szCs w:val="18"/>
        </w:rPr>
        <w:t xml:space="preserve"> </w:t>
      </w:r>
      <w:r w:rsidRPr="00530896">
        <w:rPr>
          <w:sz w:val="18"/>
          <w:szCs w:val="18"/>
        </w:rPr>
        <w:t>Complete physical examination at screening. Symptom-oriented physical examination will be performed as needed, at admission to the clinical site and end of study.</w:t>
      </w:r>
    </w:p>
    <w:p w14:paraId="73DC92DB" w14:textId="27FBFE44" w:rsidR="00662BBF" w:rsidRPr="00530896" w:rsidRDefault="00662BBF" w:rsidP="00530896">
      <w:pPr>
        <w:pStyle w:val="In-TextTableFootnote"/>
        <w:rPr>
          <w:sz w:val="18"/>
          <w:szCs w:val="18"/>
          <w:lang w:val="en-US"/>
        </w:rPr>
      </w:pPr>
      <w:r w:rsidRPr="00530896">
        <w:rPr>
          <w:sz w:val="18"/>
          <w:szCs w:val="18"/>
          <w:vertAlign w:val="superscript"/>
        </w:rPr>
        <w:t>6</w:t>
      </w:r>
      <w:r w:rsidRPr="00530896">
        <w:rPr>
          <w:sz w:val="18"/>
          <w:szCs w:val="18"/>
        </w:rPr>
        <w:t xml:space="preserve"> </w:t>
      </w:r>
      <w:r w:rsidRPr="00530896">
        <w:rPr>
          <w:sz w:val="18"/>
          <w:szCs w:val="18"/>
        </w:rPr>
        <w:t xml:space="preserve">Oral mucosa examination will be performed at screening and at admission to the clinical site. On-study oral mucosa examination scheduled time points for each treatment period </w:t>
      </w:r>
      <w:proofErr w:type="gramStart"/>
      <w:r w:rsidRPr="00530896">
        <w:rPr>
          <w:sz w:val="18"/>
          <w:szCs w:val="18"/>
        </w:rPr>
        <w:t>are:</w:t>
      </w:r>
      <w:proofErr w:type="gramEnd"/>
      <w:r w:rsidRPr="00530896">
        <w:rPr>
          <w:sz w:val="18"/>
          <w:szCs w:val="18"/>
        </w:rPr>
        <w:t xml:space="preserve"> prior to product administration, at the time of end of use </w:t>
      </w:r>
      <w:r w:rsidRPr="00530896">
        <w:rPr>
          <w:sz w:val="18"/>
          <w:szCs w:val="18"/>
        </w:rPr>
        <w:lastRenderedPageBreak/>
        <w:t>(Test and Reference-1) or at the time of complete disintegration (Reference-2), and at 1 and 2 hours following each product administration.</w:t>
      </w:r>
    </w:p>
    <w:p w14:paraId="6FFAC97A" w14:textId="20F2D372" w:rsidR="00662BBF" w:rsidRPr="00530896" w:rsidRDefault="00662BBF" w:rsidP="00662BBF">
      <w:pPr>
        <w:pStyle w:val="In-TextTableFootnote"/>
        <w:rPr>
          <w:sz w:val="18"/>
          <w:szCs w:val="18"/>
          <w:lang w:val="en-US"/>
        </w:rPr>
      </w:pPr>
      <w:r w:rsidRPr="00530896">
        <w:rPr>
          <w:sz w:val="18"/>
          <w:szCs w:val="18"/>
          <w:vertAlign w:val="superscript"/>
        </w:rPr>
        <w:t>7</w:t>
      </w:r>
      <w:r w:rsidRPr="00530896">
        <w:rPr>
          <w:sz w:val="18"/>
          <w:szCs w:val="18"/>
        </w:rPr>
        <w:t xml:space="preserve"> </w:t>
      </w:r>
      <w:r w:rsidRPr="00530896">
        <w:rPr>
          <w:sz w:val="18"/>
          <w:szCs w:val="18"/>
        </w:rPr>
        <w:t>Subjects will answer a short questionnaire on their appreciation of each product shortly following the end of use of each study product.</w:t>
      </w:r>
    </w:p>
    <w:p w14:paraId="03105013" w14:textId="413EE138" w:rsidR="00662BBF" w:rsidRPr="00530896" w:rsidRDefault="00662BBF" w:rsidP="00662BBF">
      <w:pPr>
        <w:pStyle w:val="In-TextTableFootnote"/>
        <w:ind w:left="180" w:hanging="180"/>
        <w:rPr>
          <w:sz w:val="18"/>
          <w:szCs w:val="18"/>
        </w:rPr>
      </w:pPr>
      <w:r w:rsidRPr="00530896">
        <w:rPr>
          <w:sz w:val="18"/>
          <w:szCs w:val="18"/>
          <w:vertAlign w:val="superscript"/>
        </w:rPr>
        <w:t>8</w:t>
      </w:r>
      <w:r w:rsidRPr="00530896">
        <w:rPr>
          <w:sz w:val="18"/>
          <w:szCs w:val="18"/>
        </w:rPr>
        <w:t xml:space="preserve"> </w:t>
      </w:r>
      <w:r w:rsidRPr="00530896">
        <w:rPr>
          <w:sz w:val="18"/>
          <w:szCs w:val="18"/>
        </w:rPr>
        <w:t xml:space="preserve">Clinical laboratory parameters are detailed in </w:t>
      </w:r>
      <w:r w:rsidRPr="00530896">
        <w:rPr>
          <w:b/>
          <w:bCs/>
          <w:sz w:val="18"/>
          <w:szCs w:val="18"/>
        </w:rPr>
        <w:t>Table 4</w:t>
      </w:r>
      <w:r w:rsidRPr="00530896">
        <w:rPr>
          <w:sz w:val="18"/>
          <w:szCs w:val="18"/>
        </w:rPr>
        <w:t>.</w:t>
      </w:r>
    </w:p>
    <w:p w14:paraId="7F2B48D7" w14:textId="77777777" w:rsidR="00530896" w:rsidRDefault="00662BBF" w:rsidP="00530896">
      <w:pPr>
        <w:pStyle w:val="FootnoteText"/>
        <w:spacing w:before="0"/>
        <w:ind w:left="0" w:firstLine="0"/>
        <w:rPr>
          <w:sz w:val="18"/>
          <w:szCs w:val="18"/>
        </w:rPr>
      </w:pPr>
      <w:r w:rsidRPr="00530896">
        <w:rPr>
          <w:rFonts w:eastAsia="Calibri"/>
          <w:snapToGrid w:val="0"/>
          <w:sz w:val="18"/>
          <w:szCs w:val="18"/>
          <w:vertAlign w:val="superscript"/>
          <w:lang w:val="en-CA"/>
        </w:rPr>
        <w:t>9</w:t>
      </w:r>
      <w:r w:rsidRPr="00530896">
        <w:rPr>
          <w:rFonts w:eastAsia="Calibri"/>
          <w:snapToGrid w:val="0"/>
          <w:sz w:val="18"/>
          <w:szCs w:val="18"/>
          <w:lang w:val="en-CA"/>
        </w:rPr>
        <w:t xml:space="preserve"> </w:t>
      </w:r>
      <w:r w:rsidRPr="00530896">
        <w:rPr>
          <w:rFonts w:eastAsia="Calibri"/>
          <w:snapToGrid w:val="0"/>
          <w:sz w:val="18"/>
          <w:szCs w:val="18"/>
          <w:lang w:val="en-CA"/>
        </w:rPr>
        <w:t>A training session using the Test, Reference-1 and Reference-2 will be conducted within 36 to 24 hours prior to the first product administration. There will be a minimum of 60 minutes between the use of each product.</w:t>
      </w:r>
    </w:p>
    <w:p w14:paraId="18D0DA4E" w14:textId="20F8ADAB" w:rsidR="00662BBF" w:rsidRPr="00530896" w:rsidRDefault="00662BBF" w:rsidP="00530896">
      <w:pPr>
        <w:pStyle w:val="FootnoteText"/>
        <w:spacing w:before="0"/>
        <w:ind w:left="0" w:firstLine="0"/>
        <w:rPr>
          <w:sz w:val="18"/>
          <w:szCs w:val="18"/>
        </w:rPr>
      </w:pPr>
      <w:r w:rsidRPr="00530896">
        <w:rPr>
          <w:sz w:val="18"/>
          <w:szCs w:val="18"/>
          <w:vertAlign w:val="superscript"/>
        </w:rPr>
        <w:t>10</w:t>
      </w:r>
      <w:r w:rsidRPr="00530896">
        <w:rPr>
          <w:sz w:val="18"/>
          <w:szCs w:val="18"/>
        </w:rPr>
        <w:t xml:space="preserve"> </w:t>
      </w:r>
      <w:r w:rsidRPr="00530896">
        <w:rPr>
          <w:rFonts w:eastAsia="Calibri"/>
          <w:snapToGrid w:val="0"/>
          <w:sz w:val="18"/>
          <w:szCs w:val="18"/>
          <w:lang w:val="en-CA"/>
        </w:rPr>
        <w:t>The product administration start time of each period will be separated by at least 24 hours.</w:t>
      </w:r>
    </w:p>
    <w:p w14:paraId="1F539FA1" w14:textId="1C79B299" w:rsidR="00662BBF" w:rsidRPr="00530896" w:rsidRDefault="00662BBF" w:rsidP="00530896">
      <w:pPr>
        <w:pStyle w:val="FootnoteText"/>
        <w:spacing w:before="0"/>
        <w:ind w:left="0" w:firstLine="0"/>
        <w:rPr>
          <w:rFonts w:eastAsia="Calibri"/>
          <w:snapToGrid w:val="0"/>
          <w:sz w:val="18"/>
          <w:szCs w:val="18"/>
          <w:lang w:val="en-CA"/>
        </w:rPr>
      </w:pPr>
      <w:r w:rsidRPr="00530896">
        <w:rPr>
          <w:rFonts w:eastAsia="Calibri"/>
          <w:snapToGrid w:val="0"/>
          <w:sz w:val="18"/>
          <w:szCs w:val="18"/>
          <w:vertAlign w:val="superscript"/>
          <w:lang w:val="en-CA"/>
        </w:rPr>
        <w:t>11</w:t>
      </w:r>
      <w:r w:rsidRPr="00530896">
        <w:rPr>
          <w:rFonts w:eastAsia="Calibri"/>
          <w:snapToGrid w:val="0"/>
          <w:sz w:val="18"/>
          <w:szCs w:val="18"/>
          <w:lang w:val="en-CA"/>
        </w:rPr>
        <w:t xml:space="preserve"> </w:t>
      </w:r>
      <w:r w:rsidRPr="00530896">
        <w:rPr>
          <w:rFonts w:eastAsia="Calibri"/>
          <w:snapToGrid w:val="0"/>
          <w:sz w:val="18"/>
          <w:szCs w:val="18"/>
          <w:lang w:val="en-CA"/>
        </w:rPr>
        <w:t>Blood sampling time points for PK determinations for each treatment period are specified in blood sampling for nicotine PK assessment section of the manuscript.</w:t>
      </w:r>
    </w:p>
    <w:p w14:paraId="661FAD4A" w14:textId="19A37FAD" w:rsidR="00662BBF" w:rsidRPr="00530896" w:rsidRDefault="00662BBF" w:rsidP="00530896">
      <w:pPr>
        <w:pStyle w:val="FootnoteText"/>
        <w:spacing w:before="0"/>
        <w:ind w:left="180" w:hanging="180"/>
        <w:rPr>
          <w:rFonts w:eastAsia="Calibri"/>
          <w:snapToGrid w:val="0"/>
          <w:sz w:val="18"/>
          <w:szCs w:val="18"/>
          <w:lang w:val="en-CA"/>
        </w:rPr>
      </w:pPr>
      <w:r w:rsidRPr="00530896">
        <w:rPr>
          <w:sz w:val="18"/>
          <w:szCs w:val="18"/>
          <w:vertAlign w:val="superscript"/>
        </w:rPr>
        <w:t>12</w:t>
      </w:r>
      <w:r w:rsidRPr="00530896">
        <w:rPr>
          <w:sz w:val="18"/>
          <w:szCs w:val="18"/>
        </w:rPr>
        <w:t xml:space="preserve"> </w:t>
      </w:r>
      <w:r w:rsidRPr="00530896">
        <w:rPr>
          <w:sz w:val="18"/>
          <w:szCs w:val="18"/>
        </w:rPr>
        <w:t xml:space="preserve">Discharge from the clinical site will occur after the </w:t>
      </w:r>
      <w:r w:rsidRPr="00530896">
        <w:rPr>
          <w:rFonts w:eastAsia="Calibri"/>
          <w:snapToGrid w:val="0"/>
          <w:sz w:val="18"/>
          <w:szCs w:val="18"/>
          <w:lang w:val="en-CA"/>
        </w:rPr>
        <w:t>12-hour PK blood sample of Period 3.</w:t>
      </w:r>
    </w:p>
    <w:p w14:paraId="3B39F7E0" w14:textId="77777777" w:rsidR="00530896" w:rsidRDefault="00662BBF" w:rsidP="00530896">
      <w:pPr>
        <w:pStyle w:val="FootnoteText"/>
        <w:spacing w:before="0"/>
        <w:ind w:left="180" w:hanging="180"/>
        <w:rPr>
          <w:sz w:val="18"/>
          <w:szCs w:val="18"/>
        </w:rPr>
      </w:pPr>
      <w:r w:rsidRPr="00530896">
        <w:rPr>
          <w:rFonts w:eastAsia="Calibri"/>
          <w:snapToGrid w:val="0"/>
          <w:sz w:val="18"/>
          <w:szCs w:val="18"/>
          <w:vertAlign w:val="superscript"/>
          <w:lang w:val="en-CA"/>
        </w:rPr>
        <w:t>13</w:t>
      </w:r>
      <w:r w:rsidRPr="00530896">
        <w:rPr>
          <w:rFonts w:eastAsia="Calibri"/>
          <w:snapToGrid w:val="0"/>
          <w:sz w:val="18"/>
          <w:szCs w:val="18"/>
          <w:lang w:val="en-CA"/>
        </w:rPr>
        <w:t xml:space="preserve"> </w:t>
      </w:r>
      <w:r w:rsidRPr="00530896">
        <w:rPr>
          <w:rFonts w:eastAsia="Calibri"/>
          <w:snapToGrid w:val="0"/>
          <w:sz w:val="18"/>
          <w:szCs w:val="18"/>
          <w:lang w:val="en-CA"/>
        </w:rPr>
        <w:t>AEs will be monitored until discharge from the clini</w:t>
      </w:r>
      <w:r w:rsidRPr="00530896">
        <w:rPr>
          <w:sz w:val="18"/>
          <w:szCs w:val="18"/>
        </w:rPr>
        <w:t>cal site on Day 3.</w:t>
      </w:r>
    </w:p>
    <w:p w14:paraId="076B2122" w14:textId="77777777" w:rsidR="00530896" w:rsidRDefault="00530896" w:rsidP="00530896">
      <w:pPr>
        <w:pStyle w:val="FootnoteText"/>
        <w:spacing w:before="0"/>
        <w:ind w:left="0" w:firstLine="0"/>
        <w:rPr>
          <w:sz w:val="18"/>
          <w:szCs w:val="18"/>
        </w:rPr>
      </w:pPr>
    </w:p>
    <w:p w14:paraId="16D17090" w14:textId="19959647" w:rsidR="0079025D" w:rsidRPr="00530896" w:rsidRDefault="0079025D" w:rsidP="00530896">
      <w:pPr>
        <w:pStyle w:val="FootnoteText"/>
        <w:spacing w:before="0"/>
        <w:ind w:left="0" w:firstLine="0"/>
        <w:rPr>
          <w:b/>
          <w:sz w:val="18"/>
          <w:szCs w:val="18"/>
        </w:rPr>
      </w:pPr>
    </w:p>
    <w:p w14:paraId="5C1F9BDB" w14:textId="59E08EC1" w:rsidR="009A0EC4" w:rsidRPr="00AD1E39" w:rsidRDefault="009A0EC4" w:rsidP="00AD1E39">
      <w:pPr>
        <w:pStyle w:val="Heading1"/>
        <w:rPr>
          <w:rFonts w:ascii="Times New Roman" w:hAnsi="Times New Roman"/>
          <w:b/>
          <w:bCs/>
          <w:sz w:val="22"/>
          <w:szCs w:val="22"/>
        </w:rPr>
      </w:pPr>
      <w:r w:rsidRPr="00AD1E39">
        <w:rPr>
          <w:rFonts w:ascii="Times New Roman" w:hAnsi="Times New Roman"/>
          <w:b/>
          <w:bCs/>
          <w:sz w:val="22"/>
          <w:szCs w:val="22"/>
        </w:rPr>
        <w:t xml:space="preserve">Safety </w:t>
      </w:r>
      <w:bookmarkEnd w:id="30"/>
      <w:bookmarkEnd w:id="31"/>
      <w:r w:rsidRPr="00AD1E39">
        <w:rPr>
          <w:rFonts w:ascii="Times New Roman" w:hAnsi="Times New Roman"/>
          <w:b/>
          <w:bCs/>
          <w:sz w:val="22"/>
          <w:szCs w:val="22"/>
        </w:rPr>
        <w:t>Assessments</w:t>
      </w:r>
      <w:bookmarkEnd w:id="32"/>
      <w:bookmarkEnd w:id="33"/>
    </w:p>
    <w:p w14:paraId="43AAF84D" w14:textId="77777777" w:rsidR="009A0EC4" w:rsidRPr="009A0EC4" w:rsidRDefault="009A0EC4" w:rsidP="009A0EC4">
      <w:pPr>
        <w:pStyle w:val="NormalParagraphHeading2"/>
        <w:rPr>
          <w:sz w:val="22"/>
          <w:szCs w:val="22"/>
        </w:rPr>
      </w:pPr>
      <w:r w:rsidRPr="009A0EC4">
        <w:rPr>
          <w:sz w:val="22"/>
          <w:szCs w:val="22"/>
        </w:rPr>
        <w:t>Safety assessments will include symptom-oriented physical examination, oral mucosa examination, vital signs, clinical laboratory tests, and AE monitoring. Additional safety measurements may be performed at the discretion of an investigator for reasons related to subject safety.</w:t>
      </w:r>
    </w:p>
    <w:p w14:paraId="1104705A" w14:textId="77777777" w:rsidR="009A0EC4" w:rsidRPr="009A0EC4" w:rsidRDefault="009A0EC4" w:rsidP="009A0EC4">
      <w:pPr>
        <w:pStyle w:val="NormalParagraphHeading3"/>
        <w:rPr>
          <w:sz w:val="22"/>
          <w:szCs w:val="22"/>
        </w:rPr>
      </w:pPr>
      <w:r w:rsidRPr="009A0EC4">
        <w:rPr>
          <w:sz w:val="22"/>
          <w:szCs w:val="22"/>
        </w:rPr>
        <w:t xml:space="preserve">The physician in charge will be present at the clinical site for at least the first 4 hours following each product administration and will </w:t>
      </w:r>
      <w:proofErr w:type="gramStart"/>
      <w:r w:rsidRPr="009A0EC4">
        <w:rPr>
          <w:sz w:val="22"/>
          <w:szCs w:val="22"/>
        </w:rPr>
        <w:t>remain available at all times</w:t>
      </w:r>
      <w:proofErr w:type="gramEnd"/>
      <w:r w:rsidRPr="009A0EC4">
        <w:rPr>
          <w:sz w:val="22"/>
          <w:szCs w:val="22"/>
        </w:rPr>
        <w:t xml:space="preserve"> throughout the study.</w:t>
      </w:r>
    </w:p>
    <w:p w14:paraId="7256E005" w14:textId="77777777" w:rsidR="009A0EC4" w:rsidRPr="009A0EC4" w:rsidRDefault="009A0EC4" w:rsidP="00BC004C">
      <w:pPr>
        <w:pStyle w:val="Heading2"/>
        <w:rPr>
          <w:rFonts w:ascii="Times New Roman" w:hAnsi="Times New Roman"/>
          <w:sz w:val="22"/>
          <w:szCs w:val="22"/>
        </w:rPr>
      </w:pPr>
      <w:bookmarkStart w:id="34" w:name="_Toc384111707"/>
      <w:bookmarkStart w:id="35" w:name="_Toc384112355"/>
      <w:bookmarkStart w:id="36" w:name="_Toc48818249"/>
      <w:bookmarkStart w:id="37" w:name="_Toc32484660"/>
      <w:bookmarkStart w:id="38" w:name="_Toc488412838"/>
      <w:bookmarkStart w:id="39" w:name="_Toc394312398"/>
      <w:bookmarkEnd w:id="34"/>
      <w:bookmarkEnd w:id="35"/>
      <w:r w:rsidRPr="009A0EC4">
        <w:rPr>
          <w:rFonts w:ascii="Times New Roman" w:hAnsi="Times New Roman"/>
          <w:sz w:val="22"/>
          <w:szCs w:val="22"/>
        </w:rPr>
        <w:t>Medical History</w:t>
      </w:r>
      <w:bookmarkEnd w:id="36"/>
      <w:bookmarkEnd w:id="37"/>
      <w:bookmarkEnd w:id="38"/>
    </w:p>
    <w:p w14:paraId="09DD09EB" w14:textId="399DAC25" w:rsidR="009A0EC4" w:rsidRDefault="009A0EC4" w:rsidP="009A0EC4">
      <w:pPr>
        <w:pStyle w:val="NormalParagraphHeading3"/>
        <w:rPr>
          <w:sz w:val="22"/>
          <w:szCs w:val="22"/>
        </w:rPr>
      </w:pPr>
      <w:r w:rsidRPr="009A0EC4">
        <w:rPr>
          <w:sz w:val="22"/>
          <w:szCs w:val="22"/>
        </w:rPr>
        <w:t>The medical history at screening will include all queries by the medical and clinical staff related to the subject’s well-being and history of relevant past medical events/experiences. Medical history will include all demographic data (age, gender, race, body weight, height, and BMI) and baseline characteristics. Alcohol and smoking habits will also be recorded.</w:t>
      </w:r>
    </w:p>
    <w:p w14:paraId="70E1D224" w14:textId="77777777" w:rsidR="007C6A02" w:rsidRPr="009A0EC4" w:rsidRDefault="007C6A02" w:rsidP="009A0EC4">
      <w:pPr>
        <w:pStyle w:val="NormalParagraphHeading3"/>
        <w:rPr>
          <w:sz w:val="22"/>
          <w:szCs w:val="22"/>
        </w:rPr>
      </w:pPr>
    </w:p>
    <w:p w14:paraId="7FD237A3" w14:textId="77777777" w:rsidR="009A0EC4" w:rsidRPr="009A0EC4" w:rsidRDefault="009A0EC4" w:rsidP="00BC004C">
      <w:pPr>
        <w:pStyle w:val="Heading2"/>
        <w:rPr>
          <w:rFonts w:ascii="Times New Roman" w:hAnsi="Times New Roman"/>
          <w:sz w:val="22"/>
          <w:szCs w:val="22"/>
        </w:rPr>
      </w:pPr>
      <w:bookmarkStart w:id="40" w:name="_Toc488412839"/>
      <w:bookmarkStart w:id="41" w:name="_Toc32484661"/>
      <w:bookmarkStart w:id="42" w:name="_Toc48818250"/>
      <w:r w:rsidRPr="009A0EC4">
        <w:rPr>
          <w:rFonts w:ascii="Times New Roman" w:hAnsi="Times New Roman"/>
          <w:sz w:val="22"/>
          <w:szCs w:val="22"/>
        </w:rPr>
        <w:t>Physical Examination</w:t>
      </w:r>
      <w:bookmarkEnd w:id="39"/>
      <w:bookmarkEnd w:id="40"/>
      <w:bookmarkEnd w:id="41"/>
      <w:bookmarkEnd w:id="42"/>
    </w:p>
    <w:p w14:paraId="3EAD5C0E" w14:textId="65E3F576" w:rsidR="009A0EC4" w:rsidRPr="009A0EC4" w:rsidRDefault="009A0EC4" w:rsidP="009A0EC4">
      <w:pPr>
        <w:pStyle w:val="NormalParagraphHeading3"/>
        <w:rPr>
          <w:sz w:val="22"/>
          <w:szCs w:val="22"/>
        </w:rPr>
      </w:pPr>
      <w:r w:rsidRPr="009A0EC4">
        <w:rPr>
          <w:sz w:val="22"/>
          <w:szCs w:val="22"/>
        </w:rPr>
        <w:t>A physical examination will be performed by a medically qualified and licensed individual as scheduled in</w:t>
      </w:r>
      <w:r w:rsidR="0079025D">
        <w:rPr>
          <w:sz w:val="22"/>
          <w:szCs w:val="22"/>
        </w:rPr>
        <w:t xml:space="preserve"> </w:t>
      </w:r>
      <w:r w:rsidR="0079025D" w:rsidRPr="0079025D">
        <w:rPr>
          <w:b/>
          <w:bCs/>
          <w:sz w:val="22"/>
          <w:szCs w:val="22"/>
        </w:rPr>
        <w:t>Table 1</w:t>
      </w:r>
      <w:r w:rsidRPr="009A0EC4">
        <w:rPr>
          <w:sz w:val="22"/>
          <w:szCs w:val="22"/>
        </w:rPr>
        <w:t>.</w:t>
      </w:r>
    </w:p>
    <w:p w14:paraId="1BB15809" w14:textId="77777777" w:rsidR="009A0EC4" w:rsidRPr="009A0EC4" w:rsidRDefault="009A0EC4" w:rsidP="009A0EC4">
      <w:pPr>
        <w:pStyle w:val="NormalParagraphHeading3"/>
        <w:rPr>
          <w:sz w:val="22"/>
          <w:szCs w:val="22"/>
        </w:rPr>
      </w:pPr>
      <w:r w:rsidRPr="009A0EC4">
        <w:rPr>
          <w:sz w:val="22"/>
          <w:szCs w:val="22"/>
        </w:rPr>
        <w:t xml:space="preserve">The physical examination will include a general review of the following body systems (at minimum): head and neck, cardiovascular, respiratory, abdomen, brief neurological and general appearance, unless a symptom-oriented physical exam is indicated. </w:t>
      </w:r>
    </w:p>
    <w:p w14:paraId="207813D6" w14:textId="77777777" w:rsidR="007C6A02" w:rsidRDefault="009A0EC4" w:rsidP="009A0EC4">
      <w:pPr>
        <w:pStyle w:val="NormalParagraphHeading3"/>
        <w:rPr>
          <w:sz w:val="22"/>
          <w:szCs w:val="22"/>
        </w:rPr>
      </w:pPr>
      <w:r w:rsidRPr="009A0EC4">
        <w:rPr>
          <w:sz w:val="22"/>
          <w:szCs w:val="22"/>
        </w:rPr>
        <w:t>The physical examination performed at screening will also include a general mouth examination.</w:t>
      </w:r>
    </w:p>
    <w:p w14:paraId="7D8B07AA" w14:textId="689E6AE7" w:rsidR="009A0EC4" w:rsidRPr="009A0EC4" w:rsidRDefault="009A0EC4" w:rsidP="009A0EC4">
      <w:pPr>
        <w:pStyle w:val="NormalParagraphHeading3"/>
        <w:rPr>
          <w:sz w:val="22"/>
          <w:szCs w:val="22"/>
        </w:rPr>
      </w:pPr>
      <w:r w:rsidRPr="009A0EC4">
        <w:rPr>
          <w:sz w:val="22"/>
          <w:szCs w:val="22"/>
        </w:rPr>
        <w:t xml:space="preserve"> </w:t>
      </w:r>
    </w:p>
    <w:p w14:paraId="59B20003" w14:textId="77777777" w:rsidR="009A0EC4" w:rsidRPr="009A0EC4" w:rsidRDefault="009A0EC4" w:rsidP="00BC004C">
      <w:pPr>
        <w:pStyle w:val="Heading2"/>
        <w:rPr>
          <w:rFonts w:ascii="Times New Roman" w:hAnsi="Times New Roman"/>
          <w:sz w:val="22"/>
          <w:szCs w:val="22"/>
        </w:rPr>
      </w:pPr>
      <w:bookmarkStart w:id="43" w:name="_Toc487454907"/>
      <w:bookmarkStart w:id="44" w:name="_Toc487455027"/>
      <w:bookmarkStart w:id="45" w:name="_Toc487455148"/>
      <w:bookmarkStart w:id="46" w:name="_Toc487455267"/>
      <w:bookmarkStart w:id="47" w:name="_Toc487466456"/>
      <w:bookmarkStart w:id="48" w:name="_Toc487466589"/>
      <w:bookmarkStart w:id="49" w:name="_Toc487454908"/>
      <w:bookmarkStart w:id="50" w:name="_Toc487455028"/>
      <w:bookmarkStart w:id="51" w:name="_Toc487455149"/>
      <w:bookmarkStart w:id="52" w:name="_Toc487455268"/>
      <w:bookmarkStart w:id="53" w:name="_Toc487466457"/>
      <w:bookmarkStart w:id="54" w:name="_Toc487466590"/>
      <w:bookmarkStart w:id="55" w:name="_Toc48818251"/>
      <w:bookmarkStart w:id="56" w:name="_Toc32484662"/>
      <w:bookmarkStart w:id="57" w:name="_Ref488649673"/>
      <w:bookmarkStart w:id="58" w:name="_Toc488412840"/>
      <w:bookmarkStart w:id="59" w:name="_Toc394312399"/>
      <w:bookmarkEnd w:id="43"/>
      <w:bookmarkEnd w:id="44"/>
      <w:bookmarkEnd w:id="45"/>
      <w:bookmarkEnd w:id="46"/>
      <w:bookmarkEnd w:id="47"/>
      <w:bookmarkEnd w:id="48"/>
      <w:bookmarkEnd w:id="49"/>
      <w:bookmarkEnd w:id="50"/>
      <w:bookmarkEnd w:id="51"/>
      <w:bookmarkEnd w:id="52"/>
      <w:bookmarkEnd w:id="53"/>
      <w:bookmarkEnd w:id="54"/>
      <w:r w:rsidRPr="009A0EC4">
        <w:rPr>
          <w:rFonts w:ascii="Times New Roman" w:hAnsi="Times New Roman"/>
          <w:sz w:val="22"/>
          <w:szCs w:val="22"/>
        </w:rPr>
        <w:t>Vital Signs</w:t>
      </w:r>
      <w:bookmarkEnd w:id="55"/>
      <w:bookmarkEnd w:id="56"/>
      <w:bookmarkEnd w:id="57"/>
      <w:bookmarkEnd w:id="58"/>
      <w:bookmarkEnd w:id="59"/>
    </w:p>
    <w:p w14:paraId="1CB76BA7" w14:textId="0512B4DB" w:rsidR="009A0EC4" w:rsidRPr="009A0EC4" w:rsidRDefault="009A0EC4" w:rsidP="009A0EC4">
      <w:pPr>
        <w:pStyle w:val="NormalParagraphHeading3"/>
        <w:rPr>
          <w:sz w:val="22"/>
          <w:szCs w:val="22"/>
        </w:rPr>
      </w:pPr>
      <w:r w:rsidRPr="009A0EC4">
        <w:rPr>
          <w:sz w:val="22"/>
          <w:szCs w:val="22"/>
        </w:rPr>
        <w:t>Vital signs will be measured as scheduled in</w:t>
      </w:r>
      <w:r w:rsidR="0079025D">
        <w:rPr>
          <w:sz w:val="22"/>
          <w:szCs w:val="22"/>
        </w:rPr>
        <w:t xml:space="preserve"> </w:t>
      </w:r>
      <w:r w:rsidR="0079025D" w:rsidRPr="0079025D">
        <w:rPr>
          <w:b/>
          <w:bCs/>
          <w:sz w:val="22"/>
          <w:szCs w:val="22"/>
        </w:rPr>
        <w:t>Table 1</w:t>
      </w:r>
      <w:r w:rsidRPr="009A0EC4">
        <w:rPr>
          <w:sz w:val="22"/>
          <w:szCs w:val="22"/>
        </w:rPr>
        <w:t>. Vital signs at screening, at admission to the clinical site and prior to each product administration will include blood pressure, pulse rate and body temperature. Vital signs following each product administration will include blood pressure and pulse rate.</w:t>
      </w:r>
    </w:p>
    <w:p w14:paraId="43A9A31C" w14:textId="4B4E65C6" w:rsidR="009A0EC4" w:rsidRPr="009A0EC4" w:rsidRDefault="009A0EC4" w:rsidP="009A0EC4">
      <w:pPr>
        <w:pStyle w:val="NormalParagraphHeading3"/>
        <w:rPr>
          <w:sz w:val="22"/>
          <w:szCs w:val="22"/>
        </w:rPr>
      </w:pPr>
      <w:r w:rsidRPr="009A0EC4">
        <w:rPr>
          <w:sz w:val="22"/>
          <w:szCs w:val="22"/>
        </w:rPr>
        <w:t>On-study time points for vital sign measurements are presented in</w:t>
      </w:r>
      <w:r w:rsidR="0079025D">
        <w:rPr>
          <w:sz w:val="22"/>
          <w:szCs w:val="22"/>
        </w:rPr>
        <w:t xml:space="preserve"> </w:t>
      </w:r>
      <w:r w:rsidR="0079025D" w:rsidRPr="0079025D">
        <w:rPr>
          <w:b/>
          <w:bCs/>
          <w:sz w:val="22"/>
          <w:szCs w:val="22"/>
        </w:rPr>
        <w:t>Table 3</w:t>
      </w:r>
      <w:r w:rsidRPr="009A0EC4">
        <w:rPr>
          <w:sz w:val="22"/>
          <w:szCs w:val="22"/>
        </w:rPr>
        <w:t>.</w:t>
      </w:r>
    </w:p>
    <w:p w14:paraId="5864B451" w14:textId="77777777" w:rsidR="0079025D" w:rsidRDefault="0079025D" w:rsidP="009A0EC4">
      <w:pPr>
        <w:pStyle w:val="Caption"/>
        <w:rPr>
          <w:sz w:val="22"/>
          <w:szCs w:val="22"/>
        </w:rPr>
      </w:pPr>
      <w:bookmarkStart w:id="60" w:name="_Ref488651764"/>
      <w:bookmarkStart w:id="61" w:name="_Toc32484731"/>
      <w:bookmarkStart w:id="62" w:name="_Toc48127863"/>
    </w:p>
    <w:p w14:paraId="5DE340E9" w14:textId="57C5C007" w:rsidR="009A0EC4" w:rsidRPr="009A0EC4" w:rsidRDefault="009A0EC4" w:rsidP="009A0EC4">
      <w:pPr>
        <w:pStyle w:val="Caption"/>
        <w:rPr>
          <w:sz w:val="22"/>
          <w:szCs w:val="22"/>
        </w:rPr>
      </w:pPr>
      <w:r w:rsidRPr="009A0EC4">
        <w:rPr>
          <w:sz w:val="22"/>
          <w:szCs w:val="22"/>
        </w:rPr>
        <w:t xml:space="preserve">Table </w:t>
      </w:r>
      <w:r w:rsidRPr="009A0EC4">
        <w:rPr>
          <w:sz w:val="22"/>
          <w:szCs w:val="22"/>
        </w:rPr>
        <w:fldChar w:fldCharType="begin"/>
      </w:r>
      <w:r w:rsidRPr="009A0EC4">
        <w:rPr>
          <w:sz w:val="22"/>
          <w:szCs w:val="22"/>
        </w:rPr>
        <w:instrText xml:space="preserve"> SEQ Table \* ARABIC </w:instrText>
      </w:r>
      <w:r w:rsidRPr="009A0EC4">
        <w:rPr>
          <w:sz w:val="22"/>
          <w:szCs w:val="22"/>
        </w:rPr>
        <w:fldChar w:fldCharType="separate"/>
      </w:r>
      <w:r w:rsidRPr="009A0EC4">
        <w:rPr>
          <w:noProof/>
          <w:sz w:val="22"/>
          <w:szCs w:val="22"/>
        </w:rPr>
        <w:t>3</w:t>
      </w:r>
      <w:r w:rsidRPr="009A0EC4">
        <w:rPr>
          <w:sz w:val="22"/>
          <w:szCs w:val="22"/>
        </w:rPr>
        <w:fldChar w:fldCharType="end"/>
      </w:r>
      <w:bookmarkEnd w:id="60"/>
      <w:r w:rsidRPr="009A0EC4">
        <w:rPr>
          <w:sz w:val="22"/>
          <w:szCs w:val="22"/>
        </w:rPr>
        <w:t>. Vital Sign Recording Schedule</w:t>
      </w:r>
      <w:bookmarkEnd w:id="61"/>
      <w:bookmarkEnd w:id="62"/>
    </w:p>
    <w:tbl>
      <w:tblPr>
        <w:tblStyle w:val="TablePK"/>
        <w:tblW w:w="0" w:type="auto"/>
        <w:tblInd w:w="29" w:type="dxa"/>
        <w:tblLook w:val="04A0" w:firstRow="1" w:lastRow="0" w:firstColumn="1" w:lastColumn="0" w:noHBand="0" w:noVBand="1"/>
      </w:tblPr>
      <w:tblGrid>
        <w:gridCol w:w="5580"/>
      </w:tblGrid>
      <w:tr w:rsidR="009A0EC4" w:rsidRPr="00BC004C" w14:paraId="5446CC4A" w14:textId="77777777" w:rsidTr="009A0E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0" w:type="dxa"/>
            <w:hideMark/>
          </w:tcPr>
          <w:p w14:paraId="723E1F61" w14:textId="77777777" w:rsidR="009A0EC4" w:rsidRPr="00BC004C" w:rsidRDefault="009A0EC4">
            <w:pPr>
              <w:pStyle w:val="NormalHeading1"/>
              <w:spacing w:before="0"/>
              <w:ind w:left="0"/>
              <w:jc w:val="left"/>
              <w:rPr>
                <w:rFonts w:ascii="Times New Roman" w:hAnsi="Times New Roman" w:cs="Times New Roman"/>
                <w:b/>
                <w:sz w:val="20"/>
                <w:szCs w:val="20"/>
                <w:lang w:val="en-CA"/>
              </w:rPr>
            </w:pPr>
            <w:r w:rsidRPr="00BC004C">
              <w:rPr>
                <w:rFonts w:ascii="Times New Roman" w:hAnsi="Times New Roman" w:cs="Times New Roman"/>
                <w:b/>
                <w:sz w:val="20"/>
                <w:szCs w:val="20"/>
                <w:lang w:val="en-CA"/>
              </w:rPr>
              <w:t>Vital Sign Recording - Scheduled Time Points</w:t>
            </w:r>
          </w:p>
        </w:tc>
      </w:tr>
      <w:tr w:rsidR="009A0EC4" w:rsidRPr="00BC004C" w14:paraId="271F8AB0" w14:textId="77777777" w:rsidTr="009A0EC4">
        <w:tc>
          <w:tcPr>
            <w:cnfStyle w:val="001000000000" w:firstRow="0" w:lastRow="0" w:firstColumn="1" w:lastColumn="0" w:oddVBand="0" w:evenVBand="0" w:oddHBand="0" w:evenHBand="0" w:firstRowFirstColumn="0" w:firstRowLastColumn="0" w:lastRowFirstColumn="0" w:lastRowLastColumn="0"/>
            <w:tcW w:w="5580" w:type="dxa"/>
            <w:tcBorders>
              <w:top w:val="single" w:sz="4" w:space="0" w:color="auto"/>
              <w:left w:val="nil"/>
              <w:bottom w:val="nil"/>
              <w:right w:val="nil"/>
            </w:tcBorders>
            <w:hideMark/>
          </w:tcPr>
          <w:p w14:paraId="3B181D0F" w14:textId="77777777" w:rsidR="009A0EC4" w:rsidRPr="00BC004C" w:rsidRDefault="009A0EC4">
            <w:pPr>
              <w:pStyle w:val="NormalHeading1"/>
              <w:spacing w:before="0"/>
              <w:jc w:val="left"/>
              <w:rPr>
                <w:rFonts w:ascii="Times New Roman" w:hAnsi="Times New Roman" w:cs="Times New Roman"/>
                <w:sz w:val="20"/>
                <w:szCs w:val="20"/>
              </w:rPr>
            </w:pPr>
            <w:r w:rsidRPr="00BC004C">
              <w:rPr>
                <w:rFonts w:ascii="Times New Roman" w:hAnsi="Times New Roman" w:cs="Times New Roman"/>
                <w:sz w:val="20"/>
                <w:szCs w:val="20"/>
              </w:rPr>
              <w:t>Prior to dosing</w:t>
            </w:r>
          </w:p>
        </w:tc>
      </w:tr>
      <w:tr w:rsidR="009A0EC4" w:rsidRPr="00BC004C" w14:paraId="3F0D4F6B" w14:textId="77777777" w:rsidTr="009A0EC4">
        <w:tc>
          <w:tcPr>
            <w:cnfStyle w:val="001000000000" w:firstRow="0" w:lastRow="0" w:firstColumn="1" w:lastColumn="0" w:oddVBand="0" w:evenVBand="0" w:oddHBand="0" w:evenHBand="0" w:firstRowFirstColumn="0" w:firstRowLastColumn="0" w:lastRowFirstColumn="0" w:lastRowLastColumn="0"/>
            <w:tcW w:w="5580" w:type="dxa"/>
            <w:tcBorders>
              <w:top w:val="nil"/>
              <w:left w:val="nil"/>
              <w:bottom w:val="single" w:sz="4" w:space="0" w:color="auto"/>
              <w:right w:val="nil"/>
            </w:tcBorders>
            <w:hideMark/>
          </w:tcPr>
          <w:p w14:paraId="00184B4C" w14:textId="77777777" w:rsidR="009A0EC4" w:rsidRPr="00BC004C" w:rsidRDefault="009A0EC4">
            <w:pPr>
              <w:pStyle w:val="NormalHeading1"/>
              <w:spacing w:before="0"/>
              <w:jc w:val="left"/>
              <w:rPr>
                <w:rFonts w:ascii="Times New Roman" w:hAnsi="Times New Roman" w:cs="Times New Roman"/>
                <w:sz w:val="20"/>
                <w:szCs w:val="20"/>
              </w:rPr>
            </w:pPr>
            <w:r w:rsidRPr="00BC004C">
              <w:rPr>
                <w:rFonts w:ascii="Times New Roman" w:hAnsi="Times New Roman" w:cs="Times New Roman"/>
                <w:sz w:val="20"/>
                <w:szCs w:val="20"/>
              </w:rPr>
              <w:t xml:space="preserve">1 and 12 hours </w:t>
            </w:r>
            <w:proofErr w:type="spellStart"/>
            <w:r w:rsidRPr="00BC004C">
              <w:rPr>
                <w:rFonts w:ascii="Times New Roman" w:hAnsi="Times New Roman" w:cs="Times New Roman"/>
                <w:sz w:val="20"/>
                <w:szCs w:val="20"/>
              </w:rPr>
              <w:t>postdose</w:t>
            </w:r>
            <w:proofErr w:type="spellEnd"/>
          </w:p>
        </w:tc>
      </w:tr>
    </w:tbl>
    <w:p w14:paraId="7CAC872C" w14:textId="77777777" w:rsidR="009A0EC4" w:rsidRPr="009A0EC4" w:rsidRDefault="009A0EC4" w:rsidP="009A0EC4">
      <w:pPr>
        <w:rPr>
          <w:sz w:val="22"/>
          <w:szCs w:val="22"/>
          <w:lang w:val="en-CA" w:eastAsia="en-US"/>
        </w:rPr>
      </w:pPr>
    </w:p>
    <w:p w14:paraId="01CA9F85" w14:textId="77777777" w:rsidR="009A0EC4" w:rsidRPr="009A0EC4" w:rsidRDefault="009A0EC4" w:rsidP="00BC004C">
      <w:pPr>
        <w:pStyle w:val="Heading2"/>
        <w:rPr>
          <w:rFonts w:ascii="Times New Roman" w:hAnsi="Times New Roman"/>
          <w:sz w:val="22"/>
          <w:szCs w:val="22"/>
        </w:rPr>
      </w:pPr>
      <w:bookmarkStart w:id="63" w:name="_Toc394312403"/>
      <w:bookmarkStart w:id="64" w:name="_Toc488412842"/>
      <w:bookmarkStart w:id="65" w:name="_Ref488649587"/>
      <w:bookmarkStart w:id="66" w:name="_Toc32484663"/>
      <w:bookmarkStart w:id="67" w:name="_Toc48818252"/>
      <w:r w:rsidRPr="009A0EC4">
        <w:rPr>
          <w:rFonts w:ascii="Times New Roman" w:hAnsi="Times New Roman"/>
          <w:sz w:val="22"/>
          <w:szCs w:val="22"/>
        </w:rPr>
        <w:lastRenderedPageBreak/>
        <w:t>12-Lead Electrocardiogram</w:t>
      </w:r>
      <w:bookmarkEnd w:id="63"/>
      <w:bookmarkEnd w:id="64"/>
      <w:bookmarkEnd w:id="65"/>
      <w:bookmarkEnd w:id="66"/>
      <w:bookmarkEnd w:id="67"/>
    </w:p>
    <w:p w14:paraId="55566098" w14:textId="3945CDF9" w:rsidR="009A0EC4" w:rsidRDefault="009A0EC4" w:rsidP="009A0EC4">
      <w:pPr>
        <w:pStyle w:val="NormalParagraphHeading3"/>
        <w:rPr>
          <w:sz w:val="22"/>
          <w:szCs w:val="22"/>
        </w:rPr>
      </w:pPr>
      <w:r w:rsidRPr="009A0EC4">
        <w:rPr>
          <w:sz w:val="22"/>
          <w:szCs w:val="22"/>
        </w:rPr>
        <w:t>A twelve-lead ECG will be performed at screening as scheduled in</w:t>
      </w:r>
      <w:r w:rsidR="0079025D">
        <w:rPr>
          <w:sz w:val="22"/>
          <w:szCs w:val="22"/>
        </w:rPr>
        <w:t xml:space="preserve"> </w:t>
      </w:r>
      <w:r w:rsidR="0079025D" w:rsidRPr="0079025D">
        <w:rPr>
          <w:b/>
          <w:bCs/>
          <w:sz w:val="22"/>
          <w:szCs w:val="22"/>
        </w:rPr>
        <w:t>Table 1</w:t>
      </w:r>
      <w:r w:rsidRPr="009A0EC4">
        <w:rPr>
          <w:sz w:val="22"/>
          <w:szCs w:val="22"/>
        </w:rPr>
        <w:t>.</w:t>
      </w:r>
    </w:p>
    <w:p w14:paraId="45FBAEAF" w14:textId="77777777" w:rsidR="007C6A02" w:rsidRPr="009A0EC4" w:rsidRDefault="007C6A02" w:rsidP="009A0EC4">
      <w:pPr>
        <w:pStyle w:val="NormalParagraphHeading3"/>
        <w:rPr>
          <w:sz w:val="22"/>
          <w:szCs w:val="22"/>
        </w:rPr>
      </w:pPr>
    </w:p>
    <w:p w14:paraId="6DC498A9" w14:textId="77777777" w:rsidR="009A0EC4" w:rsidRPr="009A0EC4" w:rsidRDefault="009A0EC4" w:rsidP="00BC004C">
      <w:pPr>
        <w:pStyle w:val="Heading2"/>
        <w:rPr>
          <w:rFonts w:ascii="Times New Roman" w:hAnsi="Times New Roman"/>
          <w:sz w:val="22"/>
          <w:szCs w:val="22"/>
        </w:rPr>
      </w:pPr>
      <w:bookmarkStart w:id="68" w:name="_Toc488417787"/>
      <w:bookmarkStart w:id="69" w:name="_Toc488647907"/>
      <w:bookmarkStart w:id="70" w:name="_Toc488649214"/>
      <w:bookmarkStart w:id="71" w:name="_Toc488657802"/>
      <w:bookmarkStart w:id="72" w:name="_Toc488658134"/>
      <w:bookmarkStart w:id="73" w:name="_Toc488666914"/>
      <w:bookmarkStart w:id="74" w:name="_Toc48818253"/>
      <w:bookmarkStart w:id="75" w:name="_Toc32484664"/>
      <w:bookmarkStart w:id="76" w:name="_Toc488412841"/>
      <w:bookmarkStart w:id="77" w:name="_Toc394312401"/>
      <w:bookmarkEnd w:id="68"/>
      <w:bookmarkEnd w:id="69"/>
      <w:bookmarkEnd w:id="70"/>
      <w:bookmarkEnd w:id="71"/>
      <w:bookmarkEnd w:id="72"/>
      <w:bookmarkEnd w:id="73"/>
      <w:r w:rsidRPr="009A0EC4">
        <w:rPr>
          <w:rFonts w:ascii="Times New Roman" w:hAnsi="Times New Roman"/>
          <w:sz w:val="22"/>
          <w:szCs w:val="22"/>
        </w:rPr>
        <w:t>Laboratory Evaluations</w:t>
      </w:r>
      <w:bookmarkEnd w:id="74"/>
      <w:bookmarkEnd w:id="75"/>
      <w:bookmarkEnd w:id="76"/>
      <w:bookmarkEnd w:id="77"/>
    </w:p>
    <w:p w14:paraId="2A217C63" w14:textId="43B6957A" w:rsidR="009A0EC4" w:rsidRPr="009A0EC4" w:rsidRDefault="009A0EC4" w:rsidP="009A0EC4">
      <w:pPr>
        <w:pStyle w:val="NormalParagraphHeading3"/>
        <w:rPr>
          <w:sz w:val="22"/>
          <w:szCs w:val="22"/>
        </w:rPr>
      </w:pPr>
      <w:r w:rsidRPr="009A0EC4">
        <w:rPr>
          <w:sz w:val="22"/>
          <w:szCs w:val="22"/>
        </w:rPr>
        <w:t>Laboratory evaluations will be performed as scheduled in</w:t>
      </w:r>
      <w:r w:rsidR="0079025D">
        <w:rPr>
          <w:sz w:val="22"/>
          <w:szCs w:val="22"/>
        </w:rPr>
        <w:t xml:space="preserve"> </w:t>
      </w:r>
      <w:r w:rsidR="0079025D" w:rsidRPr="0079025D">
        <w:rPr>
          <w:b/>
          <w:bCs/>
          <w:sz w:val="22"/>
          <w:szCs w:val="22"/>
        </w:rPr>
        <w:t>Table 1</w:t>
      </w:r>
      <w:r w:rsidRPr="009A0EC4">
        <w:rPr>
          <w:sz w:val="22"/>
          <w:szCs w:val="22"/>
        </w:rPr>
        <w:t>.</w:t>
      </w:r>
    </w:p>
    <w:p w14:paraId="61ADB881" w14:textId="2F1D2757" w:rsidR="009A0EC4" w:rsidRPr="009A0EC4" w:rsidRDefault="009A0EC4" w:rsidP="009A0EC4">
      <w:pPr>
        <w:pStyle w:val="NormalParagraphHeading3"/>
        <w:rPr>
          <w:sz w:val="22"/>
          <w:szCs w:val="22"/>
        </w:rPr>
      </w:pPr>
      <w:r w:rsidRPr="009A0EC4">
        <w:rPr>
          <w:sz w:val="22"/>
          <w:szCs w:val="22"/>
        </w:rPr>
        <w:t xml:space="preserve">The laboratory evaluations to be conducted for this study </w:t>
      </w:r>
      <w:r w:rsidRPr="001C5AB3">
        <w:rPr>
          <w:sz w:val="22"/>
          <w:szCs w:val="22"/>
        </w:rPr>
        <w:t>are presented in</w:t>
      </w:r>
      <w:r w:rsidR="007C6A02" w:rsidRPr="001C5AB3">
        <w:rPr>
          <w:sz w:val="22"/>
          <w:szCs w:val="22"/>
        </w:rPr>
        <w:t xml:space="preserve"> </w:t>
      </w:r>
      <w:r w:rsidR="007C6A02" w:rsidRPr="001C5AB3">
        <w:rPr>
          <w:b/>
          <w:bCs/>
          <w:sz w:val="22"/>
          <w:szCs w:val="22"/>
        </w:rPr>
        <w:t>Table 4</w:t>
      </w:r>
      <w:r w:rsidRPr="001C5AB3">
        <w:rPr>
          <w:sz w:val="22"/>
          <w:szCs w:val="22"/>
        </w:rPr>
        <w:t>. Additional</w:t>
      </w:r>
      <w:r w:rsidRPr="009A0EC4">
        <w:rPr>
          <w:sz w:val="22"/>
          <w:szCs w:val="22"/>
        </w:rPr>
        <w:t xml:space="preserve"> clinical laboratory tests may be performed by the medical laboratory as part of larger standard test panels (not required for subject safety).</w:t>
      </w:r>
    </w:p>
    <w:p w14:paraId="608C2532" w14:textId="2201FBCC" w:rsidR="009A0EC4" w:rsidRDefault="009A0EC4" w:rsidP="009A0EC4">
      <w:pPr>
        <w:pStyle w:val="NormalParagraphHeading3"/>
        <w:rPr>
          <w:sz w:val="22"/>
          <w:szCs w:val="22"/>
        </w:rPr>
      </w:pPr>
      <w:r w:rsidRPr="009A0EC4">
        <w:rPr>
          <w:sz w:val="22"/>
          <w:szCs w:val="22"/>
        </w:rPr>
        <w:t xml:space="preserve">The physician in charge or </w:t>
      </w:r>
      <w:r w:rsidRPr="009A0EC4">
        <w:rPr>
          <w:sz w:val="22"/>
          <w:szCs w:val="22"/>
          <w:lang w:val="en-GB"/>
        </w:rPr>
        <w:t>delegate</w:t>
      </w:r>
      <w:r w:rsidRPr="009A0EC4">
        <w:rPr>
          <w:sz w:val="22"/>
          <w:szCs w:val="22"/>
        </w:rPr>
        <w:t xml:space="preserve"> will assess each abnormal value to determine if it is clinically significant. </w:t>
      </w:r>
      <w:proofErr w:type="spellStart"/>
      <w:r w:rsidRPr="009A0EC4">
        <w:rPr>
          <w:sz w:val="22"/>
          <w:szCs w:val="22"/>
        </w:rPr>
        <w:t>Postdose</w:t>
      </w:r>
      <w:proofErr w:type="spellEnd"/>
      <w:r w:rsidRPr="009A0EC4">
        <w:rPr>
          <w:sz w:val="22"/>
          <w:szCs w:val="22"/>
        </w:rPr>
        <w:t xml:space="preserve"> clinically significant laboratory values will be reported as AEs, if applicable, as judged by the physician in charge or delegate. Verification of collection for all laboratory test panels will be collected in the clinical database.</w:t>
      </w:r>
    </w:p>
    <w:p w14:paraId="41258D63" w14:textId="424B65A5" w:rsidR="007C6A02" w:rsidRDefault="007C6A02" w:rsidP="009A0EC4">
      <w:pPr>
        <w:pStyle w:val="NormalParagraphHeading3"/>
        <w:rPr>
          <w:sz w:val="22"/>
          <w:szCs w:val="22"/>
        </w:rPr>
      </w:pPr>
    </w:p>
    <w:p w14:paraId="42216268" w14:textId="52A21B8C" w:rsidR="007C6A02" w:rsidRDefault="007C6A02" w:rsidP="007C6A02">
      <w:pPr>
        <w:pStyle w:val="Caption"/>
        <w:rPr>
          <w:b w:val="0"/>
          <w:sz w:val="22"/>
          <w:szCs w:val="22"/>
        </w:rPr>
      </w:pPr>
      <w:r>
        <w:rPr>
          <w:sz w:val="22"/>
          <w:szCs w:val="22"/>
        </w:rPr>
        <w:t xml:space="preserve">Table 4. </w:t>
      </w:r>
      <w:r w:rsidRPr="007C6A02">
        <w:rPr>
          <w:sz w:val="22"/>
          <w:szCs w:val="22"/>
        </w:rPr>
        <w:t>C</w:t>
      </w:r>
      <w:r>
        <w:rPr>
          <w:sz w:val="22"/>
          <w:szCs w:val="22"/>
        </w:rPr>
        <w:t xml:space="preserve">linical </w:t>
      </w:r>
      <w:r w:rsidRPr="007C6A02">
        <w:rPr>
          <w:sz w:val="22"/>
          <w:szCs w:val="22"/>
        </w:rPr>
        <w:t>L</w:t>
      </w:r>
      <w:r>
        <w:rPr>
          <w:sz w:val="22"/>
          <w:szCs w:val="22"/>
        </w:rPr>
        <w:t>aboratory Evaluations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44"/>
      </w:tblGrid>
      <w:tr w:rsidR="007C6A02" w:rsidRPr="00BC004C" w14:paraId="3B2E162A" w14:textId="77777777" w:rsidTr="006D1817">
        <w:tc>
          <w:tcPr>
            <w:tcW w:w="2972" w:type="dxa"/>
            <w:tcBorders>
              <w:top w:val="single" w:sz="4" w:space="0" w:color="auto"/>
              <w:left w:val="single" w:sz="4" w:space="0" w:color="auto"/>
              <w:bottom w:val="single" w:sz="4" w:space="0" w:color="auto"/>
              <w:right w:val="single" w:sz="4" w:space="0" w:color="auto"/>
            </w:tcBorders>
            <w:vAlign w:val="center"/>
            <w:hideMark/>
          </w:tcPr>
          <w:p w14:paraId="15C90534" w14:textId="77777777" w:rsidR="007C6A02" w:rsidRPr="00BC004C" w:rsidRDefault="007C6A02" w:rsidP="006D1817">
            <w:pPr>
              <w:pStyle w:val="In-textTableHeaderrows"/>
              <w:rPr>
                <w:rFonts w:ascii="Times New Roman" w:hAnsi="Times New Roman"/>
                <w:sz w:val="20"/>
                <w:szCs w:val="20"/>
              </w:rPr>
            </w:pPr>
            <w:r w:rsidRPr="00BC004C">
              <w:rPr>
                <w:rFonts w:ascii="Times New Roman" w:hAnsi="Times New Roman"/>
                <w:sz w:val="20"/>
                <w:szCs w:val="20"/>
              </w:rPr>
              <w:t>Clinical Laboratory Test Panel</w:t>
            </w:r>
          </w:p>
        </w:tc>
        <w:tc>
          <w:tcPr>
            <w:tcW w:w="6044" w:type="dxa"/>
            <w:tcBorders>
              <w:top w:val="single" w:sz="4" w:space="0" w:color="auto"/>
              <w:left w:val="single" w:sz="4" w:space="0" w:color="auto"/>
              <w:bottom w:val="single" w:sz="4" w:space="0" w:color="auto"/>
              <w:right w:val="single" w:sz="4" w:space="0" w:color="auto"/>
            </w:tcBorders>
            <w:vAlign w:val="center"/>
            <w:hideMark/>
          </w:tcPr>
          <w:p w14:paraId="5BD95210" w14:textId="77777777" w:rsidR="007C6A02" w:rsidRPr="00BC004C" w:rsidRDefault="007C6A02" w:rsidP="006D1817">
            <w:pPr>
              <w:pStyle w:val="In-textTableHeaderrows"/>
              <w:rPr>
                <w:rFonts w:ascii="Times New Roman" w:hAnsi="Times New Roman"/>
                <w:sz w:val="20"/>
                <w:szCs w:val="20"/>
              </w:rPr>
            </w:pPr>
            <w:r w:rsidRPr="00BC004C">
              <w:rPr>
                <w:rFonts w:ascii="Times New Roman" w:hAnsi="Times New Roman"/>
                <w:sz w:val="20"/>
                <w:szCs w:val="20"/>
              </w:rPr>
              <w:t>Description</w:t>
            </w:r>
          </w:p>
        </w:tc>
      </w:tr>
      <w:tr w:rsidR="007C6A02" w:rsidRPr="00BC004C" w14:paraId="650B35B9" w14:textId="77777777" w:rsidTr="006D1817">
        <w:tc>
          <w:tcPr>
            <w:tcW w:w="2972" w:type="dxa"/>
            <w:tcBorders>
              <w:top w:val="single" w:sz="4" w:space="0" w:color="auto"/>
              <w:left w:val="single" w:sz="4" w:space="0" w:color="auto"/>
              <w:bottom w:val="single" w:sz="4" w:space="0" w:color="auto"/>
              <w:right w:val="single" w:sz="4" w:space="0" w:color="auto"/>
            </w:tcBorders>
            <w:vAlign w:val="center"/>
            <w:hideMark/>
          </w:tcPr>
          <w:p w14:paraId="721527BD" w14:textId="0630E0C6" w:rsidR="007C6A02" w:rsidRPr="00BC004C" w:rsidRDefault="007C6A02" w:rsidP="006D1817">
            <w:pPr>
              <w:pStyle w:val="In-TextTableBodytext"/>
              <w:jc w:val="left"/>
              <w:rPr>
                <w:sz w:val="20"/>
                <w:szCs w:val="20"/>
              </w:rPr>
            </w:pPr>
            <w:r w:rsidRPr="00BC004C">
              <w:rPr>
                <w:sz w:val="20"/>
                <w:szCs w:val="20"/>
              </w:rPr>
              <w:t>General biochemistry</w:t>
            </w:r>
            <w:r w:rsidR="00662BBF" w:rsidRPr="00662BBF">
              <w:rPr>
                <w:sz w:val="20"/>
                <w:szCs w:val="20"/>
                <w:vertAlign w:val="superscript"/>
              </w:rPr>
              <w:t>1</w:t>
            </w:r>
            <w:r w:rsidRPr="00BC004C">
              <w:rPr>
                <w:sz w:val="20"/>
                <w:szCs w:val="20"/>
              </w:rPr>
              <w:t>:</w:t>
            </w:r>
          </w:p>
        </w:tc>
        <w:tc>
          <w:tcPr>
            <w:tcW w:w="6044" w:type="dxa"/>
            <w:tcBorders>
              <w:top w:val="single" w:sz="4" w:space="0" w:color="auto"/>
              <w:left w:val="single" w:sz="4" w:space="0" w:color="auto"/>
              <w:bottom w:val="single" w:sz="4" w:space="0" w:color="auto"/>
              <w:right w:val="single" w:sz="4" w:space="0" w:color="auto"/>
            </w:tcBorders>
            <w:vAlign w:val="center"/>
            <w:hideMark/>
          </w:tcPr>
          <w:p w14:paraId="30A27FBD" w14:textId="77777777" w:rsidR="007C6A02" w:rsidRPr="00BC004C" w:rsidRDefault="007C6A02" w:rsidP="006D1817">
            <w:pPr>
              <w:pStyle w:val="In-TextTableBodytext"/>
              <w:jc w:val="left"/>
              <w:rPr>
                <w:sz w:val="20"/>
                <w:szCs w:val="20"/>
              </w:rPr>
            </w:pPr>
            <w:r w:rsidRPr="00BC004C">
              <w:rPr>
                <w:sz w:val="20"/>
                <w:szCs w:val="20"/>
              </w:rPr>
              <w:t>Sodium, potassium, chloride, glucose, creatinine, bilirubin total, alkaline phosphatase, alanine aminotransferase and albumin</w:t>
            </w:r>
          </w:p>
        </w:tc>
      </w:tr>
      <w:tr w:rsidR="007C6A02" w:rsidRPr="00BC004C" w14:paraId="3D76036D" w14:textId="77777777" w:rsidTr="006D1817">
        <w:tc>
          <w:tcPr>
            <w:tcW w:w="2972" w:type="dxa"/>
            <w:tcBorders>
              <w:top w:val="single" w:sz="4" w:space="0" w:color="auto"/>
              <w:left w:val="single" w:sz="4" w:space="0" w:color="auto"/>
              <w:bottom w:val="single" w:sz="4" w:space="0" w:color="auto"/>
              <w:right w:val="single" w:sz="4" w:space="0" w:color="auto"/>
            </w:tcBorders>
            <w:vAlign w:val="center"/>
            <w:hideMark/>
          </w:tcPr>
          <w:p w14:paraId="7A18DFA8" w14:textId="77777777" w:rsidR="007C6A02" w:rsidRPr="00BC004C" w:rsidRDefault="007C6A02" w:rsidP="006D1817">
            <w:pPr>
              <w:pStyle w:val="In-TextTableBodytext"/>
              <w:jc w:val="left"/>
              <w:rPr>
                <w:sz w:val="20"/>
                <w:szCs w:val="20"/>
              </w:rPr>
            </w:pPr>
            <w:r w:rsidRPr="00BC004C">
              <w:rPr>
                <w:sz w:val="20"/>
                <w:szCs w:val="20"/>
              </w:rPr>
              <w:t>Hematology:</w:t>
            </w:r>
          </w:p>
        </w:tc>
        <w:tc>
          <w:tcPr>
            <w:tcW w:w="6044" w:type="dxa"/>
            <w:tcBorders>
              <w:top w:val="single" w:sz="4" w:space="0" w:color="auto"/>
              <w:left w:val="single" w:sz="4" w:space="0" w:color="auto"/>
              <w:bottom w:val="single" w:sz="4" w:space="0" w:color="auto"/>
              <w:right w:val="single" w:sz="4" w:space="0" w:color="auto"/>
            </w:tcBorders>
            <w:vAlign w:val="center"/>
            <w:hideMark/>
          </w:tcPr>
          <w:p w14:paraId="27492DFD" w14:textId="77777777" w:rsidR="007C6A02" w:rsidRPr="00BC004C" w:rsidRDefault="007C6A02" w:rsidP="006D1817">
            <w:pPr>
              <w:pStyle w:val="In-TextTableBodytext"/>
              <w:jc w:val="left"/>
              <w:rPr>
                <w:sz w:val="20"/>
                <w:szCs w:val="20"/>
              </w:rPr>
            </w:pPr>
            <w:r w:rsidRPr="00BC004C">
              <w:rPr>
                <w:sz w:val="20"/>
                <w:szCs w:val="20"/>
              </w:rPr>
              <w:t>White cell count with differential (absolute values of neutrophil, lymphocyte, monocyte, eosinophil, and basophil), red cell count, hemoglobin, hematocrit, mean corpuscular volume, and platelet count</w:t>
            </w:r>
          </w:p>
        </w:tc>
      </w:tr>
      <w:tr w:rsidR="007C6A02" w:rsidRPr="00BC004C" w14:paraId="276FE6E4" w14:textId="77777777" w:rsidTr="006D1817">
        <w:tc>
          <w:tcPr>
            <w:tcW w:w="2972" w:type="dxa"/>
            <w:tcBorders>
              <w:top w:val="single" w:sz="4" w:space="0" w:color="auto"/>
              <w:left w:val="single" w:sz="4" w:space="0" w:color="auto"/>
              <w:bottom w:val="single" w:sz="4" w:space="0" w:color="auto"/>
              <w:right w:val="single" w:sz="4" w:space="0" w:color="auto"/>
            </w:tcBorders>
            <w:vAlign w:val="center"/>
            <w:hideMark/>
          </w:tcPr>
          <w:p w14:paraId="736E2F22" w14:textId="58296A1F" w:rsidR="007C6A02" w:rsidRPr="00BC004C" w:rsidRDefault="007C6A02" w:rsidP="006D1817">
            <w:pPr>
              <w:pStyle w:val="In-TextTableBodytext"/>
              <w:jc w:val="left"/>
              <w:rPr>
                <w:bCs/>
                <w:sz w:val="20"/>
                <w:szCs w:val="20"/>
              </w:rPr>
            </w:pPr>
            <w:r w:rsidRPr="00BC004C">
              <w:rPr>
                <w:sz w:val="20"/>
                <w:szCs w:val="20"/>
              </w:rPr>
              <w:t>Serology</w:t>
            </w:r>
            <w:r w:rsidR="00662BBF" w:rsidRPr="00662BBF">
              <w:rPr>
                <w:sz w:val="20"/>
                <w:szCs w:val="20"/>
                <w:vertAlign w:val="superscript"/>
              </w:rPr>
              <w:t>2</w:t>
            </w:r>
            <w:r w:rsidRPr="00BC004C">
              <w:rPr>
                <w:sz w:val="20"/>
                <w:szCs w:val="20"/>
              </w:rPr>
              <w:t>:</w:t>
            </w:r>
          </w:p>
        </w:tc>
        <w:tc>
          <w:tcPr>
            <w:tcW w:w="6044" w:type="dxa"/>
            <w:tcBorders>
              <w:top w:val="single" w:sz="4" w:space="0" w:color="auto"/>
              <w:left w:val="single" w:sz="4" w:space="0" w:color="auto"/>
              <w:bottom w:val="single" w:sz="4" w:space="0" w:color="auto"/>
              <w:right w:val="single" w:sz="4" w:space="0" w:color="auto"/>
            </w:tcBorders>
            <w:vAlign w:val="center"/>
            <w:hideMark/>
          </w:tcPr>
          <w:p w14:paraId="65131094" w14:textId="77777777" w:rsidR="007C6A02" w:rsidRPr="00BC004C" w:rsidRDefault="007C6A02" w:rsidP="006D1817">
            <w:pPr>
              <w:pStyle w:val="In-TextTableBodytext"/>
              <w:jc w:val="left"/>
              <w:rPr>
                <w:sz w:val="20"/>
                <w:szCs w:val="20"/>
              </w:rPr>
            </w:pPr>
            <w:r w:rsidRPr="00BC004C">
              <w:rPr>
                <w:sz w:val="20"/>
                <w:szCs w:val="20"/>
              </w:rPr>
              <w:t>Human immunodeficiency virus (HIV) Ag/Ab Combo, Hepatitis B (HBsAg (B)) and Hepatitis C (HCV (C))</w:t>
            </w:r>
          </w:p>
        </w:tc>
      </w:tr>
      <w:tr w:rsidR="007C6A02" w:rsidRPr="00BC004C" w14:paraId="155E72FF" w14:textId="77777777" w:rsidTr="006D1817">
        <w:tc>
          <w:tcPr>
            <w:tcW w:w="2972" w:type="dxa"/>
            <w:tcBorders>
              <w:top w:val="single" w:sz="4" w:space="0" w:color="auto"/>
              <w:left w:val="single" w:sz="4" w:space="0" w:color="auto"/>
              <w:bottom w:val="single" w:sz="4" w:space="0" w:color="auto"/>
              <w:right w:val="single" w:sz="4" w:space="0" w:color="auto"/>
            </w:tcBorders>
            <w:vAlign w:val="center"/>
            <w:hideMark/>
          </w:tcPr>
          <w:p w14:paraId="0AF98C9A" w14:textId="6BCF8B52" w:rsidR="007C6A02" w:rsidRPr="00BC004C" w:rsidRDefault="007C6A02" w:rsidP="006D1817">
            <w:pPr>
              <w:pStyle w:val="In-TextTableBodytext"/>
              <w:jc w:val="left"/>
              <w:rPr>
                <w:sz w:val="20"/>
                <w:szCs w:val="20"/>
              </w:rPr>
            </w:pPr>
            <w:r w:rsidRPr="00BC004C">
              <w:rPr>
                <w:bCs/>
                <w:sz w:val="20"/>
                <w:szCs w:val="20"/>
              </w:rPr>
              <w:t>Urinalysis</w:t>
            </w:r>
            <w:r w:rsidR="00662BBF" w:rsidRPr="00662BBF">
              <w:rPr>
                <w:bCs/>
                <w:sz w:val="20"/>
                <w:szCs w:val="20"/>
                <w:vertAlign w:val="superscript"/>
              </w:rPr>
              <w:t>2</w:t>
            </w:r>
            <w:r w:rsidRPr="00BC004C">
              <w:rPr>
                <w:sz w:val="20"/>
                <w:szCs w:val="20"/>
              </w:rPr>
              <w:t>:</w:t>
            </w:r>
          </w:p>
        </w:tc>
        <w:tc>
          <w:tcPr>
            <w:tcW w:w="6044" w:type="dxa"/>
            <w:tcBorders>
              <w:top w:val="single" w:sz="4" w:space="0" w:color="auto"/>
              <w:left w:val="single" w:sz="4" w:space="0" w:color="auto"/>
              <w:bottom w:val="single" w:sz="4" w:space="0" w:color="auto"/>
              <w:right w:val="single" w:sz="4" w:space="0" w:color="auto"/>
            </w:tcBorders>
            <w:vAlign w:val="center"/>
            <w:hideMark/>
          </w:tcPr>
          <w:p w14:paraId="2293A645" w14:textId="77777777" w:rsidR="007C6A02" w:rsidRPr="00BC004C" w:rsidRDefault="007C6A02" w:rsidP="006D1817">
            <w:pPr>
              <w:pStyle w:val="In-TextTableBodytext"/>
              <w:jc w:val="left"/>
              <w:rPr>
                <w:sz w:val="20"/>
                <w:szCs w:val="20"/>
              </w:rPr>
            </w:pPr>
            <w:r w:rsidRPr="00BC004C">
              <w:rPr>
                <w:sz w:val="20"/>
                <w:szCs w:val="20"/>
              </w:rPr>
              <w:t xml:space="preserve">Color, clarity, specific gravity, pH, leukocyte, protein, glucose, ketones, bilirubin, blood, nitrite, urobilinogen. Microscopic examination will only be performed if the dipstick test is outside of the reference range for leukocyte, blood, </w:t>
            </w:r>
            <w:proofErr w:type="gramStart"/>
            <w:r w:rsidRPr="00BC004C">
              <w:rPr>
                <w:sz w:val="20"/>
                <w:szCs w:val="20"/>
              </w:rPr>
              <w:t>nitrite</w:t>
            </w:r>
            <w:proofErr w:type="gramEnd"/>
            <w:r w:rsidRPr="00BC004C">
              <w:rPr>
                <w:sz w:val="20"/>
                <w:szCs w:val="20"/>
              </w:rPr>
              <w:t xml:space="preserve"> or protein</w:t>
            </w:r>
          </w:p>
        </w:tc>
      </w:tr>
      <w:tr w:rsidR="007C6A02" w:rsidRPr="00BC004C" w14:paraId="00FD25E5" w14:textId="77777777" w:rsidTr="006D1817">
        <w:tc>
          <w:tcPr>
            <w:tcW w:w="2972" w:type="dxa"/>
            <w:tcBorders>
              <w:top w:val="single" w:sz="4" w:space="0" w:color="auto"/>
              <w:left w:val="single" w:sz="4" w:space="0" w:color="auto"/>
              <w:bottom w:val="single" w:sz="4" w:space="0" w:color="auto"/>
              <w:right w:val="single" w:sz="4" w:space="0" w:color="auto"/>
            </w:tcBorders>
            <w:vAlign w:val="center"/>
            <w:hideMark/>
          </w:tcPr>
          <w:p w14:paraId="636E5084" w14:textId="77777777" w:rsidR="007C6A02" w:rsidRPr="00BC004C" w:rsidRDefault="007C6A02" w:rsidP="006D1817">
            <w:pPr>
              <w:pStyle w:val="In-TextTableBodytext"/>
              <w:jc w:val="left"/>
              <w:rPr>
                <w:bCs/>
                <w:sz w:val="20"/>
                <w:szCs w:val="20"/>
              </w:rPr>
            </w:pPr>
            <w:r w:rsidRPr="00BC004C">
              <w:rPr>
                <w:sz w:val="20"/>
                <w:szCs w:val="20"/>
              </w:rPr>
              <w:t>Urine drug screen:</w:t>
            </w:r>
          </w:p>
        </w:tc>
        <w:tc>
          <w:tcPr>
            <w:tcW w:w="6044" w:type="dxa"/>
            <w:tcBorders>
              <w:top w:val="single" w:sz="4" w:space="0" w:color="auto"/>
              <w:left w:val="single" w:sz="4" w:space="0" w:color="auto"/>
              <w:bottom w:val="single" w:sz="4" w:space="0" w:color="auto"/>
              <w:right w:val="single" w:sz="4" w:space="0" w:color="auto"/>
            </w:tcBorders>
            <w:vAlign w:val="center"/>
            <w:hideMark/>
          </w:tcPr>
          <w:p w14:paraId="1A13B46B" w14:textId="77777777" w:rsidR="007C6A02" w:rsidRPr="00BC004C" w:rsidRDefault="007C6A02" w:rsidP="006D1817">
            <w:pPr>
              <w:pStyle w:val="In-TextTableBodytext"/>
              <w:jc w:val="left"/>
              <w:rPr>
                <w:sz w:val="20"/>
                <w:szCs w:val="20"/>
              </w:rPr>
            </w:pPr>
            <w:r w:rsidRPr="00BC004C">
              <w:rPr>
                <w:sz w:val="20"/>
                <w:szCs w:val="20"/>
              </w:rPr>
              <w:t xml:space="preserve">Amphetamines, barbiturates, cannabinoids, cocaine, cotinine, </w:t>
            </w:r>
            <w:proofErr w:type="gramStart"/>
            <w:r w:rsidRPr="00BC004C">
              <w:rPr>
                <w:sz w:val="20"/>
                <w:szCs w:val="20"/>
              </w:rPr>
              <w:t>opiates</w:t>
            </w:r>
            <w:proofErr w:type="gramEnd"/>
            <w:r w:rsidRPr="00BC004C">
              <w:rPr>
                <w:sz w:val="20"/>
                <w:szCs w:val="20"/>
              </w:rPr>
              <w:t xml:space="preserve"> and phencyclidine</w:t>
            </w:r>
          </w:p>
        </w:tc>
      </w:tr>
      <w:tr w:rsidR="007C6A02" w:rsidRPr="00BC004C" w14:paraId="65CE9FD8" w14:textId="77777777" w:rsidTr="006D1817">
        <w:tc>
          <w:tcPr>
            <w:tcW w:w="2972" w:type="dxa"/>
            <w:tcBorders>
              <w:top w:val="single" w:sz="4" w:space="0" w:color="auto"/>
              <w:left w:val="single" w:sz="4" w:space="0" w:color="auto"/>
              <w:bottom w:val="single" w:sz="4" w:space="0" w:color="auto"/>
              <w:right w:val="single" w:sz="4" w:space="0" w:color="auto"/>
            </w:tcBorders>
            <w:vAlign w:val="center"/>
            <w:hideMark/>
          </w:tcPr>
          <w:p w14:paraId="0AA37E70" w14:textId="77777777" w:rsidR="007C6A02" w:rsidRPr="00BC004C" w:rsidRDefault="007C6A02" w:rsidP="006D1817">
            <w:pPr>
              <w:pStyle w:val="In-TextTableBodytext"/>
              <w:jc w:val="left"/>
              <w:rPr>
                <w:sz w:val="20"/>
                <w:szCs w:val="20"/>
              </w:rPr>
            </w:pPr>
            <w:r w:rsidRPr="00BC004C">
              <w:rPr>
                <w:sz w:val="20"/>
                <w:szCs w:val="20"/>
              </w:rPr>
              <w:t>Serum Pregnancy test:</w:t>
            </w:r>
          </w:p>
        </w:tc>
        <w:tc>
          <w:tcPr>
            <w:tcW w:w="6044" w:type="dxa"/>
            <w:tcBorders>
              <w:top w:val="single" w:sz="4" w:space="0" w:color="auto"/>
              <w:left w:val="single" w:sz="4" w:space="0" w:color="auto"/>
              <w:bottom w:val="single" w:sz="4" w:space="0" w:color="auto"/>
              <w:right w:val="single" w:sz="4" w:space="0" w:color="auto"/>
            </w:tcBorders>
            <w:vAlign w:val="center"/>
            <w:hideMark/>
          </w:tcPr>
          <w:p w14:paraId="3D3643AA" w14:textId="77777777" w:rsidR="007C6A02" w:rsidRPr="00BC004C" w:rsidRDefault="007C6A02" w:rsidP="006D1817">
            <w:pPr>
              <w:pStyle w:val="In-TextTableBodytext"/>
              <w:jc w:val="left"/>
              <w:rPr>
                <w:sz w:val="20"/>
                <w:szCs w:val="20"/>
              </w:rPr>
            </w:pPr>
            <w:r w:rsidRPr="00BC004C">
              <w:rPr>
                <w:sz w:val="20"/>
                <w:szCs w:val="20"/>
              </w:rPr>
              <w:t>To be performed for all female subjects</w:t>
            </w:r>
          </w:p>
        </w:tc>
      </w:tr>
      <w:tr w:rsidR="007C6A02" w:rsidRPr="00BC004C" w14:paraId="402EEE8C" w14:textId="77777777" w:rsidTr="006D1817">
        <w:tc>
          <w:tcPr>
            <w:tcW w:w="2972" w:type="dxa"/>
            <w:tcBorders>
              <w:top w:val="single" w:sz="4" w:space="0" w:color="auto"/>
              <w:left w:val="single" w:sz="4" w:space="0" w:color="auto"/>
              <w:bottom w:val="single" w:sz="4" w:space="0" w:color="auto"/>
              <w:right w:val="single" w:sz="4" w:space="0" w:color="auto"/>
            </w:tcBorders>
            <w:vAlign w:val="center"/>
            <w:hideMark/>
          </w:tcPr>
          <w:p w14:paraId="42D703C6" w14:textId="77777777" w:rsidR="007C6A02" w:rsidRPr="00BC004C" w:rsidRDefault="007C6A02" w:rsidP="006D1817">
            <w:pPr>
              <w:pStyle w:val="In-TextTableBodytext"/>
              <w:jc w:val="left"/>
              <w:rPr>
                <w:sz w:val="20"/>
                <w:szCs w:val="20"/>
                <w:highlight w:val="yellow"/>
              </w:rPr>
            </w:pPr>
            <w:r w:rsidRPr="00BC004C">
              <w:rPr>
                <w:sz w:val="20"/>
                <w:szCs w:val="20"/>
              </w:rPr>
              <w:t>Alcohol screen:</w:t>
            </w:r>
          </w:p>
        </w:tc>
        <w:tc>
          <w:tcPr>
            <w:tcW w:w="6044" w:type="dxa"/>
            <w:tcBorders>
              <w:top w:val="single" w:sz="4" w:space="0" w:color="auto"/>
              <w:left w:val="single" w:sz="4" w:space="0" w:color="auto"/>
              <w:bottom w:val="single" w:sz="4" w:space="0" w:color="auto"/>
              <w:right w:val="single" w:sz="4" w:space="0" w:color="auto"/>
            </w:tcBorders>
            <w:vAlign w:val="center"/>
            <w:hideMark/>
          </w:tcPr>
          <w:p w14:paraId="4DB8A8C2" w14:textId="77777777" w:rsidR="007C6A02" w:rsidRPr="00BC004C" w:rsidRDefault="007C6A02" w:rsidP="006D1817">
            <w:pPr>
              <w:pStyle w:val="In-TextTableBodytext"/>
              <w:jc w:val="left"/>
              <w:rPr>
                <w:sz w:val="20"/>
                <w:szCs w:val="20"/>
                <w:highlight w:val="yellow"/>
              </w:rPr>
            </w:pPr>
            <w:r w:rsidRPr="00BC004C">
              <w:rPr>
                <w:sz w:val="20"/>
                <w:szCs w:val="20"/>
              </w:rPr>
              <w:t>Alcohol breathalyzer or urine screen</w:t>
            </w:r>
          </w:p>
        </w:tc>
      </w:tr>
    </w:tbl>
    <w:p w14:paraId="2AD6FDAD" w14:textId="46F9DEF9" w:rsidR="00662BBF" w:rsidRPr="00662BBF" w:rsidRDefault="00662BBF" w:rsidP="00662BBF">
      <w:pPr>
        <w:pStyle w:val="FootnoteText"/>
        <w:rPr>
          <w:sz w:val="18"/>
          <w:szCs w:val="18"/>
          <w:lang w:val="en-CA"/>
        </w:rPr>
      </w:pPr>
      <w:r w:rsidRPr="00662BBF">
        <w:rPr>
          <w:sz w:val="18"/>
          <w:szCs w:val="18"/>
          <w:vertAlign w:val="superscript"/>
        </w:rPr>
        <w:t>1</w:t>
      </w:r>
      <w:r w:rsidRPr="00662BBF">
        <w:rPr>
          <w:sz w:val="18"/>
          <w:szCs w:val="18"/>
          <w:lang w:val="en-CA" w:eastAsia="en-GB"/>
        </w:rPr>
        <w:t xml:space="preserve"> </w:t>
      </w:r>
      <w:r w:rsidRPr="00662BBF">
        <w:rPr>
          <w:sz w:val="18"/>
          <w:szCs w:val="18"/>
          <w:lang w:val="en-CA" w:eastAsia="en-GB"/>
        </w:rPr>
        <w:t>At</w:t>
      </w:r>
      <w:r w:rsidRPr="00662BBF">
        <w:rPr>
          <w:sz w:val="18"/>
          <w:szCs w:val="18"/>
        </w:rPr>
        <w:t xml:space="preserve"> the End of Study, only alanine aminotransferase and creatinine will be measured.</w:t>
      </w:r>
    </w:p>
    <w:p w14:paraId="6382430E" w14:textId="003A9E92" w:rsidR="007C6A02" w:rsidRPr="00662BBF" w:rsidRDefault="00662BBF" w:rsidP="00662BBF">
      <w:pPr>
        <w:spacing w:after="160" w:line="259" w:lineRule="auto"/>
        <w:rPr>
          <w:rFonts w:eastAsia="Calibri"/>
          <w:b/>
          <w:sz w:val="18"/>
          <w:szCs w:val="18"/>
          <w:lang w:val="en-CA" w:eastAsia="en-US"/>
        </w:rPr>
      </w:pPr>
      <w:r w:rsidRPr="00662BBF">
        <w:rPr>
          <w:sz w:val="18"/>
          <w:szCs w:val="18"/>
          <w:vertAlign w:val="superscript"/>
        </w:rPr>
        <w:t>2</w:t>
      </w:r>
      <w:r w:rsidRPr="00662BBF">
        <w:rPr>
          <w:sz w:val="18"/>
          <w:szCs w:val="18"/>
        </w:rPr>
        <w:t xml:space="preserve"> </w:t>
      </w:r>
      <w:r w:rsidRPr="00662BBF">
        <w:rPr>
          <w:sz w:val="18"/>
          <w:szCs w:val="18"/>
        </w:rPr>
        <w:t>Performed at the s</w:t>
      </w:r>
      <w:proofErr w:type="spellStart"/>
      <w:r w:rsidRPr="00662BBF">
        <w:rPr>
          <w:sz w:val="18"/>
          <w:szCs w:val="18"/>
          <w:lang w:val="en-CA"/>
        </w:rPr>
        <w:t>creening</w:t>
      </w:r>
      <w:proofErr w:type="spellEnd"/>
      <w:r w:rsidRPr="00662BBF">
        <w:rPr>
          <w:sz w:val="18"/>
          <w:szCs w:val="18"/>
          <w:lang w:val="en-CA"/>
        </w:rPr>
        <w:t xml:space="preserve"> visit only.</w:t>
      </w:r>
    </w:p>
    <w:p w14:paraId="333AC5D8" w14:textId="77777777" w:rsidR="007C6A02" w:rsidRPr="009A0EC4" w:rsidRDefault="007C6A02" w:rsidP="009A0EC4">
      <w:pPr>
        <w:pStyle w:val="NormalParagraphHeading3"/>
        <w:rPr>
          <w:sz w:val="22"/>
          <w:szCs w:val="22"/>
        </w:rPr>
      </w:pPr>
    </w:p>
    <w:p w14:paraId="7B7BE46C" w14:textId="77777777" w:rsidR="009A0EC4" w:rsidRPr="009A0EC4" w:rsidRDefault="009A0EC4" w:rsidP="00BC004C">
      <w:pPr>
        <w:pStyle w:val="Heading2"/>
        <w:rPr>
          <w:rFonts w:ascii="Times New Roman" w:hAnsi="Times New Roman"/>
          <w:sz w:val="22"/>
          <w:szCs w:val="22"/>
        </w:rPr>
      </w:pPr>
      <w:bookmarkStart w:id="78" w:name="_Toc488417789"/>
      <w:bookmarkStart w:id="79" w:name="_Toc488647909"/>
      <w:bookmarkStart w:id="80" w:name="_Toc488649216"/>
      <w:bookmarkStart w:id="81" w:name="_Toc488657804"/>
      <w:bookmarkStart w:id="82" w:name="_Toc488658136"/>
      <w:bookmarkStart w:id="83" w:name="_Toc488666916"/>
      <w:bookmarkStart w:id="84" w:name="_Toc488417790"/>
      <w:bookmarkStart w:id="85" w:name="_Toc488647910"/>
      <w:bookmarkStart w:id="86" w:name="_Toc488649217"/>
      <w:bookmarkStart w:id="87" w:name="_Toc488657805"/>
      <w:bookmarkStart w:id="88" w:name="_Toc488658137"/>
      <w:bookmarkStart w:id="89" w:name="_Toc488666917"/>
      <w:bookmarkStart w:id="90" w:name="_Toc488417791"/>
      <w:bookmarkStart w:id="91" w:name="_Toc488647911"/>
      <w:bookmarkStart w:id="92" w:name="_Toc488649218"/>
      <w:bookmarkStart w:id="93" w:name="_Toc488657806"/>
      <w:bookmarkStart w:id="94" w:name="_Toc488658138"/>
      <w:bookmarkStart w:id="95" w:name="_Toc488666918"/>
      <w:bookmarkStart w:id="96" w:name="_Toc488417793"/>
      <w:bookmarkStart w:id="97" w:name="_Toc488647913"/>
      <w:bookmarkStart w:id="98" w:name="_Toc488649220"/>
      <w:bookmarkStart w:id="99" w:name="_Toc488657808"/>
      <w:bookmarkStart w:id="100" w:name="_Toc488658140"/>
      <w:bookmarkStart w:id="101" w:name="_Toc488666920"/>
      <w:bookmarkStart w:id="102" w:name="_Toc486332013"/>
      <w:bookmarkStart w:id="103" w:name="_Toc486425509"/>
      <w:bookmarkStart w:id="104" w:name="_Toc486425627"/>
      <w:bookmarkStart w:id="105" w:name="_Toc486425747"/>
      <w:bookmarkStart w:id="106" w:name="_Toc486446800"/>
      <w:bookmarkStart w:id="107" w:name="_Toc486502646"/>
      <w:bookmarkStart w:id="108" w:name="_Toc487454911"/>
      <w:bookmarkStart w:id="109" w:name="_Toc487455031"/>
      <w:bookmarkStart w:id="110" w:name="_Toc487455152"/>
      <w:bookmarkStart w:id="111" w:name="_Toc487455271"/>
      <w:bookmarkStart w:id="112" w:name="_Toc487466461"/>
      <w:bookmarkStart w:id="113" w:name="_Toc487466594"/>
      <w:bookmarkStart w:id="114" w:name="_Toc486332014"/>
      <w:bookmarkStart w:id="115" w:name="_Toc486425510"/>
      <w:bookmarkStart w:id="116" w:name="_Toc486425628"/>
      <w:bookmarkStart w:id="117" w:name="_Toc486425748"/>
      <w:bookmarkStart w:id="118" w:name="_Toc486446801"/>
      <w:bookmarkStart w:id="119" w:name="_Toc486502647"/>
      <w:bookmarkStart w:id="120" w:name="_Toc487454912"/>
      <w:bookmarkStart w:id="121" w:name="_Toc487455032"/>
      <w:bookmarkStart w:id="122" w:name="_Toc487455153"/>
      <w:bookmarkStart w:id="123" w:name="_Toc487455272"/>
      <w:bookmarkStart w:id="124" w:name="_Toc487466462"/>
      <w:bookmarkStart w:id="125" w:name="_Toc487466595"/>
      <w:bookmarkStart w:id="126" w:name="_Toc487466464"/>
      <w:bookmarkStart w:id="127" w:name="_Toc487466597"/>
      <w:bookmarkStart w:id="128" w:name="_Toc48818254"/>
      <w:bookmarkStart w:id="129" w:name="_Toc32484665"/>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9A0EC4">
        <w:rPr>
          <w:rFonts w:ascii="Times New Roman" w:hAnsi="Times New Roman"/>
          <w:sz w:val="22"/>
          <w:szCs w:val="22"/>
        </w:rPr>
        <w:t>Oral Mucosa Examination</w:t>
      </w:r>
      <w:bookmarkEnd w:id="128"/>
      <w:bookmarkEnd w:id="129"/>
    </w:p>
    <w:p w14:paraId="5AF70DB3" w14:textId="30B91293" w:rsidR="009A0EC4" w:rsidRPr="009A0EC4" w:rsidRDefault="009A0EC4" w:rsidP="009A0EC4">
      <w:pPr>
        <w:pStyle w:val="NormalParagraphHeading3"/>
        <w:rPr>
          <w:sz w:val="22"/>
          <w:szCs w:val="22"/>
        </w:rPr>
      </w:pPr>
      <w:r w:rsidRPr="009A0EC4">
        <w:rPr>
          <w:sz w:val="22"/>
          <w:szCs w:val="22"/>
        </w:rPr>
        <w:t>Examination of the oral mucosa (including local irritancy) will be performed at screening, at admission to the clinical site and during each study period as scheduled in</w:t>
      </w:r>
      <w:r w:rsidR="0079025D">
        <w:rPr>
          <w:sz w:val="22"/>
          <w:szCs w:val="22"/>
        </w:rPr>
        <w:t xml:space="preserve"> </w:t>
      </w:r>
      <w:r w:rsidR="0079025D" w:rsidRPr="0079025D">
        <w:rPr>
          <w:b/>
          <w:bCs/>
          <w:sz w:val="22"/>
          <w:szCs w:val="22"/>
        </w:rPr>
        <w:t>Table 1</w:t>
      </w:r>
      <w:r w:rsidRPr="009A0EC4">
        <w:rPr>
          <w:color w:val="0000FF"/>
          <w:sz w:val="22"/>
          <w:szCs w:val="22"/>
        </w:rPr>
        <w:t xml:space="preserve">. </w:t>
      </w:r>
      <w:r w:rsidRPr="009A0EC4">
        <w:rPr>
          <w:sz w:val="22"/>
          <w:szCs w:val="22"/>
        </w:rPr>
        <w:t>On-study time points for oral mucosa examination are presented in</w:t>
      </w:r>
      <w:r w:rsidR="007C6A02">
        <w:rPr>
          <w:sz w:val="22"/>
          <w:szCs w:val="22"/>
        </w:rPr>
        <w:t xml:space="preserve"> </w:t>
      </w:r>
      <w:r w:rsidR="007C6A02" w:rsidRPr="007C6A02">
        <w:rPr>
          <w:b/>
          <w:bCs/>
          <w:sz w:val="22"/>
          <w:szCs w:val="22"/>
        </w:rPr>
        <w:t>Table 5</w:t>
      </w:r>
      <w:r w:rsidRPr="009A0EC4">
        <w:rPr>
          <w:sz w:val="22"/>
          <w:szCs w:val="22"/>
        </w:rPr>
        <w:t>.</w:t>
      </w:r>
    </w:p>
    <w:p w14:paraId="37F8797C" w14:textId="77777777" w:rsidR="0079025D" w:rsidRDefault="0079025D" w:rsidP="009A0EC4">
      <w:pPr>
        <w:pStyle w:val="Caption"/>
        <w:rPr>
          <w:sz w:val="22"/>
          <w:szCs w:val="22"/>
        </w:rPr>
      </w:pPr>
      <w:bookmarkStart w:id="130" w:name="_Ref17968681"/>
      <w:bookmarkStart w:id="131" w:name="_Toc32484732"/>
      <w:bookmarkStart w:id="132" w:name="_Toc48127864"/>
    </w:p>
    <w:p w14:paraId="52D57FA4" w14:textId="41E1FA72" w:rsidR="009A0EC4" w:rsidRPr="009A0EC4" w:rsidRDefault="009A0EC4" w:rsidP="009A0EC4">
      <w:pPr>
        <w:pStyle w:val="Caption"/>
        <w:rPr>
          <w:sz w:val="22"/>
          <w:szCs w:val="22"/>
        </w:rPr>
      </w:pPr>
      <w:r w:rsidRPr="009A0EC4">
        <w:rPr>
          <w:sz w:val="22"/>
          <w:szCs w:val="22"/>
        </w:rPr>
        <w:t xml:space="preserve">Table </w:t>
      </w:r>
      <w:r w:rsidR="007C6A02">
        <w:rPr>
          <w:sz w:val="22"/>
          <w:szCs w:val="22"/>
        </w:rPr>
        <w:t>5</w:t>
      </w:r>
      <w:bookmarkEnd w:id="130"/>
      <w:r w:rsidRPr="009A0EC4">
        <w:rPr>
          <w:sz w:val="22"/>
          <w:szCs w:val="22"/>
        </w:rPr>
        <w:t>. Oral Mucosa Examination Schedule</w:t>
      </w:r>
      <w:bookmarkEnd w:id="131"/>
      <w:bookmarkEnd w:id="132"/>
    </w:p>
    <w:tbl>
      <w:tblPr>
        <w:tblStyle w:val="TablePK"/>
        <w:tblW w:w="0" w:type="auto"/>
        <w:tblInd w:w="29" w:type="dxa"/>
        <w:tblLook w:val="04A0" w:firstRow="1" w:lastRow="0" w:firstColumn="1" w:lastColumn="0" w:noHBand="0" w:noVBand="1"/>
      </w:tblPr>
      <w:tblGrid>
        <w:gridCol w:w="5400"/>
      </w:tblGrid>
      <w:tr w:rsidR="009A0EC4" w:rsidRPr="00BC004C" w14:paraId="70D6B890" w14:textId="77777777" w:rsidTr="009A0E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0" w:type="dxa"/>
            <w:hideMark/>
          </w:tcPr>
          <w:p w14:paraId="638E9AD5" w14:textId="77777777" w:rsidR="009A0EC4" w:rsidRPr="00BC004C" w:rsidRDefault="009A0EC4">
            <w:pPr>
              <w:pStyle w:val="NormalHeading1"/>
              <w:spacing w:before="0"/>
              <w:ind w:left="0"/>
              <w:jc w:val="left"/>
              <w:rPr>
                <w:rFonts w:ascii="Times New Roman" w:hAnsi="Times New Roman" w:cs="Times New Roman"/>
                <w:b/>
                <w:sz w:val="20"/>
                <w:szCs w:val="20"/>
                <w:lang w:val="en-CA"/>
              </w:rPr>
            </w:pPr>
            <w:r w:rsidRPr="00BC004C">
              <w:rPr>
                <w:rFonts w:ascii="Times New Roman" w:hAnsi="Times New Roman" w:cs="Times New Roman"/>
                <w:b/>
                <w:sz w:val="20"/>
                <w:szCs w:val="20"/>
                <w:lang w:val="en-CA"/>
              </w:rPr>
              <w:t>Oral Mucosa Examination - Scheduled Time Points</w:t>
            </w:r>
          </w:p>
        </w:tc>
      </w:tr>
      <w:tr w:rsidR="009A0EC4" w:rsidRPr="00BC004C" w14:paraId="7F6A31DF" w14:textId="77777777" w:rsidTr="009A0EC4">
        <w:tc>
          <w:tcPr>
            <w:cnfStyle w:val="001000000000" w:firstRow="0" w:lastRow="0" w:firstColumn="1" w:lastColumn="0" w:oddVBand="0" w:evenVBand="0" w:oddHBand="0" w:evenHBand="0" w:firstRowFirstColumn="0" w:firstRowLastColumn="0" w:lastRowFirstColumn="0" w:lastRowLastColumn="0"/>
            <w:tcW w:w="5400" w:type="dxa"/>
            <w:tcBorders>
              <w:top w:val="single" w:sz="4" w:space="0" w:color="auto"/>
              <w:left w:val="nil"/>
              <w:bottom w:val="nil"/>
              <w:right w:val="nil"/>
            </w:tcBorders>
            <w:hideMark/>
          </w:tcPr>
          <w:p w14:paraId="78736EAF" w14:textId="77777777" w:rsidR="009A0EC4" w:rsidRPr="00BC004C" w:rsidRDefault="009A0EC4">
            <w:pPr>
              <w:pStyle w:val="NormalHeading1"/>
              <w:spacing w:before="0"/>
              <w:jc w:val="left"/>
              <w:rPr>
                <w:rFonts w:ascii="Times New Roman" w:hAnsi="Times New Roman" w:cs="Times New Roman"/>
                <w:sz w:val="20"/>
                <w:szCs w:val="20"/>
              </w:rPr>
            </w:pPr>
            <w:r w:rsidRPr="00BC004C">
              <w:rPr>
                <w:rFonts w:ascii="Times New Roman" w:hAnsi="Times New Roman" w:cs="Times New Roman"/>
                <w:sz w:val="20"/>
                <w:szCs w:val="20"/>
              </w:rPr>
              <w:t>Prior to dosing</w:t>
            </w:r>
          </w:p>
        </w:tc>
      </w:tr>
      <w:tr w:rsidR="009A0EC4" w:rsidRPr="00BC004C" w14:paraId="5DA97001" w14:textId="77777777" w:rsidTr="009A0EC4">
        <w:tc>
          <w:tcPr>
            <w:cnfStyle w:val="001000000000" w:firstRow="0" w:lastRow="0" w:firstColumn="1" w:lastColumn="0" w:oddVBand="0" w:evenVBand="0" w:oddHBand="0" w:evenHBand="0" w:firstRowFirstColumn="0" w:firstRowLastColumn="0" w:lastRowFirstColumn="0" w:lastRowLastColumn="0"/>
            <w:tcW w:w="5400" w:type="dxa"/>
            <w:tcBorders>
              <w:top w:val="nil"/>
              <w:left w:val="nil"/>
              <w:bottom w:val="nil"/>
              <w:right w:val="nil"/>
            </w:tcBorders>
            <w:hideMark/>
          </w:tcPr>
          <w:p w14:paraId="2808336C" w14:textId="77777777" w:rsidR="009A0EC4" w:rsidRPr="00BC004C" w:rsidRDefault="009A0EC4">
            <w:pPr>
              <w:pStyle w:val="NormalHeading1"/>
              <w:spacing w:before="0"/>
              <w:jc w:val="left"/>
              <w:rPr>
                <w:rFonts w:ascii="Times New Roman" w:hAnsi="Times New Roman" w:cs="Times New Roman"/>
                <w:sz w:val="20"/>
                <w:szCs w:val="20"/>
              </w:rPr>
            </w:pPr>
            <w:r w:rsidRPr="00BC004C">
              <w:rPr>
                <w:rFonts w:ascii="Times New Roman" w:hAnsi="Times New Roman" w:cs="Times New Roman"/>
                <w:sz w:val="20"/>
                <w:szCs w:val="20"/>
              </w:rPr>
              <w:t>At the time of end of use (Test* and Reference-1) or at the time of complete disintegration (Reference</w:t>
            </w:r>
            <w:r w:rsidRPr="00BC004C">
              <w:rPr>
                <w:rFonts w:ascii="Times New Roman" w:hAnsi="Times New Roman" w:cs="Times New Roman"/>
                <w:sz w:val="20"/>
                <w:szCs w:val="20"/>
              </w:rPr>
              <w:noBreakHyphen/>
              <w:t>2)</w:t>
            </w:r>
          </w:p>
        </w:tc>
      </w:tr>
      <w:tr w:rsidR="009A0EC4" w:rsidRPr="00BC004C" w14:paraId="0EC8A997" w14:textId="77777777" w:rsidTr="009A0EC4">
        <w:tc>
          <w:tcPr>
            <w:cnfStyle w:val="001000000000" w:firstRow="0" w:lastRow="0" w:firstColumn="1" w:lastColumn="0" w:oddVBand="0" w:evenVBand="0" w:oddHBand="0" w:evenHBand="0" w:firstRowFirstColumn="0" w:firstRowLastColumn="0" w:lastRowFirstColumn="0" w:lastRowLastColumn="0"/>
            <w:tcW w:w="5400" w:type="dxa"/>
            <w:tcBorders>
              <w:top w:val="nil"/>
              <w:left w:val="nil"/>
              <w:bottom w:val="single" w:sz="4" w:space="0" w:color="auto"/>
              <w:right w:val="nil"/>
            </w:tcBorders>
            <w:hideMark/>
          </w:tcPr>
          <w:p w14:paraId="483AB1ED" w14:textId="77777777" w:rsidR="009A0EC4" w:rsidRPr="00BC004C" w:rsidRDefault="009A0EC4">
            <w:pPr>
              <w:pStyle w:val="NormalHeading1"/>
              <w:spacing w:before="0"/>
              <w:jc w:val="left"/>
              <w:rPr>
                <w:rFonts w:ascii="Times New Roman" w:hAnsi="Times New Roman" w:cs="Times New Roman"/>
                <w:sz w:val="20"/>
                <w:szCs w:val="20"/>
              </w:rPr>
            </w:pPr>
            <w:r w:rsidRPr="00BC004C">
              <w:rPr>
                <w:rFonts w:ascii="Times New Roman" w:hAnsi="Times New Roman" w:cs="Times New Roman"/>
                <w:sz w:val="20"/>
                <w:szCs w:val="20"/>
              </w:rPr>
              <w:t xml:space="preserve">1 and 2 hours </w:t>
            </w:r>
            <w:proofErr w:type="spellStart"/>
            <w:r w:rsidRPr="00BC004C">
              <w:rPr>
                <w:rFonts w:ascii="Times New Roman" w:hAnsi="Times New Roman" w:cs="Times New Roman"/>
                <w:sz w:val="20"/>
                <w:szCs w:val="20"/>
              </w:rPr>
              <w:t>postdose</w:t>
            </w:r>
            <w:proofErr w:type="spellEnd"/>
          </w:p>
        </w:tc>
      </w:tr>
    </w:tbl>
    <w:p w14:paraId="431ECD30" w14:textId="77777777" w:rsidR="009A0EC4" w:rsidRPr="0079025D" w:rsidRDefault="009A0EC4" w:rsidP="009A0EC4">
      <w:pPr>
        <w:rPr>
          <w:sz w:val="18"/>
          <w:szCs w:val="18"/>
          <w:lang w:val="en-CA" w:eastAsia="en-US"/>
        </w:rPr>
      </w:pPr>
      <w:r w:rsidRPr="0079025D">
        <w:rPr>
          <w:sz w:val="18"/>
          <w:szCs w:val="18"/>
          <w:lang w:val="en-CA"/>
        </w:rPr>
        <w:t xml:space="preserve">*For the Test product, the end of use timepoint (expected to occur approximately 60 minutes following Test product administration) will correspond to the 1-hour </w:t>
      </w:r>
      <w:proofErr w:type="spellStart"/>
      <w:r w:rsidRPr="0079025D">
        <w:rPr>
          <w:sz w:val="18"/>
          <w:szCs w:val="18"/>
          <w:lang w:val="en-CA"/>
        </w:rPr>
        <w:t>postdose</w:t>
      </w:r>
      <w:proofErr w:type="spellEnd"/>
      <w:r w:rsidRPr="0079025D">
        <w:rPr>
          <w:sz w:val="18"/>
          <w:szCs w:val="18"/>
          <w:lang w:val="en-CA"/>
        </w:rPr>
        <w:t xml:space="preserve"> timepoint. In this case, the oral mucosa examination will only be performed once at </w:t>
      </w:r>
      <w:proofErr w:type="gramStart"/>
      <w:r w:rsidRPr="0079025D">
        <w:rPr>
          <w:sz w:val="18"/>
          <w:szCs w:val="18"/>
          <w:lang w:val="en-CA"/>
        </w:rPr>
        <w:t>1 hour</w:t>
      </w:r>
      <w:proofErr w:type="gramEnd"/>
      <w:r w:rsidRPr="0079025D">
        <w:rPr>
          <w:sz w:val="18"/>
          <w:szCs w:val="18"/>
          <w:lang w:val="en-CA"/>
        </w:rPr>
        <w:t xml:space="preserve"> </w:t>
      </w:r>
      <w:proofErr w:type="spellStart"/>
      <w:r w:rsidRPr="0079025D">
        <w:rPr>
          <w:sz w:val="18"/>
          <w:szCs w:val="18"/>
          <w:lang w:val="en-CA"/>
        </w:rPr>
        <w:t>postdose</w:t>
      </w:r>
      <w:proofErr w:type="spellEnd"/>
      <w:r w:rsidRPr="0079025D">
        <w:rPr>
          <w:sz w:val="18"/>
          <w:szCs w:val="18"/>
          <w:lang w:val="en-CA"/>
        </w:rPr>
        <w:t xml:space="preserve"> and this will not be noted as a protocol deviation. </w:t>
      </w:r>
    </w:p>
    <w:p w14:paraId="3389721D" w14:textId="76D0ED63" w:rsidR="00AD1E39" w:rsidRPr="00BC004C" w:rsidRDefault="00AD1E39" w:rsidP="00AD1E39">
      <w:pPr>
        <w:pStyle w:val="Heading1"/>
        <w:rPr>
          <w:rFonts w:ascii="Times New Roman" w:hAnsi="Times New Roman"/>
          <w:b/>
          <w:sz w:val="22"/>
          <w:szCs w:val="22"/>
        </w:rPr>
      </w:pPr>
      <w:bookmarkStart w:id="133" w:name="_Ref462309750"/>
      <w:bookmarkStart w:id="134" w:name="_Ref517345531"/>
      <w:bookmarkStart w:id="135" w:name="_Toc32484729"/>
      <w:bookmarkStart w:id="136" w:name="_Toc48127861"/>
      <w:bookmarkStart w:id="137" w:name="Appendix6"/>
      <w:bookmarkStart w:id="138" w:name="_Toc32484727"/>
      <w:bookmarkStart w:id="139" w:name="_Toc48034729"/>
      <w:bookmarkStart w:id="140" w:name="_Ref462125627"/>
      <w:bookmarkStart w:id="141" w:name="_Toc488412858"/>
      <w:bookmarkStart w:id="142" w:name="_Toc32484671"/>
      <w:bookmarkStart w:id="143" w:name="_Toc48034672"/>
      <w:bookmarkStart w:id="144" w:name="_Toc107832173"/>
      <w:bookmarkStart w:id="145" w:name="_Toc203209719"/>
      <w:r w:rsidRPr="00BC004C">
        <w:rPr>
          <w:rFonts w:ascii="Times New Roman" w:hAnsi="Times New Roman"/>
          <w:b/>
          <w:sz w:val="22"/>
          <w:szCs w:val="22"/>
        </w:rPr>
        <w:lastRenderedPageBreak/>
        <w:t xml:space="preserve">ADVERSE EVENTS </w:t>
      </w:r>
      <w:bookmarkEnd w:id="140"/>
      <w:bookmarkEnd w:id="141"/>
      <w:bookmarkEnd w:id="142"/>
      <w:bookmarkEnd w:id="143"/>
    </w:p>
    <w:p w14:paraId="3AEB9D93" w14:textId="77777777" w:rsidR="00AD1E39" w:rsidRPr="00BC004C" w:rsidRDefault="00AD1E39" w:rsidP="00AD1E39">
      <w:pPr>
        <w:pStyle w:val="Heading2"/>
        <w:rPr>
          <w:rFonts w:ascii="Times New Roman" w:hAnsi="Times New Roman"/>
          <w:sz w:val="22"/>
          <w:szCs w:val="22"/>
        </w:rPr>
      </w:pPr>
      <w:bookmarkStart w:id="146" w:name="_Toc394312412"/>
      <w:bookmarkStart w:id="147" w:name="_Toc488412859"/>
      <w:bookmarkStart w:id="148" w:name="_Toc32484672"/>
      <w:bookmarkStart w:id="149" w:name="_Toc48034673"/>
      <w:bookmarkEnd w:id="144"/>
      <w:bookmarkEnd w:id="145"/>
      <w:r w:rsidRPr="00BC004C">
        <w:rPr>
          <w:rFonts w:ascii="Times New Roman" w:hAnsi="Times New Roman"/>
          <w:sz w:val="22"/>
          <w:szCs w:val="22"/>
        </w:rPr>
        <w:t>Definitions</w:t>
      </w:r>
      <w:bookmarkEnd w:id="146"/>
      <w:bookmarkEnd w:id="147"/>
      <w:bookmarkEnd w:id="148"/>
      <w:bookmarkEnd w:id="149"/>
    </w:p>
    <w:p w14:paraId="7C08DE79" w14:textId="77777777" w:rsidR="00AD1E39" w:rsidRPr="00BC004C" w:rsidRDefault="00AD1E39" w:rsidP="00AD1E39">
      <w:pPr>
        <w:pStyle w:val="NormalParagraphHeading2"/>
        <w:rPr>
          <w:sz w:val="22"/>
          <w:szCs w:val="22"/>
        </w:rPr>
      </w:pPr>
      <w:r w:rsidRPr="00BC004C">
        <w:rPr>
          <w:sz w:val="22"/>
          <w:szCs w:val="22"/>
        </w:rPr>
        <w:t xml:space="preserve">An AE is defined as any untoward medical occurrence in a subject administered an IP and which does not necessarily have a causal relationship with the treatment. An AE can therefore be any unfavorable and unintended sign (including a clinically significant abnormal clinical laboratory finding, for example), symptom, or disease temporally associated with the use of an IP, </w:t>
      </w:r>
      <w:proofErr w:type="gramStart"/>
      <w:r w:rsidRPr="00BC004C">
        <w:rPr>
          <w:sz w:val="22"/>
          <w:szCs w:val="22"/>
        </w:rPr>
        <w:t>whether or not</w:t>
      </w:r>
      <w:proofErr w:type="gramEnd"/>
      <w:r w:rsidRPr="00BC004C">
        <w:rPr>
          <w:sz w:val="22"/>
          <w:szCs w:val="22"/>
        </w:rPr>
        <w:t xml:space="preserve"> related to the IP.</w:t>
      </w:r>
    </w:p>
    <w:p w14:paraId="7B4BD27F" w14:textId="77777777" w:rsidR="00AD1E39" w:rsidRPr="00BC004C" w:rsidRDefault="00AD1E39" w:rsidP="00AD1E39">
      <w:pPr>
        <w:pStyle w:val="NormalParagraphHeading2"/>
        <w:rPr>
          <w:sz w:val="22"/>
          <w:szCs w:val="22"/>
        </w:rPr>
      </w:pPr>
      <w:r w:rsidRPr="00BC004C">
        <w:rPr>
          <w:sz w:val="22"/>
          <w:szCs w:val="22"/>
        </w:rPr>
        <w:t>Adverse Drug Reactions are defined as: all noxious and unintended responses to an IP related to any dose. The phrase "responses to an IP" means a causal relationship between an IP and an AE is at least a reasonable possibility, i.e., the relationship cannot be ruled out.</w:t>
      </w:r>
    </w:p>
    <w:p w14:paraId="26D74CCC" w14:textId="77777777" w:rsidR="00AD1E39" w:rsidRPr="00BC004C" w:rsidRDefault="00AD1E39" w:rsidP="00AD1E39">
      <w:pPr>
        <w:pStyle w:val="NormalParagraphHeading2"/>
        <w:rPr>
          <w:sz w:val="22"/>
          <w:szCs w:val="22"/>
        </w:rPr>
      </w:pPr>
      <w:r w:rsidRPr="00BC004C">
        <w:rPr>
          <w:sz w:val="22"/>
          <w:szCs w:val="22"/>
        </w:rPr>
        <w:t>An AE may be:</w:t>
      </w:r>
    </w:p>
    <w:p w14:paraId="2CA9EEED" w14:textId="77777777" w:rsidR="00AD1E39" w:rsidRPr="00BC004C" w:rsidRDefault="00AD1E39" w:rsidP="00AD1E39">
      <w:pPr>
        <w:pStyle w:val="NormalParagraphHeading2Bullet1"/>
        <w:tabs>
          <w:tab w:val="left" w:pos="720"/>
        </w:tabs>
        <w:rPr>
          <w:sz w:val="22"/>
        </w:rPr>
      </w:pPr>
      <w:r w:rsidRPr="00BC004C">
        <w:rPr>
          <w:sz w:val="22"/>
        </w:rPr>
        <w:t>A new illness,</w:t>
      </w:r>
    </w:p>
    <w:p w14:paraId="0E3FB226" w14:textId="77777777" w:rsidR="00AD1E39" w:rsidRPr="00BC004C" w:rsidRDefault="00AD1E39" w:rsidP="00AD1E39">
      <w:pPr>
        <w:pStyle w:val="NormalParagraphHeading2Bullet1"/>
        <w:tabs>
          <w:tab w:val="left" w:pos="720"/>
        </w:tabs>
        <w:rPr>
          <w:sz w:val="22"/>
        </w:rPr>
      </w:pPr>
      <w:r w:rsidRPr="00BC004C">
        <w:rPr>
          <w:sz w:val="22"/>
        </w:rPr>
        <w:t>Worsening of a concomitant illness,</w:t>
      </w:r>
    </w:p>
    <w:p w14:paraId="3CA20A30" w14:textId="77777777" w:rsidR="00AD1E39" w:rsidRPr="00BC004C" w:rsidRDefault="00AD1E39" w:rsidP="00AD1E39">
      <w:pPr>
        <w:pStyle w:val="NormalParagraphHeading2Bullet1"/>
        <w:tabs>
          <w:tab w:val="left" w:pos="720"/>
        </w:tabs>
        <w:rPr>
          <w:sz w:val="22"/>
        </w:rPr>
      </w:pPr>
      <w:r w:rsidRPr="00BC004C">
        <w:rPr>
          <w:sz w:val="22"/>
        </w:rPr>
        <w:t>An effect of the study drug including comparator(s); it could be an abnormal clinical laboratory value as well as a significant shift from baseline within normal range which an investigator considers to be clinically important.</w:t>
      </w:r>
    </w:p>
    <w:p w14:paraId="2F6D97A0" w14:textId="77777777" w:rsidR="00AD1E39" w:rsidRPr="00BC004C" w:rsidRDefault="00AD1E39" w:rsidP="00AD1E39">
      <w:pPr>
        <w:pStyle w:val="NormalParagraphHeading2"/>
        <w:rPr>
          <w:sz w:val="22"/>
          <w:szCs w:val="22"/>
        </w:rPr>
      </w:pPr>
      <w:r w:rsidRPr="00BC004C">
        <w:rPr>
          <w:sz w:val="22"/>
          <w:szCs w:val="22"/>
        </w:rPr>
        <w:t>Surgical procedures themselves are not AEs. They are therapeutic measures for conditions that required surgery. The condition for which the surgery is required is an AE, if it occurs or is detected during the study period. Planned surgical measures permitted by the clinical study protocol and the conditions(s) leading to these measures are not AEs, if the condition(s) was (were) known before the start of study treatment. In the latter case, the condition should be reported as medical history.</w:t>
      </w:r>
    </w:p>
    <w:p w14:paraId="1A5E93D8" w14:textId="77777777" w:rsidR="00AD1E39" w:rsidRPr="00BC004C" w:rsidRDefault="00AD1E39" w:rsidP="00AD1E39">
      <w:pPr>
        <w:pStyle w:val="NormalParagraphHeading2"/>
        <w:rPr>
          <w:sz w:val="22"/>
          <w:szCs w:val="22"/>
        </w:rPr>
      </w:pPr>
      <w:r w:rsidRPr="00BC004C">
        <w:rPr>
          <w:sz w:val="22"/>
          <w:szCs w:val="22"/>
        </w:rPr>
        <w:t>A serious adverse event (SAE) or reaction is any untoward medical occurrence that at any dose:</w:t>
      </w:r>
    </w:p>
    <w:p w14:paraId="395A7A38" w14:textId="77777777" w:rsidR="00AD1E39" w:rsidRPr="00BC004C" w:rsidRDefault="00AD1E39" w:rsidP="00AD1E39">
      <w:pPr>
        <w:pStyle w:val="NormalParagraphHeading2Bullet1"/>
        <w:tabs>
          <w:tab w:val="left" w:pos="720"/>
        </w:tabs>
        <w:rPr>
          <w:sz w:val="22"/>
        </w:rPr>
      </w:pPr>
      <w:r w:rsidRPr="00BC004C">
        <w:rPr>
          <w:sz w:val="22"/>
        </w:rPr>
        <w:t>Results in death,</w:t>
      </w:r>
    </w:p>
    <w:p w14:paraId="5F0F8B63" w14:textId="77777777" w:rsidR="00AD1E39" w:rsidRPr="00BC004C" w:rsidRDefault="00AD1E39" w:rsidP="00AD1E39">
      <w:pPr>
        <w:pStyle w:val="NormalParagraphHeading2Bullet1"/>
        <w:tabs>
          <w:tab w:val="left" w:pos="720"/>
        </w:tabs>
        <w:rPr>
          <w:sz w:val="22"/>
        </w:rPr>
      </w:pPr>
      <w:r w:rsidRPr="00BC004C">
        <w:rPr>
          <w:sz w:val="22"/>
        </w:rPr>
        <w:t>Is life-threatening,</w:t>
      </w:r>
    </w:p>
    <w:p w14:paraId="72633505" w14:textId="77777777" w:rsidR="00AD1E39" w:rsidRPr="00BC004C" w:rsidRDefault="00AD1E39" w:rsidP="00AD1E39">
      <w:pPr>
        <w:pStyle w:val="NormalParagraphHeading2Bullet1"/>
        <w:tabs>
          <w:tab w:val="left" w:pos="720"/>
        </w:tabs>
        <w:rPr>
          <w:sz w:val="22"/>
        </w:rPr>
      </w:pPr>
      <w:r w:rsidRPr="00BC004C">
        <w:rPr>
          <w:sz w:val="22"/>
        </w:rPr>
        <w:t>Requires inpatient hospitalization or prolongation of existing hospitalization,</w:t>
      </w:r>
    </w:p>
    <w:p w14:paraId="62F5FBC6" w14:textId="77777777" w:rsidR="00AD1E39" w:rsidRPr="00BC004C" w:rsidRDefault="00AD1E39" w:rsidP="00AD1E39">
      <w:pPr>
        <w:pStyle w:val="NormalParagraphHeading2Bullet1"/>
        <w:tabs>
          <w:tab w:val="left" w:pos="720"/>
        </w:tabs>
        <w:rPr>
          <w:sz w:val="22"/>
        </w:rPr>
      </w:pPr>
      <w:r w:rsidRPr="00BC004C">
        <w:rPr>
          <w:sz w:val="22"/>
        </w:rPr>
        <w:t>Results in persistent or significant disability or incapacity (defined as a substantial disruption of a person’s ability to conduct normal life functions),</w:t>
      </w:r>
    </w:p>
    <w:p w14:paraId="11C8B79E" w14:textId="77777777" w:rsidR="00AD1E39" w:rsidRPr="00BC004C" w:rsidRDefault="00AD1E39" w:rsidP="00AD1E39">
      <w:pPr>
        <w:pStyle w:val="NormalParagraphHeading2Bullet1"/>
        <w:tabs>
          <w:tab w:val="left" w:pos="720"/>
        </w:tabs>
        <w:rPr>
          <w:sz w:val="22"/>
        </w:rPr>
      </w:pPr>
      <w:r w:rsidRPr="00BC004C">
        <w:rPr>
          <w:sz w:val="22"/>
        </w:rPr>
        <w:t>Is a congenital anomaly or birth defect,</w:t>
      </w:r>
    </w:p>
    <w:p w14:paraId="5C38F653" w14:textId="487B3156" w:rsidR="00AD1E39" w:rsidRDefault="00AD1E39" w:rsidP="00AD1E39">
      <w:pPr>
        <w:pStyle w:val="NormalParagraphHeading2Bullet1"/>
        <w:tabs>
          <w:tab w:val="left" w:pos="720"/>
        </w:tabs>
        <w:rPr>
          <w:sz w:val="22"/>
        </w:rPr>
      </w:pPr>
      <w:r w:rsidRPr="00BC004C">
        <w:rPr>
          <w:sz w:val="22"/>
        </w:rPr>
        <w:t>Is an important medical event (including development of drug dependence or drug abuse) that may jeopardize the subject or may require intervention to prevent one of the other outcomes listed above (according to medical judgment of an investigator)</w:t>
      </w:r>
    </w:p>
    <w:p w14:paraId="39209EC3" w14:textId="77777777" w:rsidR="007C6A02" w:rsidRPr="00BC004C" w:rsidRDefault="007C6A02" w:rsidP="007C6A02">
      <w:pPr>
        <w:pStyle w:val="NormalParagraphHeading2Bullet1"/>
        <w:numPr>
          <w:ilvl w:val="0"/>
          <w:numId w:val="0"/>
        </w:numPr>
        <w:tabs>
          <w:tab w:val="left" w:pos="720"/>
        </w:tabs>
        <w:rPr>
          <w:sz w:val="22"/>
        </w:rPr>
      </w:pPr>
    </w:p>
    <w:p w14:paraId="104EA466" w14:textId="77777777" w:rsidR="00AD1E39" w:rsidRPr="00BC004C" w:rsidRDefault="00AD1E39" w:rsidP="00AD1E39">
      <w:pPr>
        <w:pStyle w:val="Heading2"/>
        <w:rPr>
          <w:rFonts w:ascii="Times New Roman" w:hAnsi="Times New Roman"/>
          <w:sz w:val="22"/>
          <w:szCs w:val="22"/>
        </w:rPr>
      </w:pPr>
      <w:bookmarkStart w:id="150" w:name="_Toc394312413"/>
      <w:bookmarkStart w:id="151" w:name="_Toc488412860"/>
      <w:bookmarkStart w:id="152" w:name="_Toc32484673"/>
      <w:bookmarkStart w:id="153" w:name="_Toc48034674"/>
      <w:r w:rsidRPr="00BC004C">
        <w:rPr>
          <w:rFonts w:ascii="Times New Roman" w:hAnsi="Times New Roman"/>
          <w:sz w:val="22"/>
          <w:szCs w:val="22"/>
        </w:rPr>
        <w:t>Severity Assessment</w:t>
      </w:r>
      <w:bookmarkEnd w:id="150"/>
      <w:bookmarkEnd w:id="151"/>
      <w:bookmarkEnd w:id="152"/>
      <w:bookmarkEnd w:id="153"/>
    </w:p>
    <w:p w14:paraId="34059327" w14:textId="77777777" w:rsidR="00AD1E39" w:rsidRPr="00BC004C" w:rsidRDefault="00AD1E39" w:rsidP="00AD1E39">
      <w:pPr>
        <w:pStyle w:val="NormalParagraphHeading3"/>
        <w:rPr>
          <w:sz w:val="22"/>
          <w:szCs w:val="22"/>
        </w:rPr>
      </w:pPr>
      <w:r w:rsidRPr="00BC004C">
        <w:rPr>
          <w:sz w:val="22"/>
          <w:szCs w:val="22"/>
        </w:rPr>
        <w:t>All AEs will be graded as mild, moderate, or severe according to the following definitions:</w:t>
      </w:r>
    </w:p>
    <w:p w14:paraId="54EB1E8D" w14:textId="77777777" w:rsidR="00AD1E39" w:rsidRPr="00BC004C" w:rsidRDefault="00AD1E39" w:rsidP="00AD1E39">
      <w:pPr>
        <w:pStyle w:val="NormalParagraphHeading3"/>
        <w:tabs>
          <w:tab w:val="left" w:pos="1170"/>
        </w:tabs>
        <w:ind w:left="1166" w:hanging="1166"/>
        <w:rPr>
          <w:sz w:val="22"/>
          <w:szCs w:val="22"/>
        </w:rPr>
      </w:pPr>
      <w:r w:rsidRPr="00BC004C">
        <w:rPr>
          <w:sz w:val="22"/>
          <w:szCs w:val="22"/>
          <w:u w:val="single"/>
        </w:rPr>
        <w:t>Mild</w:t>
      </w:r>
      <w:r w:rsidRPr="00BC004C">
        <w:rPr>
          <w:sz w:val="22"/>
          <w:szCs w:val="22"/>
        </w:rPr>
        <w:t>:</w:t>
      </w:r>
      <w:r w:rsidRPr="00BC004C">
        <w:rPr>
          <w:sz w:val="22"/>
          <w:szCs w:val="22"/>
        </w:rPr>
        <w:tab/>
        <w:t>Causing no limitation of usual activities; the subject may experience transient slight discomfort</w:t>
      </w:r>
    </w:p>
    <w:p w14:paraId="5AFFE9D4" w14:textId="77777777" w:rsidR="00AD1E39" w:rsidRPr="00BC004C" w:rsidRDefault="00AD1E39" w:rsidP="00AD1E39">
      <w:pPr>
        <w:pStyle w:val="NormalParagraphHeading3"/>
        <w:tabs>
          <w:tab w:val="left" w:pos="1170"/>
        </w:tabs>
        <w:ind w:left="1166" w:hanging="1166"/>
        <w:rPr>
          <w:sz w:val="22"/>
          <w:szCs w:val="22"/>
        </w:rPr>
      </w:pPr>
      <w:r w:rsidRPr="00BC004C">
        <w:rPr>
          <w:sz w:val="22"/>
          <w:szCs w:val="22"/>
          <w:u w:val="single"/>
        </w:rPr>
        <w:t>Moderate</w:t>
      </w:r>
      <w:r w:rsidRPr="00BC004C">
        <w:rPr>
          <w:sz w:val="22"/>
          <w:szCs w:val="22"/>
        </w:rPr>
        <w:t>:</w:t>
      </w:r>
      <w:r w:rsidRPr="00BC004C">
        <w:rPr>
          <w:sz w:val="22"/>
          <w:szCs w:val="22"/>
        </w:rPr>
        <w:tab/>
        <w:t>Causing some limitation of usual activities; the subject may experience annoying discomfort</w:t>
      </w:r>
    </w:p>
    <w:p w14:paraId="26BA455B" w14:textId="77777777" w:rsidR="00AD1E39" w:rsidRPr="00BC004C" w:rsidRDefault="00AD1E39" w:rsidP="00AD1E39">
      <w:pPr>
        <w:pStyle w:val="NormalParagraphHeading3"/>
        <w:tabs>
          <w:tab w:val="left" w:pos="1170"/>
        </w:tabs>
        <w:ind w:left="1166" w:hanging="1166"/>
        <w:rPr>
          <w:sz w:val="22"/>
          <w:szCs w:val="22"/>
        </w:rPr>
      </w:pPr>
      <w:r w:rsidRPr="00BC004C">
        <w:rPr>
          <w:sz w:val="22"/>
          <w:szCs w:val="22"/>
          <w:u w:val="single"/>
        </w:rPr>
        <w:t>Severe</w:t>
      </w:r>
      <w:r w:rsidRPr="00BC004C">
        <w:rPr>
          <w:sz w:val="22"/>
          <w:szCs w:val="22"/>
        </w:rPr>
        <w:t>:</w:t>
      </w:r>
      <w:r w:rsidRPr="00BC004C">
        <w:rPr>
          <w:sz w:val="22"/>
          <w:szCs w:val="22"/>
        </w:rPr>
        <w:tab/>
        <w:t>Causing inability to carry out usual activities; the subject may experience intolerable discomfort or pain</w:t>
      </w:r>
    </w:p>
    <w:p w14:paraId="70D25095" w14:textId="404FDA59" w:rsidR="007C6A02" w:rsidRDefault="00AD1E39" w:rsidP="007C6A02">
      <w:pPr>
        <w:pStyle w:val="NormalParagraphHeading3"/>
        <w:rPr>
          <w:sz w:val="22"/>
          <w:szCs w:val="22"/>
        </w:rPr>
      </w:pPr>
      <w:r w:rsidRPr="00BC004C">
        <w:rPr>
          <w:sz w:val="22"/>
          <w:szCs w:val="22"/>
        </w:rPr>
        <w:t>Every effort will be made to obtain an adequate evaluation of the severity.</w:t>
      </w:r>
      <w:bookmarkStart w:id="154" w:name="_Toc394312414"/>
      <w:bookmarkStart w:id="155" w:name="_Toc488412861"/>
      <w:bookmarkStart w:id="156" w:name="_Toc32484674"/>
      <w:bookmarkStart w:id="157" w:name="_Toc48034675"/>
    </w:p>
    <w:p w14:paraId="52786D7C" w14:textId="77777777" w:rsidR="007C6A02" w:rsidRDefault="007C6A02" w:rsidP="007C6A02">
      <w:pPr>
        <w:pStyle w:val="NormalParagraphHeading3"/>
        <w:rPr>
          <w:sz w:val="22"/>
          <w:szCs w:val="22"/>
        </w:rPr>
      </w:pPr>
    </w:p>
    <w:p w14:paraId="4711C8A3" w14:textId="1BB4594B" w:rsidR="00AD1E39" w:rsidRPr="00BC004C" w:rsidRDefault="00AD1E39" w:rsidP="00AD1E39">
      <w:pPr>
        <w:pStyle w:val="Heading2"/>
        <w:rPr>
          <w:rFonts w:ascii="Times New Roman" w:hAnsi="Times New Roman"/>
          <w:sz w:val="22"/>
          <w:szCs w:val="22"/>
        </w:rPr>
      </w:pPr>
      <w:r w:rsidRPr="00BC004C">
        <w:rPr>
          <w:rFonts w:ascii="Times New Roman" w:hAnsi="Times New Roman"/>
          <w:sz w:val="22"/>
          <w:szCs w:val="22"/>
        </w:rPr>
        <w:lastRenderedPageBreak/>
        <w:t>Causality Assessment</w:t>
      </w:r>
      <w:bookmarkEnd w:id="154"/>
      <w:bookmarkEnd w:id="155"/>
      <w:bookmarkEnd w:id="156"/>
      <w:bookmarkEnd w:id="157"/>
    </w:p>
    <w:p w14:paraId="104AEAF0" w14:textId="6E2BDDCC" w:rsidR="00AD1E39" w:rsidRPr="00BC004C" w:rsidRDefault="00AD1E39" w:rsidP="00AD1E39">
      <w:pPr>
        <w:pStyle w:val="NormalParagraphHeading3"/>
        <w:rPr>
          <w:sz w:val="22"/>
          <w:szCs w:val="22"/>
        </w:rPr>
      </w:pPr>
      <w:r w:rsidRPr="00BC004C">
        <w:rPr>
          <w:sz w:val="22"/>
          <w:szCs w:val="22"/>
        </w:rPr>
        <w:t>An investigator will determine the relationship of any AE to the study product using the guidelines presented in</w:t>
      </w:r>
      <w:r w:rsidR="007C6A02">
        <w:rPr>
          <w:sz w:val="22"/>
          <w:szCs w:val="22"/>
        </w:rPr>
        <w:t xml:space="preserve"> </w:t>
      </w:r>
      <w:r w:rsidR="007C6A02" w:rsidRPr="007C6A02">
        <w:rPr>
          <w:b/>
          <w:bCs/>
          <w:sz w:val="22"/>
          <w:szCs w:val="22"/>
        </w:rPr>
        <w:t>Table 6</w:t>
      </w:r>
      <w:r w:rsidRPr="00BC004C">
        <w:rPr>
          <w:sz w:val="22"/>
          <w:szCs w:val="22"/>
        </w:rPr>
        <w:t>.</w:t>
      </w:r>
    </w:p>
    <w:p w14:paraId="5577D03A" w14:textId="77777777" w:rsidR="007E7991" w:rsidRDefault="007E7991" w:rsidP="00AD1E39">
      <w:pPr>
        <w:pStyle w:val="In-TextTableTitle"/>
        <w:rPr>
          <w:rFonts w:ascii="Times New Roman" w:hAnsi="Times New Roman" w:cs="Times New Roman"/>
          <w:sz w:val="22"/>
        </w:rPr>
      </w:pPr>
      <w:bookmarkStart w:id="158" w:name="_Ref384123696"/>
      <w:bookmarkStart w:id="159" w:name="_Toc388360253"/>
      <w:bookmarkStart w:id="160" w:name="_Toc32484735"/>
      <w:bookmarkStart w:id="161" w:name="_Toc46322497"/>
    </w:p>
    <w:p w14:paraId="2523A4DF" w14:textId="1B0B714D" w:rsidR="00AD1E39" w:rsidRPr="00BC004C" w:rsidRDefault="00AD1E39" w:rsidP="00AD1E39">
      <w:pPr>
        <w:pStyle w:val="In-TextTableTitle"/>
        <w:rPr>
          <w:rFonts w:ascii="Times New Roman" w:hAnsi="Times New Roman" w:cs="Times New Roman"/>
          <w:sz w:val="22"/>
        </w:rPr>
      </w:pPr>
      <w:r w:rsidRPr="00BC004C">
        <w:rPr>
          <w:rFonts w:ascii="Times New Roman" w:hAnsi="Times New Roman" w:cs="Times New Roman"/>
          <w:sz w:val="22"/>
        </w:rPr>
        <w:t xml:space="preserve">Table </w:t>
      </w:r>
      <w:r w:rsidR="007C6A02">
        <w:rPr>
          <w:rFonts w:ascii="Times New Roman" w:hAnsi="Times New Roman" w:cs="Times New Roman"/>
          <w:sz w:val="22"/>
        </w:rPr>
        <w:t>6</w:t>
      </w:r>
      <w:bookmarkEnd w:id="158"/>
      <w:r w:rsidRPr="00BC004C">
        <w:rPr>
          <w:rFonts w:ascii="Times New Roman" w:hAnsi="Times New Roman" w:cs="Times New Roman"/>
          <w:sz w:val="22"/>
        </w:rPr>
        <w:t xml:space="preserve">. Adverse Event Relationship to Study </w:t>
      </w:r>
      <w:bookmarkEnd w:id="159"/>
      <w:r w:rsidRPr="00BC004C">
        <w:rPr>
          <w:rFonts w:ascii="Times New Roman" w:hAnsi="Times New Roman" w:cs="Times New Roman"/>
          <w:sz w:val="22"/>
        </w:rPr>
        <w:t>Product</w:t>
      </w:r>
      <w:bookmarkEnd w:id="160"/>
      <w:bookmarkEnd w:id="161"/>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950"/>
        <w:gridCol w:w="6037"/>
      </w:tblGrid>
      <w:tr w:rsidR="00AD1E39" w:rsidRPr="00BC004C" w14:paraId="5FE1D5D5" w14:textId="77777777" w:rsidTr="00AD1E39">
        <w:tc>
          <w:tcPr>
            <w:tcW w:w="3060" w:type="dxa"/>
            <w:tcBorders>
              <w:top w:val="single" w:sz="4" w:space="0" w:color="auto"/>
              <w:left w:val="single" w:sz="4" w:space="0" w:color="auto"/>
              <w:bottom w:val="single" w:sz="4" w:space="0" w:color="auto"/>
              <w:right w:val="single" w:sz="4" w:space="0" w:color="auto"/>
            </w:tcBorders>
            <w:hideMark/>
          </w:tcPr>
          <w:p w14:paraId="6378D4E1" w14:textId="77777777" w:rsidR="00AD1E39" w:rsidRPr="00BC004C" w:rsidRDefault="00AD1E39">
            <w:pPr>
              <w:pStyle w:val="In-textTableHeaderrows"/>
              <w:rPr>
                <w:rFonts w:ascii="Times New Roman" w:eastAsia="Calibri" w:hAnsi="Times New Roman"/>
                <w:sz w:val="20"/>
                <w:szCs w:val="20"/>
              </w:rPr>
            </w:pPr>
            <w:r w:rsidRPr="00BC004C">
              <w:rPr>
                <w:rFonts w:ascii="Times New Roman" w:eastAsia="Calibri" w:hAnsi="Times New Roman"/>
                <w:sz w:val="20"/>
                <w:szCs w:val="20"/>
              </w:rPr>
              <w:t>Relationship to Product</w:t>
            </w:r>
          </w:p>
        </w:tc>
        <w:tc>
          <w:tcPr>
            <w:tcW w:w="6329" w:type="dxa"/>
            <w:tcBorders>
              <w:top w:val="single" w:sz="4" w:space="0" w:color="auto"/>
              <w:left w:val="single" w:sz="4" w:space="0" w:color="auto"/>
              <w:bottom w:val="single" w:sz="4" w:space="0" w:color="auto"/>
              <w:right w:val="single" w:sz="4" w:space="0" w:color="auto"/>
            </w:tcBorders>
            <w:vAlign w:val="center"/>
            <w:hideMark/>
          </w:tcPr>
          <w:p w14:paraId="2D8B9BB9" w14:textId="77777777" w:rsidR="00AD1E39" w:rsidRPr="00BC004C" w:rsidRDefault="00AD1E39">
            <w:pPr>
              <w:pStyle w:val="In-textTableHeaderrows"/>
              <w:rPr>
                <w:rFonts w:ascii="Times New Roman" w:eastAsia="Calibri" w:hAnsi="Times New Roman"/>
                <w:sz w:val="20"/>
                <w:szCs w:val="20"/>
              </w:rPr>
            </w:pPr>
            <w:r w:rsidRPr="00BC004C">
              <w:rPr>
                <w:rFonts w:ascii="Times New Roman" w:eastAsia="Calibri" w:hAnsi="Times New Roman"/>
                <w:sz w:val="20"/>
                <w:szCs w:val="20"/>
              </w:rPr>
              <w:t>Comment</w:t>
            </w:r>
          </w:p>
        </w:tc>
      </w:tr>
      <w:tr w:rsidR="00AD1E39" w:rsidRPr="00BC004C" w14:paraId="7713444B" w14:textId="77777777" w:rsidTr="00AD1E39">
        <w:tc>
          <w:tcPr>
            <w:tcW w:w="3060" w:type="dxa"/>
            <w:tcBorders>
              <w:top w:val="single" w:sz="4" w:space="0" w:color="auto"/>
              <w:left w:val="single" w:sz="4" w:space="0" w:color="auto"/>
              <w:bottom w:val="single" w:sz="4" w:space="0" w:color="auto"/>
              <w:right w:val="single" w:sz="4" w:space="0" w:color="auto"/>
            </w:tcBorders>
            <w:hideMark/>
          </w:tcPr>
          <w:p w14:paraId="75D52D1C" w14:textId="77777777" w:rsidR="00AD1E39" w:rsidRPr="00BC004C" w:rsidRDefault="00AD1E39">
            <w:pPr>
              <w:pStyle w:val="TableText"/>
            </w:pPr>
            <w:r w:rsidRPr="00BC004C">
              <w:t>Reasonable Possibility</w:t>
            </w:r>
          </w:p>
        </w:tc>
        <w:tc>
          <w:tcPr>
            <w:tcW w:w="6329" w:type="dxa"/>
            <w:tcBorders>
              <w:top w:val="single" w:sz="4" w:space="0" w:color="auto"/>
              <w:left w:val="single" w:sz="4" w:space="0" w:color="auto"/>
              <w:bottom w:val="single" w:sz="4" w:space="0" w:color="auto"/>
              <w:right w:val="single" w:sz="4" w:space="0" w:color="auto"/>
            </w:tcBorders>
            <w:hideMark/>
          </w:tcPr>
          <w:p w14:paraId="0E30781F" w14:textId="77777777" w:rsidR="00AD1E39" w:rsidRPr="00BC004C" w:rsidRDefault="00AD1E39">
            <w:pPr>
              <w:pStyle w:val="TableText"/>
              <w:spacing w:after="120" w:line="240" w:lineRule="atLeast"/>
              <w:jc w:val="both"/>
            </w:pPr>
            <w:r w:rsidRPr="00BC004C">
              <w:t>A temporal relationship exists between the adverse event (AE) onset and administration of the investigational product that cannot be readily explained by the subject’s clinical state or concomitant therapies.</w:t>
            </w:r>
          </w:p>
          <w:p w14:paraId="747CF4EE" w14:textId="77777777" w:rsidR="00AD1E39" w:rsidRPr="00BC004C" w:rsidRDefault="00AD1E39">
            <w:pPr>
              <w:pStyle w:val="TableText"/>
              <w:spacing w:after="120" w:line="240" w:lineRule="atLeast"/>
              <w:jc w:val="both"/>
            </w:pPr>
            <w:r w:rsidRPr="00BC004C">
              <w:t>Furthermore, the AE appears with some degree of certainty to be related, based on the known therapeutic and pharmacologic actions or AE profile of the investigational product.</w:t>
            </w:r>
          </w:p>
          <w:p w14:paraId="78CD4D16" w14:textId="77777777" w:rsidR="00AD1E39" w:rsidRPr="00BC004C" w:rsidRDefault="00AD1E39">
            <w:pPr>
              <w:pStyle w:val="TableText"/>
              <w:spacing w:after="120" w:line="240" w:lineRule="atLeast"/>
              <w:jc w:val="both"/>
            </w:pPr>
            <w:r w:rsidRPr="00BC004C">
              <w:t xml:space="preserve">In case of cessation or reduction of the dose the AE may abate or </w:t>
            </w:r>
            <w:proofErr w:type="gramStart"/>
            <w:r w:rsidRPr="00BC004C">
              <w:t>resolve</w:t>
            </w:r>
            <w:proofErr w:type="gramEnd"/>
            <w:r w:rsidRPr="00BC004C">
              <w:t xml:space="preserve"> and it may reappear upon rechallenge.</w:t>
            </w:r>
          </w:p>
        </w:tc>
      </w:tr>
      <w:tr w:rsidR="00AD1E39" w:rsidRPr="00BC004C" w14:paraId="292F8C56" w14:textId="77777777" w:rsidTr="00AD1E39">
        <w:tc>
          <w:tcPr>
            <w:tcW w:w="3060" w:type="dxa"/>
            <w:tcBorders>
              <w:top w:val="single" w:sz="4" w:space="0" w:color="auto"/>
              <w:left w:val="single" w:sz="4" w:space="0" w:color="auto"/>
              <w:bottom w:val="single" w:sz="4" w:space="0" w:color="auto"/>
              <w:right w:val="single" w:sz="4" w:space="0" w:color="auto"/>
            </w:tcBorders>
            <w:hideMark/>
          </w:tcPr>
          <w:p w14:paraId="392FE277" w14:textId="77777777" w:rsidR="00AD1E39" w:rsidRPr="00BC004C" w:rsidRDefault="00AD1E39">
            <w:pPr>
              <w:pStyle w:val="TableText"/>
              <w:spacing w:after="120" w:line="240" w:lineRule="atLeast"/>
              <w:jc w:val="both"/>
            </w:pPr>
            <w:r w:rsidRPr="00BC004C">
              <w:t>No Reasonable Possibility</w:t>
            </w:r>
          </w:p>
        </w:tc>
        <w:tc>
          <w:tcPr>
            <w:tcW w:w="6329" w:type="dxa"/>
            <w:tcBorders>
              <w:top w:val="single" w:sz="4" w:space="0" w:color="auto"/>
              <w:left w:val="single" w:sz="4" w:space="0" w:color="auto"/>
              <w:bottom w:val="single" w:sz="4" w:space="0" w:color="auto"/>
              <w:right w:val="single" w:sz="4" w:space="0" w:color="auto"/>
            </w:tcBorders>
            <w:hideMark/>
          </w:tcPr>
          <w:p w14:paraId="7D0FB463" w14:textId="77777777" w:rsidR="00AD1E39" w:rsidRPr="00BC004C" w:rsidRDefault="00AD1E39">
            <w:pPr>
              <w:pStyle w:val="TableText"/>
              <w:spacing w:after="120" w:line="240" w:lineRule="atLeast"/>
              <w:jc w:val="both"/>
            </w:pPr>
            <w:r w:rsidRPr="00BC004C">
              <w:t>Evidence exists that the AE has an etiology other than the investigational product.</w:t>
            </w:r>
          </w:p>
          <w:p w14:paraId="5E882CE7" w14:textId="77777777" w:rsidR="00AD1E39" w:rsidRPr="00BC004C" w:rsidRDefault="00AD1E39">
            <w:pPr>
              <w:pStyle w:val="TableText"/>
              <w:spacing w:after="120" w:line="240" w:lineRule="atLeast"/>
              <w:jc w:val="both"/>
            </w:pPr>
            <w:r w:rsidRPr="00BC004C">
              <w:t>For serious AEs, an alternative causality must be provided (e.g., preexisting condition, underlying disease, intercurrent illness, or concomitant medication).</w:t>
            </w:r>
          </w:p>
        </w:tc>
      </w:tr>
    </w:tbl>
    <w:p w14:paraId="202780BB" w14:textId="77777777" w:rsidR="00AD1E39" w:rsidRPr="00BC004C" w:rsidRDefault="00AD1E39" w:rsidP="007C6A02">
      <w:pPr>
        <w:pStyle w:val="NormalParagraphHeading2"/>
        <w:rPr>
          <w:sz w:val="22"/>
          <w:szCs w:val="22"/>
        </w:rPr>
      </w:pPr>
    </w:p>
    <w:bookmarkEnd w:id="137"/>
    <w:bookmarkEnd w:id="138"/>
    <w:bookmarkEnd w:id="139"/>
    <w:bookmarkEnd w:id="133"/>
    <w:bookmarkEnd w:id="134"/>
    <w:bookmarkEnd w:id="135"/>
    <w:bookmarkEnd w:id="136"/>
    <w:sectPr w:rsidR="00AD1E39" w:rsidRPr="00BC00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510B71" w14:textId="77777777" w:rsidR="009A0EC4" w:rsidRDefault="009A0EC4" w:rsidP="009A0EC4">
      <w:r>
        <w:separator/>
      </w:r>
    </w:p>
  </w:endnote>
  <w:endnote w:type="continuationSeparator" w:id="0">
    <w:p w14:paraId="3434FF82" w14:textId="77777777" w:rsidR="009A0EC4" w:rsidRDefault="009A0EC4" w:rsidP="009A0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616A7" w14:textId="77777777" w:rsidR="009A0EC4" w:rsidRDefault="009A0EC4" w:rsidP="009A0EC4">
      <w:r>
        <w:separator/>
      </w:r>
    </w:p>
  </w:footnote>
  <w:footnote w:type="continuationSeparator" w:id="0">
    <w:p w14:paraId="5CD7F43B" w14:textId="77777777" w:rsidR="009A0EC4" w:rsidRDefault="009A0EC4" w:rsidP="009A0E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92A1D"/>
    <w:multiLevelType w:val="hybridMultilevel"/>
    <w:tmpl w:val="8E9C6478"/>
    <w:lvl w:ilvl="0" w:tplc="EA8C8E1C">
      <w:start w:val="1"/>
      <w:numFmt w:val="bullet"/>
      <w:pStyle w:val="NormalParagraphHeading2Bullet1"/>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45D36F0A"/>
    <w:multiLevelType w:val="hybridMultilevel"/>
    <w:tmpl w:val="277AC1C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4B7A4F6B"/>
    <w:multiLevelType w:val="hybridMultilevel"/>
    <w:tmpl w:val="422E54F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5ADE52BA"/>
    <w:multiLevelType w:val="hybridMultilevel"/>
    <w:tmpl w:val="7430B816"/>
    <w:lvl w:ilvl="0" w:tplc="B1743D42">
      <w:start w:val="1"/>
      <w:numFmt w:val="decimal"/>
      <w:lvlText w:val="%1."/>
      <w:lvlJc w:val="left"/>
      <w:pPr>
        <w:ind w:left="720" w:hanging="360"/>
      </w:pPr>
      <w:rPr>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41F47A1"/>
    <w:multiLevelType w:val="multilevel"/>
    <w:tmpl w:val="7EDA0972"/>
    <w:lvl w:ilvl="0">
      <w:start w:val="1"/>
      <w:numFmt w:val="decimal"/>
      <w:pStyle w:val="Heading1"/>
      <w:lvlText w:val="%1."/>
      <w:lvlJc w:val="left"/>
      <w:pPr>
        <w:ind w:left="576" w:hanging="576"/>
      </w:pPr>
    </w:lvl>
    <w:lvl w:ilvl="1">
      <w:start w:val="1"/>
      <w:numFmt w:val="decimal"/>
      <w:pStyle w:val="Heading2"/>
      <w:lvlText w:val="%1.%2."/>
      <w:lvlJc w:val="left"/>
      <w:pPr>
        <w:tabs>
          <w:tab w:val="num" w:pos="504"/>
        </w:tabs>
        <w:ind w:left="504" w:hanging="504"/>
      </w:pPr>
    </w:lvl>
    <w:lvl w:ilvl="2">
      <w:start w:val="1"/>
      <w:numFmt w:val="decimal"/>
      <w:pStyle w:val="Heading3"/>
      <w:lvlText w:val="%1.%2.%3."/>
      <w:lvlJc w:val="left"/>
      <w:pPr>
        <w:ind w:left="576" w:hanging="576"/>
      </w:pPr>
    </w:lvl>
    <w:lvl w:ilvl="3">
      <w:start w:val="1"/>
      <w:numFmt w:val="decimal"/>
      <w:pStyle w:val="Heading4"/>
      <w:lvlText w:val="%1.%2.%3.%4."/>
      <w:lvlJc w:val="left"/>
      <w:pPr>
        <w:tabs>
          <w:tab w:val="num" w:pos="792"/>
        </w:tabs>
        <w:ind w:left="792" w:hanging="792"/>
      </w:pPr>
    </w:lvl>
    <w:lvl w:ilvl="4">
      <w:start w:val="1"/>
      <w:numFmt w:val="decimal"/>
      <w:lvlText w:val="%1.%2.%3.%4.%5."/>
      <w:lvlJc w:val="left"/>
      <w:pPr>
        <w:tabs>
          <w:tab w:val="num" w:pos="1008"/>
        </w:tabs>
        <w:ind w:left="1008" w:hanging="1008"/>
      </w:pPr>
    </w:lvl>
    <w:lvl w:ilvl="5">
      <w:start w:val="1"/>
      <w:numFmt w:val="decimal"/>
      <w:lvlText w:val="%1.%2.%3.%4.%5.%6."/>
      <w:lvlJc w:val="left"/>
      <w:pPr>
        <w:tabs>
          <w:tab w:val="num" w:pos="3672"/>
        </w:tabs>
        <w:ind w:left="0" w:firstLine="0"/>
      </w:pPr>
    </w:lvl>
    <w:lvl w:ilvl="6">
      <w:start w:val="1"/>
      <w:numFmt w:val="decimal"/>
      <w:lvlText w:val="%1.%2.%3.%4.%5.%6.%7."/>
      <w:lvlJc w:val="left"/>
      <w:pPr>
        <w:tabs>
          <w:tab w:val="num" w:pos="4392"/>
        </w:tabs>
        <w:ind w:left="0" w:firstLine="0"/>
      </w:pPr>
    </w:lvl>
    <w:lvl w:ilvl="7">
      <w:start w:val="1"/>
      <w:numFmt w:val="decimal"/>
      <w:lvlText w:val="%1.%2.%3.%4.%5.%6.%7.%8."/>
      <w:lvlJc w:val="left"/>
      <w:pPr>
        <w:tabs>
          <w:tab w:val="num" w:pos="5976"/>
        </w:tabs>
        <w:ind w:left="0" w:firstLine="0"/>
      </w:pPr>
    </w:lvl>
    <w:lvl w:ilvl="8">
      <w:start w:val="1"/>
      <w:numFmt w:val="decimal"/>
      <w:lvlText w:val="%1.%2.%3.%4.%5.%6.%7.%8.%9."/>
      <w:lvlJc w:val="left"/>
      <w:pPr>
        <w:tabs>
          <w:tab w:val="num" w:pos="5832"/>
        </w:tabs>
        <w:ind w:left="0" w:firstLine="0"/>
      </w:pPr>
    </w:lvl>
  </w:abstractNum>
  <w:abstractNum w:abstractNumId="5" w15:restartNumberingAfterBreak="0">
    <w:nsid w:val="75AC1D2A"/>
    <w:multiLevelType w:val="hybridMultilevel"/>
    <w:tmpl w:val="86E20C4A"/>
    <w:lvl w:ilvl="0" w:tplc="D8306A92">
      <w:start w:val="1"/>
      <w:numFmt w:val="decimal"/>
      <w:lvlText w:val="%1."/>
      <w:lvlJc w:val="left"/>
      <w:pPr>
        <w:ind w:left="360" w:hanging="360"/>
      </w:pPr>
      <w:rPr>
        <w:b w:val="0"/>
        <w:bCs w:val="0"/>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lvlOverride w:ilvl="2"/>
    <w:lvlOverride w:ilvl="3"/>
    <w:lvlOverride w:ilvl="4"/>
    <w:lvlOverride w:ilvl="5"/>
    <w:lvlOverride w:ilvl="6"/>
    <w:lvlOverride w:ilvl="7"/>
    <w:lvlOverride w:ilv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EC4"/>
    <w:rsid w:val="001C5AB3"/>
    <w:rsid w:val="003B3DA2"/>
    <w:rsid w:val="00530896"/>
    <w:rsid w:val="00662BBF"/>
    <w:rsid w:val="0079025D"/>
    <w:rsid w:val="007C6A02"/>
    <w:rsid w:val="007E7991"/>
    <w:rsid w:val="009A0EC4"/>
    <w:rsid w:val="00AD1E39"/>
    <w:rsid w:val="00BC004C"/>
    <w:rsid w:val="00CA3281"/>
    <w:rsid w:val="00D91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1F393"/>
  <w15:chartTrackingRefBased/>
  <w15:docId w15:val="{6BCA1838-D25E-49B6-A28E-19E1B7169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EC4"/>
    <w:pPr>
      <w:spacing w:after="0" w:line="240" w:lineRule="auto"/>
    </w:pPr>
    <w:rPr>
      <w:rFonts w:ascii="Times New Roman" w:eastAsia="Times New Roman" w:hAnsi="Times New Roman" w:cs="Times New Roman"/>
      <w:sz w:val="24"/>
      <w:szCs w:val="24"/>
      <w:lang w:eastAsia="en-GB"/>
    </w:rPr>
  </w:style>
  <w:style w:type="paragraph" w:styleId="Heading1">
    <w:name w:val="heading 1"/>
    <w:aliases w:val="Table Title,Level 1,Outline1"/>
    <w:next w:val="Normal"/>
    <w:link w:val="Heading1Char"/>
    <w:qFormat/>
    <w:rsid w:val="009A0EC4"/>
    <w:pPr>
      <w:keepNext/>
      <w:keepLines/>
      <w:numPr>
        <w:numId w:val="1"/>
      </w:numPr>
      <w:spacing w:before="120" w:after="120" w:line="240" w:lineRule="auto"/>
      <w:outlineLvl w:val="0"/>
    </w:pPr>
    <w:rPr>
      <w:rFonts w:ascii="Times New Roman Bold" w:eastAsia="Times New Roman" w:hAnsi="Times New Roman Bold" w:cs="Times New Roman"/>
      <w:caps/>
      <w:kern w:val="28"/>
      <w:sz w:val="24"/>
      <w:szCs w:val="20"/>
      <w:lang w:val="en-US"/>
    </w:rPr>
  </w:style>
  <w:style w:type="paragraph" w:styleId="Heading2">
    <w:name w:val="heading 2"/>
    <w:next w:val="Normal"/>
    <w:link w:val="Heading2Char"/>
    <w:uiPriority w:val="9"/>
    <w:semiHidden/>
    <w:unhideWhenUsed/>
    <w:qFormat/>
    <w:rsid w:val="009A0EC4"/>
    <w:pPr>
      <w:keepNext/>
      <w:keepLines/>
      <w:numPr>
        <w:ilvl w:val="1"/>
        <w:numId w:val="1"/>
      </w:numPr>
      <w:spacing w:before="120" w:after="120" w:line="240" w:lineRule="auto"/>
      <w:outlineLvl w:val="1"/>
    </w:pPr>
    <w:rPr>
      <w:rFonts w:ascii="Times New Roman Bold" w:eastAsia="Times New Roman" w:hAnsi="Times New Roman Bold" w:cs="Times New Roman"/>
      <w:b/>
      <w:sz w:val="24"/>
      <w:szCs w:val="24"/>
      <w:lang w:val="en-US"/>
    </w:rPr>
  </w:style>
  <w:style w:type="paragraph" w:styleId="Heading3">
    <w:name w:val="heading 3"/>
    <w:next w:val="Normal"/>
    <w:link w:val="Heading3Char"/>
    <w:semiHidden/>
    <w:unhideWhenUsed/>
    <w:qFormat/>
    <w:rsid w:val="009A0EC4"/>
    <w:pPr>
      <w:keepNext/>
      <w:keepLines/>
      <w:numPr>
        <w:ilvl w:val="2"/>
        <w:numId w:val="1"/>
      </w:numPr>
      <w:spacing w:before="120" w:after="120" w:line="240" w:lineRule="auto"/>
      <w:outlineLvl w:val="2"/>
    </w:pPr>
    <w:rPr>
      <w:rFonts w:ascii="Times New Roman Bold" w:eastAsia="Times New Roman" w:hAnsi="Times New Roman Bold" w:cs="Times New Roman"/>
      <w:b/>
      <w:sz w:val="24"/>
      <w:szCs w:val="24"/>
      <w:lang w:val="en-US"/>
    </w:rPr>
  </w:style>
  <w:style w:type="paragraph" w:styleId="Heading4">
    <w:name w:val="heading 4"/>
    <w:aliases w:val="MP-Heading 4"/>
    <w:next w:val="Normal"/>
    <w:link w:val="Heading4Char"/>
    <w:semiHidden/>
    <w:unhideWhenUsed/>
    <w:qFormat/>
    <w:rsid w:val="009A0EC4"/>
    <w:pPr>
      <w:keepNext/>
      <w:keepLines/>
      <w:numPr>
        <w:ilvl w:val="3"/>
        <w:numId w:val="1"/>
      </w:numPr>
      <w:spacing w:before="120" w:after="120" w:line="240" w:lineRule="auto"/>
      <w:outlineLvl w:val="3"/>
    </w:pPr>
    <w:rPr>
      <w:rFonts w:ascii="Times New Roman Bold" w:eastAsia="Times New Roman" w:hAnsi="Times New Roman Bold"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able Title Char1,Level 1 Char1,Outline1 Char1"/>
    <w:basedOn w:val="DefaultParagraphFont"/>
    <w:link w:val="Heading1"/>
    <w:rsid w:val="009A0EC4"/>
    <w:rPr>
      <w:rFonts w:ascii="Times New Roman Bold" w:eastAsia="Times New Roman" w:hAnsi="Times New Roman Bold" w:cs="Times New Roman"/>
      <w:caps/>
      <w:kern w:val="28"/>
      <w:sz w:val="24"/>
      <w:szCs w:val="20"/>
      <w:lang w:val="en-US"/>
    </w:rPr>
  </w:style>
  <w:style w:type="character" w:customStyle="1" w:styleId="Heading2Char">
    <w:name w:val="Heading 2 Char"/>
    <w:basedOn w:val="DefaultParagraphFont"/>
    <w:link w:val="Heading2"/>
    <w:uiPriority w:val="9"/>
    <w:semiHidden/>
    <w:rsid w:val="009A0EC4"/>
    <w:rPr>
      <w:rFonts w:ascii="Times New Roman Bold" w:eastAsia="Times New Roman" w:hAnsi="Times New Roman Bold" w:cs="Times New Roman"/>
      <w:b/>
      <w:sz w:val="24"/>
      <w:szCs w:val="24"/>
      <w:lang w:val="en-US"/>
    </w:rPr>
  </w:style>
  <w:style w:type="character" w:customStyle="1" w:styleId="Heading3Char">
    <w:name w:val="Heading 3 Char"/>
    <w:basedOn w:val="DefaultParagraphFont"/>
    <w:link w:val="Heading3"/>
    <w:semiHidden/>
    <w:rsid w:val="009A0EC4"/>
    <w:rPr>
      <w:rFonts w:ascii="Times New Roman Bold" w:eastAsia="Times New Roman" w:hAnsi="Times New Roman Bold" w:cs="Times New Roman"/>
      <w:b/>
      <w:sz w:val="24"/>
      <w:szCs w:val="24"/>
      <w:lang w:val="en-US"/>
    </w:rPr>
  </w:style>
  <w:style w:type="character" w:customStyle="1" w:styleId="Heading4Char">
    <w:name w:val="Heading 4 Char"/>
    <w:basedOn w:val="DefaultParagraphFont"/>
    <w:link w:val="Heading4"/>
    <w:semiHidden/>
    <w:rsid w:val="009A0EC4"/>
    <w:rPr>
      <w:rFonts w:ascii="Times New Roman Bold" w:eastAsia="Times New Roman" w:hAnsi="Times New Roman Bold" w:cs="Times New Roman"/>
      <w:sz w:val="24"/>
      <w:szCs w:val="24"/>
      <w:lang w:val="en-US"/>
    </w:rPr>
  </w:style>
  <w:style w:type="paragraph" w:customStyle="1" w:styleId="NormalParagHeading2">
    <w:name w:val="Normal Parag_Heading 2"/>
    <w:basedOn w:val="Normal"/>
    <w:qFormat/>
    <w:rsid w:val="009A0EC4"/>
    <w:pPr>
      <w:spacing w:after="120"/>
    </w:pPr>
    <w:rPr>
      <w:rFonts w:eastAsia="Calibri"/>
      <w:szCs w:val="22"/>
      <w:lang w:val="en-CA" w:eastAsia="en-US"/>
    </w:rPr>
  </w:style>
  <w:style w:type="paragraph" w:customStyle="1" w:styleId="NormalParagraphHeading2Bullet1">
    <w:name w:val="Normal Paragraph_Heading 2_Bullet 1"/>
    <w:basedOn w:val="Normal"/>
    <w:qFormat/>
    <w:rsid w:val="009A0EC4"/>
    <w:pPr>
      <w:keepNext/>
      <w:numPr>
        <w:numId w:val="6"/>
      </w:numPr>
      <w:spacing w:after="120"/>
    </w:pPr>
    <w:rPr>
      <w:rFonts w:eastAsia="Calibri"/>
      <w:szCs w:val="22"/>
      <w:lang w:val="en-US" w:eastAsia="en-US"/>
    </w:rPr>
  </w:style>
  <w:style w:type="paragraph" w:customStyle="1" w:styleId="NormalParagraphHeading2">
    <w:name w:val="Normal Paragraph_Heading 2"/>
    <w:basedOn w:val="Normal"/>
    <w:link w:val="NormalParagraphHeading2Char"/>
    <w:rsid w:val="009A0EC4"/>
    <w:pPr>
      <w:spacing w:after="120"/>
    </w:pPr>
    <w:rPr>
      <w:szCs w:val="20"/>
      <w:lang w:val="en-US" w:eastAsia="en-US"/>
    </w:rPr>
  </w:style>
  <w:style w:type="paragraph" w:customStyle="1" w:styleId="NormalParagraphHeading3">
    <w:name w:val="Normal Paragraph_Heading 3"/>
    <w:basedOn w:val="Normal"/>
    <w:link w:val="NormalParagraphHeading3Char"/>
    <w:rsid w:val="009A0EC4"/>
    <w:pPr>
      <w:spacing w:after="120"/>
    </w:pPr>
    <w:rPr>
      <w:szCs w:val="20"/>
      <w:lang w:val="en-US" w:eastAsia="en-US"/>
    </w:rPr>
  </w:style>
  <w:style w:type="paragraph" w:styleId="Caption">
    <w:name w:val="caption"/>
    <w:basedOn w:val="Normal"/>
    <w:next w:val="Normal"/>
    <w:autoRedefine/>
    <w:uiPriority w:val="1"/>
    <w:semiHidden/>
    <w:unhideWhenUsed/>
    <w:qFormat/>
    <w:rsid w:val="009A0EC4"/>
    <w:pPr>
      <w:keepNext/>
      <w:spacing w:before="120" w:after="120"/>
    </w:pPr>
    <w:rPr>
      <w:b/>
      <w:szCs w:val="20"/>
      <w:lang w:val="en-CA" w:eastAsia="en-US"/>
    </w:rPr>
  </w:style>
  <w:style w:type="character" w:customStyle="1" w:styleId="NormalParagraphHeading2Char">
    <w:name w:val="Normal Paragraph_Heading 2 Char"/>
    <w:link w:val="NormalParagraphHeading2"/>
    <w:locked/>
    <w:rsid w:val="009A0EC4"/>
    <w:rPr>
      <w:rFonts w:ascii="Times New Roman" w:eastAsia="Times New Roman" w:hAnsi="Times New Roman" w:cs="Times New Roman"/>
      <w:sz w:val="24"/>
      <w:szCs w:val="20"/>
      <w:lang w:val="en-US"/>
    </w:rPr>
  </w:style>
  <w:style w:type="character" w:customStyle="1" w:styleId="NormalParagraphHeading3Char">
    <w:name w:val="Normal Paragraph_Heading 3 Char"/>
    <w:link w:val="NormalParagraphHeading3"/>
    <w:locked/>
    <w:rsid w:val="009A0EC4"/>
    <w:rPr>
      <w:rFonts w:ascii="Times New Roman" w:eastAsia="Times New Roman" w:hAnsi="Times New Roman" w:cs="Times New Roman"/>
      <w:sz w:val="24"/>
      <w:szCs w:val="20"/>
      <w:lang w:val="en-US"/>
    </w:rPr>
  </w:style>
  <w:style w:type="character" w:customStyle="1" w:styleId="NormalHeading1Char">
    <w:name w:val="Normal Heading 1 Char"/>
    <w:link w:val="NormalHeading1"/>
    <w:locked/>
    <w:rsid w:val="009A0EC4"/>
    <w:rPr>
      <w:sz w:val="24"/>
    </w:rPr>
  </w:style>
  <w:style w:type="paragraph" w:customStyle="1" w:styleId="NormalHeading1">
    <w:name w:val="Normal Heading 1"/>
    <w:basedOn w:val="Normal"/>
    <w:link w:val="NormalHeading1Char"/>
    <w:rsid w:val="009A0EC4"/>
    <w:pPr>
      <w:spacing w:before="120" w:after="120"/>
      <w:ind w:left="360"/>
      <w:jc w:val="both"/>
    </w:pPr>
    <w:rPr>
      <w:rFonts w:asciiTheme="minorHAnsi" w:eastAsiaTheme="minorHAnsi" w:hAnsiTheme="minorHAnsi" w:cstheme="minorBidi"/>
      <w:szCs w:val="22"/>
      <w:lang w:eastAsia="en-US"/>
    </w:rPr>
  </w:style>
  <w:style w:type="table" w:customStyle="1" w:styleId="TablePK">
    <w:name w:val="_TablePK"/>
    <w:basedOn w:val="TableNormal"/>
    <w:uiPriority w:val="99"/>
    <w:rsid w:val="009A0EC4"/>
    <w:pPr>
      <w:spacing w:after="0" w:line="240" w:lineRule="auto"/>
      <w:jc w:val="center"/>
    </w:pPr>
    <w:rPr>
      <w:rFonts w:ascii="Times New Roman" w:eastAsia="Calibri" w:hAnsi="Times New Roman" w:cs="Times New Roman"/>
      <w:lang w:val="en-US"/>
    </w:rPr>
    <w:tblPr>
      <w:tblInd w:w="0" w:type="nil"/>
      <w:tblBorders>
        <w:bottom w:val="single" w:sz="4" w:space="0" w:color="auto"/>
      </w:tblBorders>
      <w:tblCellMar>
        <w:left w:w="29" w:type="dxa"/>
        <w:right w:w="29" w:type="dxa"/>
      </w:tblCellMar>
    </w:tblPr>
    <w:tcPr>
      <w:vAlign w:val="center"/>
    </w:tcPr>
    <w:tblStylePr w:type="firstRow">
      <w:tblPr/>
      <w:tcPr>
        <w:tcBorders>
          <w:top w:val="single" w:sz="4" w:space="0" w:color="auto"/>
          <w:left w:val="nil"/>
          <w:bottom w:val="single" w:sz="4" w:space="0" w:color="auto"/>
          <w:right w:val="nil"/>
          <w:insideH w:val="single" w:sz="4" w:space="0" w:color="auto"/>
          <w:insideV w:val="single" w:sz="4" w:space="0" w:color="auto"/>
        </w:tcBorders>
      </w:tcPr>
    </w:tblStylePr>
    <w:tblStylePr w:type="lastRow">
      <w:tblPr/>
      <w:tcPr>
        <w:tcBorders>
          <w:bottom w:val="single" w:sz="4" w:space="0" w:color="auto"/>
        </w:tcBorders>
      </w:tcPr>
    </w:tblStylePr>
    <w:tblStylePr w:type="firstCol">
      <w:pPr>
        <w:wordWrap/>
        <w:ind w:leftChars="0"/>
        <w:jc w:val="left"/>
      </w:pPr>
      <w:tblPr/>
      <w:tcPr>
        <w:tcBorders>
          <w:right w:val="single" w:sz="4" w:space="0" w:color="auto"/>
        </w:tcBorders>
      </w:tcPr>
    </w:tblStylePr>
  </w:style>
  <w:style w:type="paragraph" w:styleId="FootnoteText">
    <w:name w:val="footnote text"/>
    <w:basedOn w:val="Normal"/>
    <w:link w:val="FootnoteTextChar"/>
    <w:semiHidden/>
    <w:unhideWhenUsed/>
    <w:rsid w:val="009A0EC4"/>
    <w:pPr>
      <w:suppressAutoHyphens/>
      <w:spacing w:before="240"/>
      <w:ind w:left="504" w:hanging="504"/>
    </w:pPr>
    <w:rPr>
      <w:sz w:val="22"/>
      <w:szCs w:val="20"/>
      <w:lang w:val="en-US" w:eastAsia="en-US"/>
    </w:rPr>
  </w:style>
  <w:style w:type="character" w:customStyle="1" w:styleId="FootnoteTextChar">
    <w:name w:val="Footnote Text Char"/>
    <w:basedOn w:val="DefaultParagraphFont"/>
    <w:link w:val="FootnoteText"/>
    <w:semiHidden/>
    <w:rsid w:val="009A0EC4"/>
    <w:rPr>
      <w:rFonts w:ascii="Times New Roman" w:eastAsia="Times New Roman" w:hAnsi="Times New Roman" w:cs="Times New Roman"/>
      <w:szCs w:val="20"/>
      <w:lang w:val="en-US"/>
    </w:rPr>
  </w:style>
  <w:style w:type="character" w:customStyle="1" w:styleId="In-TextTableTitleChar">
    <w:name w:val="In-Text Table_Title Char"/>
    <w:link w:val="In-TextTableTitle"/>
    <w:locked/>
    <w:rsid w:val="009A0EC4"/>
    <w:rPr>
      <w:rFonts w:ascii="Times New Roman Bold" w:eastAsia="Calibri" w:hAnsi="Times New Roman Bold"/>
      <w:b/>
      <w:sz w:val="24"/>
      <w:lang w:val="en-CA"/>
    </w:rPr>
  </w:style>
  <w:style w:type="paragraph" w:customStyle="1" w:styleId="In-TextTableTitle">
    <w:name w:val="In-Text Table_Title"/>
    <w:basedOn w:val="Normal"/>
    <w:link w:val="In-TextTableTitleChar"/>
    <w:qFormat/>
    <w:rsid w:val="009A0EC4"/>
    <w:pPr>
      <w:keepNext/>
      <w:spacing w:after="120"/>
      <w:ind w:left="1008" w:hanging="1008"/>
    </w:pPr>
    <w:rPr>
      <w:rFonts w:ascii="Times New Roman Bold" w:eastAsia="Calibri" w:hAnsi="Times New Roman Bold" w:cstheme="minorBidi"/>
      <w:b/>
      <w:szCs w:val="22"/>
      <w:lang w:val="en-CA" w:eastAsia="en-US"/>
    </w:rPr>
  </w:style>
  <w:style w:type="paragraph" w:customStyle="1" w:styleId="In-TextTableBodytext">
    <w:name w:val="In-Text Table_Body text"/>
    <w:basedOn w:val="Normal"/>
    <w:qFormat/>
    <w:rsid w:val="009A0EC4"/>
    <w:pPr>
      <w:snapToGrid w:val="0"/>
      <w:ind w:left="29"/>
      <w:jc w:val="center"/>
    </w:pPr>
    <w:rPr>
      <w:rFonts w:eastAsia="Calibri"/>
      <w:sz w:val="22"/>
      <w:szCs w:val="22"/>
      <w:lang w:val="en-US" w:eastAsia="en-US"/>
    </w:rPr>
  </w:style>
  <w:style w:type="paragraph" w:customStyle="1" w:styleId="In-TextTableFootnote">
    <w:name w:val="In-Text Table_Footnote"/>
    <w:basedOn w:val="Normal"/>
    <w:qFormat/>
    <w:rsid w:val="009A0EC4"/>
    <w:pPr>
      <w:keepNext/>
      <w:snapToGrid w:val="0"/>
    </w:pPr>
    <w:rPr>
      <w:rFonts w:eastAsia="Calibri"/>
      <w:sz w:val="20"/>
      <w:szCs w:val="22"/>
      <w:lang w:val="en-CA" w:eastAsia="en-US"/>
    </w:rPr>
  </w:style>
  <w:style w:type="character" w:styleId="FootnoteReference">
    <w:name w:val="footnote reference"/>
    <w:semiHidden/>
    <w:unhideWhenUsed/>
    <w:rsid w:val="009A0EC4"/>
    <w:rPr>
      <w:rFonts w:ascii="Times New Roman" w:hAnsi="Times New Roman" w:cs="Times New Roman" w:hint="default"/>
      <w:position w:val="6"/>
      <w:sz w:val="18"/>
      <w:vertAlign w:val="baseline"/>
    </w:rPr>
  </w:style>
  <w:style w:type="paragraph" w:customStyle="1" w:styleId="In-textTableHeaderrows">
    <w:name w:val="In-text Table_Header rows"/>
    <w:basedOn w:val="Normal"/>
    <w:rsid w:val="0079025D"/>
    <w:pPr>
      <w:keepNext/>
      <w:keepLines/>
      <w:snapToGrid w:val="0"/>
      <w:spacing w:before="20" w:after="20"/>
    </w:pPr>
    <w:rPr>
      <w:rFonts w:ascii="Times New Roman Bold" w:hAnsi="Times New Roman Bold"/>
      <w:b/>
      <w:color w:val="000000"/>
      <w:sz w:val="22"/>
      <w:lang w:val="en-US" w:eastAsia="en-US"/>
    </w:rPr>
  </w:style>
  <w:style w:type="paragraph" w:customStyle="1" w:styleId="TableText">
    <w:name w:val="Table Text"/>
    <w:basedOn w:val="Normal"/>
    <w:rsid w:val="00AD1E39"/>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625641">
      <w:bodyDiv w:val="1"/>
      <w:marLeft w:val="0"/>
      <w:marRight w:val="0"/>
      <w:marTop w:val="0"/>
      <w:marBottom w:val="0"/>
      <w:divBdr>
        <w:top w:val="none" w:sz="0" w:space="0" w:color="auto"/>
        <w:left w:val="none" w:sz="0" w:space="0" w:color="auto"/>
        <w:bottom w:val="none" w:sz="0" w:space="0" w:color="auto"/>
        <w:right w:val="none" w:sz="0" w:space="0" w:color="auto"/>
      </w:divBdr>
    </w:div>
    <w:div w:id="397634865">
      <w:bodyDiv w:val="1"/>
      <w:marLeft w:val="0"/>
      <w:marRight w:val="0"/>
      <w:marTop w:val="0"/>
      <w:marBottom w:val="0"/>
      <w:divBdr>
        <w:top w:val="none" w:sz="0" w:space="0" w:color="auto"/>
        <w:left w:val="none" w:sz="0" w:space="0" w:color="auto"/>
        <w:bottom w:val="none" w:sz="0" w:space="0" w:color="auto"/>
        <w:right w:val="none" w:sz="0" w:space="0" w:color="auto"/>
      </w:divBdr>
    </w:div>
    <w:div w:id="472017740">
      <w:bodyDiv w:val="1"/>
      <w:marLeft w:val="0"/>
      <w:marRight w:val="0"/>
      <w:marTop w:val="0"/>
      <w:marBottom w:val="0"/>
      <w:divBdr>
        <w:top w:val="none" w:sz="0" w:space="0" w:color="auto"/>
        <w:left w:val="none" w:sz="0" w:space="0" w:color="auto"/>
        <w:bottom w:val="none" w:sz="0" w:space="0" w:color="auto"/>
        <w:right w:val="none" w:sz="0" w:space="0" w:color="auto"/>
      </w:divBdr>
    </w:div>
    <w:div w:id="538277269">
      <w:bodyDiv w:val="1"/>
      <w:marLeft w:val="0"/>
      <w:marRight w:val="0"/>
      <w:marTop w:val="0"/>
      <w:marBottom w:val="0"/>
      <w:divBdr>
        <w:top w:val="none" w:sz="0" w:space="0" w:color="auto"/>
        <w:left w:val="none" w:sz="0" w:space="0" w:color="auto"/>
        <w:bottom w:val="none" w:sz="0" w:space="0" w:color="auto"/>
        <w:right w:val="none" w:sz="0" w:space="0" w:color="auto"/>
      </w:divBdr>
    </w:div>
    <w:div w:id="658459408">
      <w:bodyDiv w:val="1"/>
      <w:marLeft w:val="0"/>
      <w:marRight w:val="0"/>
      <w:marTop w:val="0"/>
      <w:marBottom w:val="0"/>
      <w:divBdr>
        <w:top w:val="none" w:sz="0" w:space="0" w:color="auto"/>
        <w:left w:val="none" w:sz="0" w:space="0" w:color="auto"/>
        <w:bottom w:val="none" w:sz="0" w:space="0" w:color="auto"/>
        <w:right w:val="none" w:sz="0" w:space="0" w:color="auto"/>
      </w:divBdr>
    </w:div>
    <w:div w:id="1021779883">
      <w:bodyDiv w:val="1"/>
      <w:marLeft w:val="0"/>
      <w:marRight w:val="0"/>
      <w:marTop w:val="0"/>
      <w:marBottom w:val="0"/>
      <w:divBdr>
        <w:top w:val="none" w:sz="0" w:space="0" w:color="auto"/>
        <w:left w:val="none" w:sz="0" w:space="0" w:color="auto"/>
        <w:bottom w:val="none" w:sz="0" w:space="0" w:color="auto"/>
        <w:right w:val="none" w:sz="0" w:space="0" w:color="auto"/>
      </w:divBdr>
    </w:div>
    <w:div w:id="1732733985">
      <w:bodyDiv w:val="1"/>
      <w:marLeft w:val="0"/>
      <w:marRight w:val="0"/>
      <w:marTop w:val="0"/>
      <w:marBottom w:val="0"/>
      <w:divBdr>
        <w:top w:val="none" w:sz="0" w:space="0" w:color="auto"/>
        <w:left w:val="none" w:sz="0" w:space="0" w:color="auto"/>
        <w:bottom w:val="none" w:sz="0" w:space="0" w:color="auto"/>
        <w:right w:val="none" w:sz="0" w:space="0" w:color="auto"/>
      </w:divBdr>
    </w:div>
    <w:div w:id="187545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8</Pages>
  <Words>3050</Words>
  <Characters>17389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Azzopardi</dc:creator>
  <cp:keywords/>
  <dc:description/>
  <cp:lastModifiedBy>David Azzopardi</cp:lastModifiedBy>
  <cp:revision>4</cp:revision>
  <dcterms:created xsi:type="dcterms:W3CDTF">2022-03-30T07:22:00Z</dcterms:created>
  <dcterms:modified xsi:type="dcterms:W3CDTF">2022-03-30T08:57:00Z</dcterms:modified>
</cp:coreProperties>
</file>