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1F243" w14:textId="2AA7C7F6" w:rsidR="001277E9" w:rsidRPr="001277E9" w:rsidRDefault="00D551DC" w:rsidP="001277E9">
      <w:pPr>
        <w:pStyle w:val="Heading1"/>
        <w:spacing w:line="360" w:lineRule="auto"/>
      </w:pPr>
      <w:r>
        <w:t xml:space="preserve">Appendix </w:t>
      </w:r>
    </w:p>
    <w:p w14:paraId="028ACDD2" w14:textId="6D2E4841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The following supplementary materials show the results of our </w:t>
      </w:r>
      <w:r w:rsidR="00212533">
        <w:rPr>
          <w:rFonts w:ascii="Arial" w:hAnsi="Arial" w:cs="Arial"/>
          <w:sz w:val="20"/>
          <w:szCs w:val="20"/>
          <w:lang w:val="en-US"/>
        </w:rPr>
        <w:t xml:space="preserve">sensitivity </w:t>
      </w:r>
      <w:r>
        <w:rPr>
          <w:rFonts w:ascii="Arial" w:hAnsi="Arial" w:cs="Arial"/>
          <w:sz w:val="20"/>
          <w:szCs w:val="20"/>
          <w:lang w:val="en-US"/>
        </w:rPr>
        <w:t>analyses yielding overall incidence rate ratios, overall breast cancer-specific mortality rate ratios</w:t>
      </w:r>
      <w:r w:rsidR="005718BD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and age-specific incidence rate ratios based on full case- (exclude missing stage-cases) vs. available case-comparisons (include missing stage-cases), as depicted in Figure A1 and Figure A2. The analyses show increases in missing stage-cases when considering overall incidence (age-unspecific) and overall breast cancer-specific mortality (age-unspecific)</w:t>
      </w:r>
      <w:r w:rsidR="00EB5F61">
        <w:rPr>
          <w:rFonts w:ascii="Arial" w:hAnsi="Arial" w:cs="Arial"/>
          <w:sz w:val="20"/>
          <w:szCs w:val="20"/>
          <w:lang w:val="en-US"/>
        </w:rPr>
        <w:t xml:space="preserve"> (Figure A1)</w:t>
      </w:r>
      <w:r>
        <w:rPr>
          <w:rFonts w:ascii="Arial" w:hAnsi="Arial" w:cs="Arial"/>
          <w:sz w:val="20"/>
          <w:szCs w:val="20"/>
          <w:lang w:val="en-US"/>
        </w:rPr>
        <w:t xml:space="preserve">. The results of the </w:t>
      </w:r>
      <w:r w:rsidR="00EB5F61">
        <w:rPr>
          <w:rFonts w:ascii="Arial" w:hAnsi="Arial" w:cs="Arial"/>
          <w:sz w:val="20"/>
          <w:szCs w:val="20"/>
          <w:lang w:val="en-US"/>
        </w:rPr>
        <w:t xml:space="preserve">analysis on </w:t>
      </w:r>
      <w:r>
        <w:rPr>
          <w:rFonts w:ascii="Arial" w:hAnsi="Arial" w:cs="Arial"/>
          <w:sz w:val="20"/>
          <w:szCs w:val="20"/>
          <w:lang w:val="en-US"/>
        </w:rPr>
        <w:t xml:space="preserve">age-specific incidence rate ratios (Figure </w:t>
      </w:r>
      <w:r w:rsidR="00EB5F61">
        <w:rPr>
          <w:rFonts w:ascii="Arial" w:hAnsi="Arial" w:cs="Arial"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>2) suggest a tendency of larger increases in missing stage-cases in younger age groups</w:t>
      </w:r>
      <w:r w:rsidR="00EB5F61">
        <w:rPr>
          <w:rFonts w:ascii="Arial" w:hAnsi="Arial" w:cs="Arial"/>
          <w:sz w:val="20"/>
          <w:szCs w:val="20"/>
          <w:lang w:val="en-US"/>
        </w:rPr>
        <w:t>.</w:t>
      </w:r>
    </w:p>
    <w:p w14:paraId="7672857E" w14:textId="1511568C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531E72A" w14:textId="77777777" w:rsidR="00741AB4" w:rsidRDefault="00741AB4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5ECCDB9" w14:textId="189D27FF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01429CB" w14:textId="00942784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EBCB377" w14:textId="383DC522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4C073AE" w14:textId="5622BB3E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D761BFC" w14:textId="071C3997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0D9FB51" w14:textId="258B4BBD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BE5480E" w14:textId="560A3C58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1B9CE2A" w14:textId="30270510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3FA0E8D" w14:textId="0B0D2BF7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35C560F" w14:textId="585E412F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2F789B5" w14:textId="5D6AB23A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144543A" w14:textId="15602A43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542031D" w14:textId="707E40E8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68CE829" w14:textId="56B34BAE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76B236F" w14:textId="243B2F45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D912AA8" w14:textId="151E388A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36BC0E0" w14:textId="17D33ACD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D8393C1" w14:textId="5BC81F50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76635DA" w14:textId="172CB45B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90FB777" w14:textId="5AFE10BE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FD531EC" w14:textId="10E90FF7" w:rsidR="007877F8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5816396A" w14:textId="77777777" w:rsidR="007877F8" w:rsidRPr="00E46F76" w:rsidRDefault="007877F8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4A4C655" w14:textId="35C926A1" w:rsidR="00D551DC" w:rsidRDefault="00D551DC" w:rsidP="001277E9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2087E60" wp14:editId="204A359B">
            <wp:extent cx="4842933" cy="3843867"/>
            <wp:effectExtent l="0" t="0" r="8890" b="1714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8148873-8A15-F44D-B77E-9E95AC3FB6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59700A" w14:textId="08314C41" w:rsidR="00D551DC" w:rsidRDefault="00D551DC" w:rsidP="00D551DC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4396BF40" wp14:editId="0290B264">
            <wp:extent cx="4842510" cy="3683000"/>
            <wp:effectExtent l="0" t="0" r="8890" b="1270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E9B89B-A216-F246-99B4-4CBA88DE1E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C776F84" w14:textId="73CEF1AB" w:rsidR="00D551DC" w:rsidRPr="00DE6A2E" w:rsidRDefault="001277E9" w:rsidP="00D551DC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DE6A2E">
        <w:rPr>
          <w:rFonts w:ascii="Arial" w:hAnsi="Arial" w:cs="Arial"/>
          <w:sz w:val="18"/>
          <w:szCs w:val="18"/>
          <w:lang w:val="en-US"/>
        </w:rPr>
        <w:t xml:space="preserve">Figure A1 </w:t>
      </w:r>
      <w:r w:rsidR="00EB5F61" w:rsidRPr="00DE6A2E">
        <w:rPr>
          <w:rFonts w:ascii="Arial" w:hAnsi="Arial" w:cs="Arial"/>
          <w:sz w:val="18"/>
          <w:szCs w:val="18"/>
          <w:lang w:val="en-US"/>
        </w:rPr>
        <w:t>Overall i</w:t>
      </w:r>
      <w:r w:rsidRPr="00DE6A2E">
        <w:rPr>
          <w:rFonts w:ascii="Arial" w:hAnsi="Arial" w:cs="Arial"/>
          <w:sz w:val="18"/>
          <w:szCs w:val="18"/>
          <w:lang w:val="en-US"/>
        </w:rPr>
        <w:t>ncidence and</w:t>
      </w:r>
      <w:r w:rsidR="00EB5F61" w:rsidRPr="00DE6A2E">
        <w:rPr>
          <w:rFonts w:ascii="Arial" w:hAnsi="Arial" w:cs="Arial"/>
          <w:sz w:val="18"/>
          <w:szCs w:val="18"/>
          <w:lang w:val="en-US"/>
        </w:rPr>
        <w:t xml:space="preserve"> overall breast cancer-specific</w:t>
      </w:r>
      <w:r w:rsidRPr="00DE6A2E">
        <w:rPr>
          <w:rFonts w:ascii="Arial" w:hAnsi="Arial" w:cs="Arial"/>
          <w:sz w:val="18"/>
          <w:szCs w:val="18"/>
          <w:lang w:val="en-US"/>
        </w:rPr>
        <w:t xml:space="preserve"> mortality rate ratios of breast cancer in </w:t>
      </w:r>
      <w:r w:rsidR="00EB5F61" w:rsidRPr="00DE6A2E">
        <w:rPr>
          <w:rFonts w:ascii="Arial" w:hAnsi="Arial" w:cs="Arial"/>
          <w:sz w:val="18"/>
          <w:szCs w:val="18"/>
          <w:lang w:val="en-US"/>
        </w:rPr>
        <w:t>w</w:t>
      </w:r>
      <w:r w:rsidRPr="00DE6A2E">
        <w:rPr>
          <w:rFonts w:ascii="Arial" w:hAnsi="Arial" w:cs="Arial"/>
          <w:sz w:val="18"/>
          <w:szCs w:val="18"/>
          <w:lang w:val="en-US"/>
        </w:rPr>
        <w:t>omen in Austria (1983–2017) in a full case- vs. available case-analysis</w:t>
      </w:r>
    </w:p>
    <w:p w14:paraId="0B677F14" w14:textId="77777777" w:rsidR="00D551DC" w:rsidRPr="00E46F76" w:rsidRDefault="00D551DC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  <w:sectPr w:rsidR="00D551DC" w:rsidRPr="00E46F76" w:rsidSect="000761F3">
          <w:headerReference w:type="default" r:id="rId8"/>
          <w:footerReference w:type="even" r:id="rId9"/>
          <w:footerReference w:type="default" r:id="rId10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0616107" w14:textId="77777777" w:rsidR="00D551DC" w:rsidRDefault="00D551DC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85669B9" w14:textId="77777777" w:rsidR="00D551DC" w:rsidRPr="00E46F76" w:rsidRDefault="00D551DC" w:rsidP="00D551D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46F76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22C9DA23" wp14:editId="34C2253E">
            <wp:extent cx="9130467" cy="4724156"/>
            <wp:effectExtent l="0" t="0" r="1270" b="63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1593" cy="473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80A4" w14:textId="38B3F60A" w:rsidR="001277E9" w:rsidRPr="00DE6A2E" w:rsidRDefault="001277E9" w:rsidP="001277E9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DE6A2E">
        <w:rPr>
          <w:rFonts w:ascii="Arial" w:hAnsi="Arial" w:cs="Arial"/>
          <w:sz w:val="18"/>
          <w:szCs w:val="18"/>
          <w:lang w:val="en-US"/>
        </w:rPr>
        <w:t xml:space="preserve">Figure A2 Age-specific incidence rate ratios of breast cancer in </w:t>
      </w:r>
      <w:r w:rsidR="00EB5F61" w:rsidRPr="00DE6A2E">
        <w:rPr>
          <w:rFonts w:ascii="Arial" w:hAnsi="Arial" w:cs="Arial"/>
          <w:sz w:val="18"/>
          <w:szCs w:val="18"/>
          <w:lang w:val="en-US"/>
        </w:rPr>
        <w:t>w</w:t>
      </w:r>
      <w:r w:rsidRPr="00DE6A2E">
        <w:rPr>
          <w:rFonts w:ascii="Arial" w:hAnsi="Arial" w:cs="Arial"/>
          <w:sz w:val="18"/>
          <w:szCs w:val="18"/>
          <w:lang w:val="en-US"/>
        </w:rPr>
        <w:t>omen in Austria (1983–2017) in a full case- vs. available case-analysis</w:t>
      </w:r>
    </w:p>
    <w:p w14:paraId="6622BBF1" w14:textId="77777777" w:rsidR="00D551DC" w:rsidRPr="00FE5474" w:rsidRDefault="00D551DC" w:rsidP="00D551DC">
      <w:pPr>
        <w:pStyle w:val="NoSpacing"/>
        <w:spacing w:line="360" w:lineRule="auto"/>
        <w:rPr>
          <w:rFonts w:cs="Arial"/>
          <w:sz w:val="18"/>
          <w:szCs w:val="18"/>
          <w:lang w:val="en-US"/>
        </w:rPr>
      </w:pPr>
    </w:p>
    <w:p w14:paraId="51331C1B" w14:textId="31BA3675" w:rsidR="006478AA" w:rsidRPr="00003455" w:rsidRDefault="006478AA" w:rsidP="00003455">
      <w:pPr>
        <w:rPr>
          <w:lang w:val="en-GB"/>
        </w:rPr>
      </w:pPr>
      <w:bookmarkStart w:id="0" w:name="_GoBack"/>
      <w:bookmarkEnd w:id="0"/>
    </w:p>
    <w:sectPr w:rsidR="006478AA" w:rsidRPr="00003455" w:rsidSect="001277E9">
      <w:headerReference w:type="default" r:id="rId12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8C8CA" w14:textId="77777777" w:rsidR="00896294" w:rsidRDefault="00896294" w:rsidP="00DB202A">
      <w:r>
        <w:separator/>
      </w:r>
    </w:p>
  </w:endnote>
  <w:endnote w:type="continuationSeparator" w:id="0">
    <w:p w14:paraId="78E8CEE1" w14:textId="77777777" w:rsidR="00896294" w:rsidRDefault="00896294" w:rsidP="00DB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20352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CD9B65" w14:textId="77777777" w:rsidR="00D551DC" w:rsidRDefault="00D551DC" w:rsidP="00AF46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CF58DE" w14:textId="77777777" w:rsidR="00D551DC" w:rsidRDefault="00D551DC" w:rsidP="001B5D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Arial" w:hAnsi="Arial" w:cs="Arial"/>
        <w:sz w:val="20"/>
        <w:szCs w:val="20"/>
      </w:rPr>
      <w:id w:val="5889733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C7E332" w14:textId="77777777" w:rsidR="00D551DC" w:rsidRPr="001B5D58" w:rsidRDefault="00D551DC" w:rsidP="00AF4622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 w:rsidRPr="001B5D58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1B5D58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1B5D58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890A78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1B5D58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2363B95A" w14:textId="77777777" w:rsidR="00D551DC" w:rsidRDefault="00D551DC" w:rsidP="001B5D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D9528" w14:textId="77777777" w:rsidR="00896294" w:rsidRDefault="00896294" w:rsidP="00DB202A">
      <w:r>
        <w:separator/>
      </w:r>
    </w:p>
  </w:footnote>
  <w:footnote w:type="continuationSeparator" w:id="0">
    <w:p w14:paraId="06A73981" w14:textId="77777777" w:rsidR="00896294" w:rsidRDefault="00896294" w:rsidP="00DB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B7BAA" w14:textId="575576AF" w:rsidR="00D551DC" w:rsidRPr="00D551DC" w:rsidRDefault="00D551DC" w:rsidP="00A96A54">
    <w:pPr>
      <w:pStyle w:val="Header"/>
      <w:jc w:val="right"/>
      <w:rPr>
        <w:lang w:val="en-US"/>
      </w:rPr>
    </w:pPr>
    <w:r>
      <w:rPr>
        <w:rFonts w:ascii="Arial" w:hAnsi="Arial" w:cs="Arial"/>
        <w:sz w:val="20"/>
        <w:szCs w:val="20"/>
        <w:lang w:val="en-US"/>
      </w:rPr>
      <w:t>Appendix</w:t>
    </w:r>
    <w:r w:rsidR="00145FA2">
      <w:rPr>
        <w:rFonts w:ascii="Arial" w:hAnsi="Arial" w:cs="Arial"/>
        <w:sz w:val="20"/>
        <w:szCs w:val="20"/>
        <w:lang w:val="en-US"/>
      </w:rPr>
      <w:t xml:space="preserve"> </w:t>
    </w:r>
    <w:r w:rsidR="00145FA2" w:rsidRPr="00D551DC">
      <w:rPr>
        <w:rFonts w:ascii="Arial" w:hAnsi="Arial" w:cs="Arial"/>
        <w:sz w:val="20"/>
        <w:szCs w:val="20"/>
        <w:lang w:val="en-US"/>
      </w:rPr>
      <w:t>–</w:t>
    </w:r>
    <w:r>
      <w:rPr>
        <w:rFonts w:ascii="Arial" w:hAnsi="Arial" w:cs="Arial"/>
        <w:sz w:val="20"/>
        <w:szCs w:val="20"/>
        <w:lang w:val="en-US"/>
      </w:rPr>
      <w:t xml:space="preserve"> </w:t>
    </w:r>
    <w:r w:rsidRPr="00D551DC">
      <w:rPr>
        <w:rFonts w:ascii="Arial" w:hAnsi="Arial" w:cs="Arial"/>
        <w:sz w:val="20"/>
        <w:szCs w:val="20"/>
        <w:lang w:val="en-US"/>
      </w:rPr>
      <w:t>Female breast cancer trends in Austria</w:t>
    </w:r>
    <w:r w:rsidR="001551F3">
      <w:rPr>
        <w:rFonts w:ascii="Arial" w:hAnsi="Arial" w:cs="Arial"/>
        <w:sz w:val="20"/>
        <w:szCs w:val="20"/>
        <w:lang w:val="en-US"/>
      </w:rPr>
      <w:t xml:space="preserve"> (</w:t>
    </w:r>
    <w:r w:rsidRPr="00D551DC">
      <w:rPr>
        <w:rFonts w:ascii="Arial" w:hAnsi="Arial" w:cs="Arial"/>
        <w:sz w:val="20"/>
        <w:szCs w:val="20"/>
        <w:lang w:val="en-US"/>
      </w:rPr>
      <w:t>1983–2017</w:t>
    </w:r>
    <w:r w:rsidR="001551F3">
      <w:rPr>
        <w:rFonts w:ascii="Arial" w:hAnsi="Arial" w:cs="Arial"/>
        <w:sz w:val="20"/>
        <w:szCs w:val="20"/>
        <w:lang w:val="en-US"/>
      </w:rPr>
      <w:t>)</w:t>
    </w:r>
    <w:r w:rsidRPr="00D551DC">
      <w:rPr>
        <w:rFonts w:ascii="Arial" w:hAnsi="Arial" w:cs="Arial"/>
        <w:sz w:val="20"/>
        <w:szCs w:val="20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BADD5" w14:textId="515111D0" w:rsidR="00DB202A" w:rsidRPr="00DB202A" w:rsidRDefault="00003455" w:rsidP="00DB202A">
    <w:pPr>
      <w:pStyle w:val="Header"/>
      <w:jc w:val="right"/>
      <w:rPr>
        <w:lang w:val="en-US"/>
      </w:rPr>
    </w:pPr>
    <w:r>
      <w:rPr>
        <w:rFonts w:ascii="Arial" w:hAnsi="Arial" w:cs="Arial"/>
        <w:sz w:val="20"/>
        <w:szCs w:val="20"/>
        <w:lang w:val="en-US"/>
      </w:rPr>
      <w:t xml:space="preserve">Figure </w:t>
    </w:r>
    <w:r w:rsidR="00B61F51">
      <w:rPr>
        <w:rFonts w:ascii="Arial" w:hAnsi="Arial" w:cs="Arial"/>
        <w:sz w:val="20"/>
        <w:szCs w:val="20"/>
        <w:lang w:val="en-US"/>
      </w:rPr>
      <w:t>4</w:t>
    </w:r>
    <w:r w:rsidR="002B2535">
      <w:rPr>
        <w:rFonts w:ascii="Arial" w:hAnsi="Arial" w:cs="Arial"/>
        <w:sz w:val="20"/>
        <w:szCs w:val="20"/>
        <w:lang w:val="en-US"/>
      </w:rPr>
      <w:t xml:space="preserve">, </w:t>
    </w:r>
    <w:r w:rsidR="00DB202A" w:rsidRPr="00DB202A">
      <w:rPr>
        <w:rFonts w:ascii="Arial" w:hAnsi="Arial" w:cs="Arial"/>
        <w:sz w:val="20"/>
        <w:szCs w:val="20"/>
        <w:lang w:val="en-US"/>
      </w:rPr>
      <w:t xml:space="preserve">Female breast cancer trends in Austria, 1983–2017 </w:t>
    </w:r>
  </w:p>
  <w:p w14:paraId="0EA48D12" w14:textId="77777777" w:rsidR="00DB202A" w:rsidRPr="00DB202A" w:rsidRDefault="00DB202A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2A"/>
    <w:rsid w:val="00003455"/>
    <w:rsid w:val="0005343F"/>
    <w:rsid w:val="000631D4"/>
    <w:rsid w:val="001277E9"/>
    <w:rsid w:val="00145FA2"/>
    <w:rsid w:val="001551F3"/>
    <w:rsid w:val="001917AE"/>
    <w:rsid w:val="002002FF"/>
    <w:rsid w:val="00212533"/>
    <w:rsid w:val="002306E7"/>
    <w:rsid w:val="002B2535"/>
    <w:rsid w:val="005718BD"/>
    <w:rsid w:val="00646140"/>
    <w:rsid w:val="006478AA"/>
    <w:rsid w:val="00670A83"/>
    <w:rsid w:val="006B53F9"/>
    <w:rsid w:val="006E2342"/>
    <w:rsid w:val="00741AB4"/>
    <w:rsid w:val="007877F8"/>
    <w:rsid w:val="007D520C"/>
    <w:rsid w:val="00890A78"/>
    <w:rsid w:val="00896294"/>
    <w:rsid w:val="008C2A78"/>
    <w:rsid w:val="00954C6C"/>
    <w:rsid w:val="00B36F3B"/>
    <w:rsid w:val="00B61F51"/>
    <w:rsid w:val="00C47677"/>
    <w:rsid w:val="00D0278F"/>
    <w:rsid w:val="00D551DC"/>
    <w:rsid w:val="00DA05CC"/>
    <w:rsid w:val="00DB202A"/>
    <w:rsid w:val="00DE6A2E"/>
    <w:rsid w:val="00E72FE5"/>
    <w:rsid w:val="00EB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2F6D"/>
  <w15:chartTrackingRefBased/>
  <w15:docId w15:val="{CAAE1BD9-D2BA-6240-BFE6-1292872C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02A"/>
    <w:rPr>
      <w:rFonts w:ascii="Times New Roman" w:eastAsia="Times New Roman" w:hAnsi="Times New Roman" w:cs="Times New Roman"/>
      <w:lang w:val="de-DE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1DC"/>
    <w:pPr>
      <w:keepNext/>
      <w:keepLines/>
      <w:suppressAutoHyphens/>
      <w:spacing w:before="240"/>
      <w:outlineLvl w:val="0"/>
    </w:pPr>
    <w:rPr>
      <w:rFonts w:ascii="Arial" w:eastAsiaTheme="majorEastAsia" w:hAnsi="Arial" w:cstheme="majorBidi"/>
      <w:color w:val="000000" w:themeColor="text1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202A"/>
    <w:rPr>
      <w:rFonts w:ascii="Arial" w:hAnsi="Arial"/>
      <w:sz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B20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02A"/>
    <w:rPr>
      <w:rFonts w:ascii="Times New Roman" w:eastAsia="Times New Roman" w:hAnsi="Times New Roman" w:cs="Times New Roman"/>
      <w:lang w:val="de-DE" w:eastAsia="en-GB"/>
    </w:rPr>
  </w:style>
  <w:style w:type="paragraph" w:styleId="Footer">
    <w:name w:val="footer"/>
    <w:basedOn w:val="Normal"/>
    <w:link w:val="FooterChar"/>
    <w:uiPriority w:val="99"/>
    <w:unhideWhenUsed/>
    <w:rsid w:val="00DB20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02A"/>
    <w:rPr>
      <w:rFonts w:ascii="Times New Roman" w:eastAsia="Times New Roman" w:hAnsi="Times New Roman" w:cs="Times New Roman"/>
      <w:lang w:val="de-DE" w:eastAsia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D551DC"/>
    <w:rPr>
      <w:rFonts w:ascii="Arial" w:eastAsiaTheme="majorEastAsia" w:hAnsi="Arial" w:cstheme="majorBidi"/>
      <w:color w:val="000000" w:themeColor="text1"/>
      <w:szCs w:val="32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D55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\\Users\lazoilic\Desktop\IRR%20w%20CIs%20Sheet%20Sensitivity%20Analysis%20(V2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\\Users\lazoilic\Desktop\IRR%20w%20CIs%20Sheet%20Sensitivity%20Analysis%20(V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112432796294164"/>
          <c:y val="0.11408092305293521"/>
          <c:w val="0.56506812276606133"/>
          <c:h val="0.70816825528387894"/>
        </c:manualLayout>
      </c:layout>
      <c:lineChart>
        <c:grouping val="standard"/>
        <c:varyColors val="0"/>
        <c:ser>
          <c:idx val="8"/>
          <c:order val="0"/>
          <c:tx>
            <c:strRef>
              <c:f>Sheet1!$J$12</c:f>
              <c:strCache>
                <c:ptCount val="1"/>
                <c:pt idx="0">
                  <c:v>Incidence Rate Ratio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4"/>
            <c:spPr>
              <a:solidFill>
                <a:sysClr val="windowText" lastClr="000000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numRef>
              <c:f>Sheet1!$Q$13:$Q$47</c:f>
              <c:numCache>
                <c:formatCode>General</c:formatCode>
                <c:ptCount val="35"/>
                <c:pt idx="1">
                  <c:v>1984</c:v>
                </c:pt>
                <c:pt idx="4">
                  <c:v>1987</c:v>
                </c:pt>
                <c:pt idx="7">
                  <c:v>1990</c:v>
                </c:pt>
                <c:pt idx="10">
                  <c:v>1993</c:v>
                </c:pt>
                <c:pt idx="13">
                  <c:v>1996</c:v>
                </c:pt>
                <c:pt idx="16">
                  <c:v>1999</c:v>
                </c:pt>
                <c:pt idx="19">
                  <c:v>2002</c:v>
                </c:pt>
                <c:pt idx="22">
                  <c:v>2005</c:v>
                </c:pt>
                <c:pt idx="25">
                  <c:v>2008</c:v>
                </c:pt>
                <c:pt idx="28">
                  <c:v>2011</c:v>
                </c:pt>
                <c:pt idx="31">
                  <c:v>2014</c:v>
                </c:pt>
                <c:pt idx="34">
                  <c:v>2017</c:v>
                </c:pt>
              </c:numCache>
            </c:numRef>
          </c:cat>
          <c:val>
            <c:numRef>
              <c:f>Sheet1!$R$13:$R$47</c:f>
              <c:numCache>
                <c:formatCode>General</c:formatCode>
                <c:ptCount val="35"/>
                <c:pt idx="1">
                  <c:v>1.0373645005760832</c:v>
                </c:pt>
                <c:pt idx="4">
                  <c:v>1.0516715244455757</c:v>
                </c:pt>
                <c:pt idx="7">
                  <c:v>1.0655959707749056</c:v>
                </c:pt>
                <c:pt idx="10">
                  <c:v>1.0779091161476064</c:v>
                </c:pt>
                <c:pt idx="13">
                  <c:v>1.1142431951770793</c:v>
                </c:pt>
                <c:pt idx="16">
                  <c:v>1.0993521164247866</c:v>
                </c:pt>
                <c:pt idx="19">
                  <c:v>1.1470301393960389</c:v>
                </c:pt>
                <c:pt idx="22">
                  <c:v>1.1681440018291898</c:v>
                </c:pt>
                <c:pt idx="25">
                  <c:v>1.1618351935141478</c:v>
                </c:pt>
                <c:pt idx="28">
                  <c:v>1.1779333704713104</c:v>
                </c:pt>
                <c:pt idx="31">
                  <c:v>1.2011425434238376</c:v>
                </c:pt>
                <c:pt idx="34">
                  <c:v>1.2033441260834781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04A-BE4C-9649-39642393A7E4}"/>
            </c:ext>
          </c:extLst>
        </c:ser>
        <c:ser>
          <c:idx val="9"/>
          <c:order val="1"/>
          <c:tx>
            <c:strRef>
              <c:f>Sheet1!$O$12</c:f>
              <c:strCache>
                <c:ptCount val="1"/>
                <c:pt idx="0">
                  <c:v>95% CI - Lower Bound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4"/>
            <c:spPr>
              <a:solidFill>
                <a:sysClr val="windowText" lastClr="000000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numRef>
              <c:f>Sheet1!$Q$13:$Q$47</c:f>
              <c:numCache>
                <c:formatCode>General</c:formatCode>
                <c:ptCount val="35"/>
                <c:pt idx="1">
                  <c:v>1984</c:v>
                </c:pt>
                <c:pt idx="4">
                  <c:v>1987</c:v>
                </c:pt>
                <c:pt idx="7">
                  <c:v>1990</c:v>
                </c:pt>
                <c:pt idx="10">
                  <c:v>1993</c:v>
                </c:pt>
                <c:pt idx="13">
                  <c:v>1996</c:v>
                </c:pt>
                <c:pt idx="16">
                  <c:v>1999</c:v>
                </c:pt>
                <c:pt idx="19">
                  <c:v>2002</c:v>
                </c:pt>
                <c:pt idx="22">
                  <c:v>2005</c:v>
                </c:pt>
                <c:pt idx="25">
                  <c:v>2008</c:v>
                </c:pt>
                <c:pt idx="28">
                  <c:v>2011</c:v>
                </c:pt>
                <c:pt idx="31">
                  <c:v>2014</c:v>
                </c:pt>
                <c:pt idx="34">
                  <c:v>2017</c:v>
                </c:pt>
              </c:numCache>
            </c:numRef>
          </c:cat>
          <c:val>
            <c:numRef>
              <c:f>Sheet1!$S$13:$S$47</c:f>
              <c:numCache>
                <c:formatCode>General</c:formatCode>
                <c:ptCount val="35"/>
                <c:pt idx="1">
                  <c:v>0.99165379919574992</c:v>
                </c:pt>
                <c:pt idx="4">
                  <c:v>1.0060627608379995</c:v>
                </c:pt>
                <c:pt idx="7">
                  <c:v>1.0208573188440002</c:v>
                </c:pt>
                <c:pt idx="10">
                  <c:v>1.0346520419536611</c:v>
                </c:pt>
                <c:pt idx="13">
                  <c:v>1.0706130755927161</c:v>
                </c:pt>
                <c:pt idx="16">
                  <c:v>1.0563944934320428</c:v>
                </c:pt>
                <c:pt idx="19">
                  <c:v>1.1022163634219424</c:v>
                </c:pt>
                <c:pt idx="22">
                  <c:v>1.1217144161096586</c:v>
                </c:pt>
                <c:pt idx="25">
                  <c:v>1.1163441931783333</c:v>
                </c:pt>
                <c:pt idx="28">
                  <c:v>1.1321500269552514</c:v>
                </c:pt>
                <c:pt idx="31">
                  <c:v>1.1540101863139949</c:v>
                </c:pt>
                <c:pt idx="34">
                  <c:v>1.1556932226652337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04A-BE4C-9649-39642393A7E4}"/>
            </c:ext>
          </c:extLst>
        </c:ser>
        <c:ser>
          <c:idx val="10"/>
          <c:order val="2"/>
          <c:tx>
            <c:strRef>
              <c:f>Sheet1!$P$12</c:f>
              <c:strCache>
                <c:ptCount val="1"/>
                <c:pt idx="0">
                  <c:v>95% CI - Upper Bound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4"/>
            <c:spPr>
              <a:solidFill>
                <a:schemeClr val="dk1">
                  <a:tint val="98500"/>
                </a:schemeClr>
              </a:solidFill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cat>
            <c:numRef>
              <c:f>Sheet1!$Q$13:$Q$47</c:f>
              <c:numCache>
                <c:formatCode>General</c:formatCode>
                <c:ptCount val="35"/>
                <c:pt idx="1">
                  <c:v>1984</c:v>
                </c:pt>
                <c:pt idx="4">
                  <c:v>1987</c:v>
                </c:pt>
                <c:pt idx="7">
                  <c:v>1990</c:v>
                </c:pt>
                <c:pt idx="10">
                  <c:v>1993</c:v>
                </c:pt>
                <c:pt idx="13">
                  <c:v>1996</c:v>
                </c:pt>
                <c:pt idx="16">
                  <c:v>1999</c:v>
                </c:pt>
                <c:pt idx="19">
                  <c:v>2002</c:v>
                </c:pt>
                <c:pt idx="22">
                  <c:v>2005</c:v>
                </c:pt>
                <c:pt idx="25">
                  <c:v>2008</c:v>
                </c:pt>
                <c:pt idx="28">
                  <c:v>2011</c:v>
                </c:pt>
                <c:pt idx="31">
                  <c:v>2014</c:v>
                </c:pt>
                <c:pt idx="34">
                  <c:v>2017</c:v>
                </c:pt>
              </c:numCache>
            </c:numRef>
          </c:cat>
          <c:val>
            <c:numRef>
              <c:f>Sheet1!$T$13:$T$47</c:f>
              <c:numCache>
                <c:formatCode>General</c:formatCode>
                <c:ptCount val="35"/>
                <c:pt idx="1">
                  <c:v>1.0851825698228701</c:v>
                </c:pt>
                <c:pt idx="4">
                  <c:v>1.0993499262390414</c:v>
                </c:pt>
                <c:pt idx="7">
                  <c:v>1.1122955521086446</c:v>
                </c:pt>
                <c:pt idx="10">
                  <c:v>1.1229751438721298</c:v>
                </c:pt>
                <c:pt idx="13">
                  <c:v>1.1596515756555776</c:v>
                </c:pt>
                <c:pt idx="16">
                  <c:v>1.1440566818955744</c:v>
                </c:pt>
                <c:pt idx="19">
                  <c:v>1.1936659956761508</c:v>
                </c:pt>
                <c:pt idx="22">
                  <c:v>1.2164956008669636</c:v>
                </c:pt>
                <c:pt idx="25">
                  <c:v>1.2091808546880791</c:v>
                </c:pt>
                <c:pt idx="28">
                  <c:v>1.2255683834400484</c:v>
                </c:pt>
                <c:pt idx="31">
                  <c:v>1.2501999232963377</c:v>
                </c:pt>
                <c:pt idx="34">
                  <c:v>1.2529600025931522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04A-BE4C-9649-39642393A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marker val="1"/>
        <c:smooth val="0"/>
        <c:axId val="702689768"/>
        <c:axId val="702678008"/>
      </c:lineChart>
      <c:catAx>
        <c:axId val="7026897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Year of Report</a:t>
                </a:r>
              </a:p>
            </c:rich>
          </c:tx>
          <c:layout>
            <c:manualLayout>
              <c:xMode val="edge"/>
              <c:yMode val="edge"/>
              <c:x val="0.31588229863226897"/>
              <c:y val="0.930521826219091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>
                <a:lumMod val="95000"/>
                <a:lumOff val="5000"/>
              </a:sys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2678008"/>
        <c:crossesAt val="0.1"/>
        <c:auto val="1"/>
        <c:lblAlgn val="ctr"/>
        <c:lblOffset val="100"/>
        <c:noMultiLvlLbl val="0"/>
      </c:catAx>
      <c:valAx>
        <c:axId val="702678008"/>
        <c:scaling>
          <c:logBase val="2"/>
          <c:orientation val="minMax"/>
        </c:scaling>
        <c:delete val="0"/>
        <c:axPos val="l"/>
        <c:majorGridlines>
          <c:spPr>
            <a:ln w="12700" cap="flat" cmpd="sng" algn="ctr">
              <a:solidFill>
                <a:sysClr val="windowText" lastClr="000000"/>
              </a:solidFill>
              <a:prstDash val="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Ratio</a:t>
                </a:r>
              </a:p>
            </c:rich>
          </c:tx>
          <c:layout>
            <c:manualLayout>
              <c:xMode val="edge"/>
              <c:yMode val="edge"/>
              <c:x val="4.7775789837293969E-2"/>
              <c:y val="0.453964605909409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2689768"/>
        <c:crosses val="autoZero"/>
        <c:crossBetween val="between"/>
      </c:valAx>
      <c:spPr>
        <a:noFill/>
        <a:ln cap="sq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70773170313509803"/>
          <c:y val="0.39114173228346455"/>
          <c:w val="0.21115604268059457"/>
          <c:h val="9.8052044481281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112432796294164"/>
          <c:y val="0.11408092305293521"/>
          <c:w val="0.56506812276606133"/>
          <c:h val="0.70816825528387894"/>
        </c:manualLayout>
      </c:layout>
      <c:lineChart>
        <c:grouping val="standard"/>
        <c:varyColors val="0"/>
        <c:ser>
          <c:idx val="8"/>
          <c:order val="0"/>
          <c:tx>
            <c:strRef>
              <c:f>Sheet1!$J$55</c:f>
              <c:strCache>
                <c:ptCount val="1"/>
                <c:pt idx="0">
                  <c:v>Mortality Rate Ratio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4"/>
            <c:spPr>
              <a:solidFill>
                <a:sysClr val="windowText" lastClr="000000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numRef>
              <c:f>Sheet1!$Q$56:$Q$90</c:f>
              <c:numCache>
                <c:formatCode>General</c:formatCode>
                <c:ptCount val="35"/>
                <c:pt idx="1">
                  <c:v>1984</c:v>
                </c:pt>
                <c:pt idx="4">
                  <c:v>1987</c:v>
                </c:pt>
                <c:pt idx="7">
                  <c:v>1990</c:v>
                </c:pt>
                <c:pt idx="10">
                  <c:v>1993</c:v>
                </c:pt>
                <c:pt idx="13">
                  <c:v>1996</c:v>
                </c:pt>
                <c:pt idx="16">
                  <c:v>1999</c:v>
                </c:pt>
                <c:pt idx="19">
                  <c:v>2002</c:v>
                </c:pt>
                <c:pt idx="22">
                  <c:v>2005</c:v>
                </c:pt>
                <c:pt idx="25">
                  <c:v>2008</c:v>
                </c:pt>
                <c:pt idx="28">
                  <c:v>2011</c:v>
                </c:pt>
                <c:pt idx="31">
                  <c:v>2014</c:v>
                </c:pt>
                <c:pt idx="34">
                  <c:v>2017</c:v>
                </c:pt>
              </c:numCache>
            </c:numRef>
          </c:cat>
          <c:val>
            <c:numRef>
              <c:f>Sheet1!$R$56:$R$90</c:f>
              <c:numCache>
                <c:formatCode>General</c:formatCode>
                <c:ptCount val="35"/>
                <c:pt idx="1">
                  <c:v>1.0211508974941486</c:v>
                </c:pt>
                <c:pt idx="4">
                  <c:v>1.0401319450086421</c:v>
                </c:pt>
                <c:pt idx="7">
                  <c:v>1.0422641996522783</c:v>
                </c:pt>
                <c:pt idx="10">
                  <c:v>1.0521610323699606</c:v>
                </c:pt>
                <c:pt idx="13">
                  <c:v>1.0736731633205332</c:v>
                </c:pt>
                <c:pt idx="16">
                  <c:v>1.1092187334568637</c:v>
                </c:pt>
                <c:pt idx="19">
                  <c:v>1.1066431192720028</c:v>
                </c:pt>
                <c:pt idx="22">
                  <c:v>1.1305824746008326</c:v>
                </c:pt>
                <c:pt idx="25">
                  <c:v>1.1378199359731569</c:v>
                </c:pt>
                <c:pt idx="28">
                  <c:v>1.1532910784757735</c:v>
                </c:pt>
                <c:pt idx="31">
                  <c:v>1.1568805290210682</c:v>
                </c:pt>
                <c:pt idx="34">
                  <c:v>1.1727033649207497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6A3-8842-86A8-1CBF89399415}"/>
            </c:ext>
          </c:extLst>
        </c:ser>
        <c:ser>
          <c:idx val="9"/>
          <c:order val="1"/>
          <c:tx>
            <c:strRef>
              <c:f>Sheet1!$O$12</c:f>
              <c:strCache>
                <c:ptCount val="1"/>
                <c:pt idx="0">
                  <c:v>95% CI - Lower Bound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4"/>
            <c:spPr>
              <a:solidFill>
                <a:sysClr val="windowText" lastClr="000000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numRef>
              <c:f>Sheet1!$Q$56:$Q$90</c:f>
              <c:numCache>
                <c:formatCode>General</c:formatCode>
                <c:ptCount val="35"/>
                <c:pt idx="1">
                  <c:v>1984</c:v>
                </c:pt>
                <c:pt idx="4">
                  <c:v>1987</c:v>
                </c:pt>
                <c:pt idx="7">
                  <c:v>1990</c:v>
                </c:pt>
                <c:pt idx="10">
                  <c:v>1993</c:v>
                </c:pt>
                <c:pt idx="13">
                  <c:v>1996</c:v>
                </c:pt>
                <c:pt idx="16">
                  <c:v>1999</c:v>
                </c:pt>
                <c:pt idx="19">
                  <c:v>2002</c:v>
                </c:pt>
                <c:pt idx="22">
                  <c:v>2005</c:v>
                </c:pt>
                <c:pt idx="25">
                  <c:v>2008</c:v>
                </c:pt>
                <c:pt idx="28">
                  <c:v>2011</c:v>
                </c:pt>
                <c:pt idx="31">
                  <c:v>2014</c:v>
                </c:pt>
                <c:pt idx="34">
                  <c:v>2017</c:v>
                </c:pt>
              </c:numCache>
            </c:numRef>
          </c:cat>
          <c:val>
            <c:numRef>
              <c:f>Sheet1!$S$56:$S$90</c:f>
              <c:numCache>
                <c:formatCode>General</c:formatCode>
                <c:ptCount val="35"/>
                <c:pt idx="1">
                  <c:v>0.94217158059354833</c:v>
                </c:pt>
                <c:pt idx="4">
                  <c:v>0.96878947917968183</c:v>
                </c:pt>
                <c:pt idx="7">
                  <c:v>0.97372611601686909</c:v>
                </c:pt>
                <c:pt idx="10">
                  <c:v>0.9839504160489535</c:v>
                </c:pt>
                <c:pt idx="13">
                  <c:v>1.0031546758659944</c:v>
                </c:pt>
                <c:pt idx="16">
                  <c:v>1.0336252228668183</c:v>
                </c:pt>
                <c:pt idx="19">
                  <c:v>1.0300239144046748</c:v>
                </c:pt>
                <c:pt idx="22">
                  <c:v>1.0506852694872213</c:v>
                </c:pt>
                <c:pt idx="25">
                  <c:v>1.0552708785561606</c:v>
                </c:pt>
                <c:pt idx="28">
                  <c:v>1.0669423472435229</c:v>
                </c:pt>
                <c:pt idx="31">
                  <c:v>1.0705949569047215</c:v>
                </c:pt>
                <c:pt idx="34">
                  <c:v>1.0815224804507089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6A3-8842-86A8-1CBF89399415}"/>
            </c:ext>
          </c:extLst>
        </c:ser>
        <c:ser>
          <c:idx val="10"/>
          <c:order val="2"/>
          <c:tx>
            <c:strRef>
              <c:f>Sheet1!$P$12</c:f>
              <c:strCache>
                <c:ptCount val="1"/>
                <c:pt idx="0">
                  <c:v>95% CI - Upper Bound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ash"/>
            <c:size val="4"/>
            <c:spPr>
              <a:solidFill>
                <a:schemeClr val="dk1">
                  <a:tint val="98500"/>
                </a:schemeClr>
              </a:solidFill>
              <a:ln w="9525">
                <a:solidFill>
                  <a:schemeClr val="dk1">
                    <a:tint val="98500"/>
                  </a:schemeClr>
                </a:solidFill>
              </a:ln>
              <a:effectLst/>
            </c:spPr>
          </c:marker>
          <c:cat>
            <c:numRef>
              <c:f>Sheet1!$Q$56:$Q$90</c:f>
              <c:numCache>
                <c:formatCode>General</c:formatCode>
                <c:ptCount val="35"/>
                <c:pt idx="1">
                  <c:v>1984</c:v>
                </c:pt>
                <c:pt idx="4">
                  <c:v>1987</c:v>
                </c:pt>
                <c:pt idx="7">
                  <c:v>1990</c:v>
                </c:pt>
                <c:pt idx="10">
                  <c:v>1993</c:v>
                </c:pt>
                <c:pt idx="13">
                  <c:v>1996</c:v>
                </c:pt>
                <c:pt idx="16">
                  <c:v>1999</c:v>
                </c:pt>
                <c:pt idx="19">
                  <c:v>2002</c:v>
                </c:pt>
                <c:pt idx="22">
                  <c:v>2005</c:v>
                </c:pt>
                <c:pt idx="25">
                  <c:v>2008</c:v>
                </c:pt>
                <c:pt idx="28">
                  <c:v>2011</c:v>
                </c:pt>
                <c:pt idx="31">
                  <c:v>2014</c:v>
                </c:pt>
                <c:pt idx="34">
                  <c:v>2017</c:v>
                </c:pt>
              </c:numCache>
            </c:numRef>
          </c:cat>
          <c:val>
            <c:numRef>
              <c:f>Sheet1!$T$56:$T$90</c:f>
              <c:numCache>
                <c:formatCode>General</c:formatCode>
                <c:ptCount val="35"/>
                <c:pt idx="1">
                  <c:v>1.106778441923429</c:v>
                </c:pt>
                <c:pt idx="4">
                  <c:v>1.1167313963449776</c:v>
                </c:pt>
                <c:pt idx="7">
                  <c:v>1.1156266921969111</c:v>
                </c:pt>
                <c:pt idx="10">
                  <c:v>1.1251003222995344</c:v>
                </c:pt>
                <c:pt idx="13">
                  <c:v>1.1491498561964149</c:v>
                </c:pt>
                <c:pt idx="16">
                  <c:v>1.1903414817776705</c:v>
                </c:pt>
                <c:pt idx="19">
                  <c:v>1.1889617898320626</c:v>
                </c:pt>
                <c:pt idx="22">
                  <c:v>1.2165555076308061</c:v>
                </c:pt>
                <c:pt idx="25">
                  <c:v>1.226827601511693</c:v>
                </c:pt>
                <c:pt idx="28">
                  <c:v>1.2466284153725049</c:v>
                </c:pt>
                <c:pt idx="31">
                  <c:v>1.250120425569232</c:v>
                </c:pt>
                <c:pt idx="34">
                  <c:v>1.271593384206356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6A3-8842-86A8-1CBF893994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marker val="1"/>
        <c:smooth val="0"/>
        <c:axId val="702692120"/>
        <c:axId val="702693296"/>
      </c:lineChart>
      <c:catAx>
        <c:axId val="7026921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Year of Report</a:t>
                </a:r>
              </a:p>
            </c:rich>
          </c:tx>
          <c:layout>
            <c:manualLayout>
              <c:xMode val="edge"/>
              <c:yMode val="edge"/>
              <c:x val="0.31588229863226897"/>
              <c:y val="0.930521826219091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ysClr val="windowText" lastClr="000000">
                <a:lumMod val="95000"/>
                <a:lumOff val="5000"/>
              </a:sys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2693296"/>
        <c:crossesAt val="0.1"/>
        <c:auto val="1"/>
        <c:lblAlgn val="ctr"/>
        <c:lblOffset val="100"/>
        <c:noMultiLvlLbl val="0"/>
      </c:catAx>
      <c:valAx>
        <c:axId val="702693296"/>
        <c:scaling>
          <c:logBase val="2"/>
          <c:orientation val="minMax"/>
        </c:scaling>
        <c:delete val="0"/>
        <c:axPos val="l"/>
        <c:majorGridlines>
          <c:spPr>
            <a:ln w="12700" cap="flat" cmpd="sng" algn="ctr">
              <a:solidFill>
                <a:sysClr val="windowText" lastClr="000000"/>
              </a:solidFill>
              <a:prstDash val="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Ratio</a:t>
                </a:r>
              </a:p>
            </c:rich>
          </c:tx>
          <c:layout>
            <c:manualLayout>
              <c:xMode val="edge"/>
              <c:yMode val="edge"/>
              <c:x val="4.7775789837293969E-2"/>
              <c:y val="0.453964605909409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02692120"/>
        <c:crosses val="autoZero"/>
        <c:crossBetween val="between"/>
      </c:valAx>
      <c:spPr>
        <a:noFill/>
        <a:ln cap="sq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72871258913249526"/>
          <c:y val="0.59803828400760251"/>
          <c:w val="0.21115604268059457"/>
          <c:h val="9.8052044481281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</cdr:x>
      <cdr:y>0.0255</cdr:y>
    </cdr:from>
    <cdr:to>
      <cdr:x>0.59406</cdr:x>
      <cdr:y>0.23738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xmlns="" id="{D0CA1510-68EC-A341-B6A1-369B6EC47559}"/>
            </a:ext>
          </a:extLst>
        </cdr:cNvPr>
        <cdr:cNvSpPr txBox="1"/>
      </cdr:nvSpPr>
      <cdr:spPr>
        <a:xfrm xmlns:a="http://schemas.openxmlformats.org/drawingml/2006/main">
          <a:off x="387406" y="98031"/>
          <a:ext cx="2489341" cy="8143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800">
              <a:latin typeface="Arial" panose="020B0604020202020204" pitchFamily="34" charset="0"/>
              <a:cs typeface="Arial" panose="020B0604020202020204" pitchFamily="34" charset="0"/>
            </a:rPr>
            <a:t>Incidence Rate Ratios (</a:t>
          </a:r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Including Missing Stage Cases to Excluding Missing Stage Cases)</a:t>
          </a:r>
        </a:p>
        <a:p xmlns:a="http://schemas.openxmlformats.org/drawingml/2006/main">
          <a:endParaRPr lang="en-GB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0.70477</cdr:x>
      <cdr:y>0.49505</cdr:y>
    </cdr:from>
    <cdr:to>
      <cdr:x>0.98785</cdr:x>
      <cdr:y>0.67488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xmlns="" id="{532EA101-827D-C243-BC12-FE2FBA90DE35}"/>
            </a:ext>
          </a:extLst>
        </cdr:cNvPr>
        <cdr:cNvSpPr txBox="1"/>
      </cdr:nvSpPr>
      <cdr:spPr>
        <a:xfrm xmlns:a="http://schemas.openxmlformats.org/drawingml/2006/main">
          <a:off x="3752976" y="2032645"/>
          <a:ext cx="1507432" cy="7383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GB" sz="800">
              <a:latin typeface="Arial" panose="020B0604020202020204" pitchFamily="34" charset="0"/>
              <a:cs typeface="Arial" panose="020B0604020202020204" pitchFamily="34" charset="0"/>
            </a:rPr>
            <a:t>*Dashes</a:t>
          </a:r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 indicate lower and </a:t>
          </a:r>
        </a:p>
        <a:p xmlns:a="http://schemas.openxmlformats.org/drawingml/2006/main">
          <a:pPr algn="l"/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 upper bounds of 95% </a:t>
          </a:r>
        </a:p>
        <a:p xmlns:a="http://schemas.openxmlformats.org/drawingml/2006/main">
          <a:pPr algn="l"/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 confidence intervals</a:t>
          </a:r>
          <a:endParaRPr lang="en-GB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0.0835</cdr:x>
      <cdr:y>0.02531</cdr:y>
    </cdr:from>
    <cdr:to>
      <cdr:x>0.59756</cdr:x>
      <cdr:y>0.23719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xmlns="" id="{D0CA1510-68EC-A341-B6A1-369B6EC47559}"/>
            </a:ext>
          </a:extLst>
        </cdr:cNvPr>
        <cdr:cNvSpPr txBox="1"/>
      </cdr:nvSpPr>
      <cdr:spPr>
        <a:xfrm xmlns:a="http://schemas.openxmlformats.org/drawingml/2006/main">
          <a:off x="404339" y="93226"/>
          <a:ext cx="2489341" cy="7803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800">
              <a:latin typeface="Arial" panose="020B0604020202020204" pitchFamily="34" charset="0"/>
              <a:cs typeface="Arial" panose="020B0604020202020204" pitchFamily="34" charset="0"/>
            </a:rPr>
            <a:t>Mortality Rate Ratios (</a:t>
          </a:r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Including Missing Stage-Cases to Excluding Missing Stage Cases)</a:t>
          </a:r>
        </a:p>
        <a:p xmlns:a="http://schemas.openxmlformats.org/drawingml/2006/main">
          <a:endParaRPr lang="en-GB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0.69682</cdr:x>
      <cdr:y>0.45175</cdr:y>
    </cdr:from>
    <cdr:to>
      <cdr:x>0.9799</cdr:x>
      <cdr:y>0.63158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xmlns="" id="{532EA101-827D-C243-BC12-FE2FBA90DE35}"/>
            </a:ext>
          </a:extLst>
        </cdr:cNvPr>
        <cdr:cNvSpPr txBox="1"/>
      </cdr:nvSpPr>
      <cdr:spPr>
        <a:xfrm xmlns:a="http://schemas.openxmlformats.org/drawingml/2006/main">
          <a:off x="5283200" y="2616200"/>
          <a:ext cx="2146300" cy="1041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GB" sz="800">
              <a:latin typeface="Arial" panose="020B0604020202020204" pitchFamily="34" charset="0"/>
              <a:cs typeface="Arial" panose="020B0604020202020204" pitchFamily="34" charset="0"/>
            </a:rPr>
            <a:t>*Dashes</a:t>
          </a:r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 indicate lower and </a:t>
          </a:r>
        </a:p>
        <a:p xmlns:a="http://schemas.openxmlformats.org/drawingml/2006/main">
          <a:pPr algn="l"/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 upper bounds of 95% </a:t>
          </a:r>
        </a:p>
        <a:p xmlns:a="http://schemas.openxmlformats.org/drawingml/2006/main">
          <a:pPr algn="l"/>
          <a:r>
            <a:rPr lang="en-GB" sz="800" baseline="0">
              <a:latin typeface="Arial" panose="020B0604020202020204" pitchFamily="34" charset="0"/>
              <a:cs typeface="Arial" panose="020B0604020202020204" pitchFamily="34" charset="0"/>
            </a:rPr>
            <a:t> confidence intervals</a:t>
          </a:r>
          <a:endParaRPr lang="en-GB" sz="8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Ilic</dc:creator>
  <cp:keywords/>
  <dc:description/>
  <cp:lastModifiedBy>Shiny Priyadharshini G.</cp:lastModifiedBy>
  <cp:revision>4</cp:revision>
  <dcterms:created xsi:type="dcterms:W3CDTF">2021-12-08T11:28:00Z</dcterms:created>
  <dcterms:modified xsi:type="dcterms:W3CDTF">2022-04-12T04:32:00Z</dcterms:modified>
</cp:coreProperties>
</file>