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F2A" w:rsidRPr="001F0423" w:rsidRDefault="00DC353B" w:rsidP="00CD30C1">
      <w:pPr>
        <w:spacing w:line="480" w:lineRule="auto"/>
        <w:jc w:val="center"/>
        <w:rPr>
          <w:b/>
          <w:sz w:val="28"/>
          <w:szCs w:val="28"/>
        </w:rPr>
      </w:pPr>
      <w:r w:rsidRPr="001F0423">
        <w:rPr>
          <w:b/>
          <w:sz w:val="28"/>
          <w:szCs w:val="28"/>
        </w:rPr>
        <w:t>Supplementary figure</w:t>
      </w:r>
      <w:r w:rsidR="00D82E90" w:rsidRPr="001F0423">
        <w:rPr>
          <w:b/>
          <w:sz w:val="28"/>
          <w:szCs w:val="28"/>
        </w:rPr>
        <w:t xml:space="preserve"> </w:t>
      </w:r>
      <w:r w:rsidR="001B3F2A" w:rsidRPr="001F0423">
        <w:rPr>
          <w:b/>
          <w:sz w:val="28"/>
          <w:szCs w:val="28"/>
        </w:rPr>
        <w:t>for</w:t>
      </w:r>
    </w:p>
    <w:p w:rsidR="001B3F2A" w:rsidRPr="001F0423" w:rsidRDefault="001B3F2A" w:rsidP="00CD30C1">
      <w:pPr>
        <w:spacing w:line="480" w:lineRule="auto"/>
        <w:rPr>
          <w:b/>
          <w:sz w:val="28"/>
          <w:szCs w:val="28"/>
        </w:rPr>
      </w:pPr>
      <w:r w:rsidRPr="001F0423">
        <w:rPr>
          <w:b/>
          <w:sz w:val="28"/>
          <w:szCs w:val="28"/>
        </w:rPr>
        <w:t xml:space="preserve">Bone marrow transplantation induces changes in the gut microbiota that chronically increase the cytokine response </w:t>
      </w:r>
      <w:r w:rsidR="00B613CE" w:rsidRPr="001F0423">
        <w:rPr>
          <w:b/>
          <w:sz w:val="28"/>
          <w:szCs w:val="28"/>
        </w:rPr>
        <w:t xml:space="preserve">pattern </w:t>
      </w:r>
      <w:r w:rsidRPr="001F0423">
        <w:rPr>
          <w:b/>
          <w:sz w:val="28"/>
          <w:szCs w:val="28"/>
        </w:rPr>
        <w:t>of splenocytes</w:t>
      </w:r>
    </w:p>
    <w:p w:rsidR="001B3F2A" w:rsidRPr="001F0423" w:rsidRDefault="001B3F2A" w:rsidP="00CD30C1">
      <w:pPr>
        <w:spacing w:line="480" w:lineRule="auto"/>
        <w:jc w:val="both"/>
        <w:rPr>
          <w:sz w:val="24"/>
          <w:szCs w:val="24"/>
        </w:rPr>
      </w:pPr>
      <w:r w:rsidRPr="001F0423">
        <w:rPr>
          <w:sz w:val="24"/>
          <w:szCs w:val="24"/>
        </w:rPr>
        <w:t>Saeed Katiraei</w:t>
      </w:r>
      <w:r w:rsidRPr="001F0423">
        <w:rPr>
          <w:sz w:val="24"/>
          <w:szCs w:val="24"/>
          <w:vertAlign w:val="superscript"/>
        </w:rPr>
        <w:t>1,2</w:t>
      </w:r>
      <w:r w:rsidRPr="001F0423">
        <w:rPr>
          <w:sz w:val="24"/>
          <w:szCs w:val="24"/>
        </w:rPr>
        <w:t>, Janna A. van Diepen</w:t>
      </w:r>
      <w:r w:rsidRPr="001F0423">
        <w:rPr>
          <w:sz w:val="24"/>
          <w:szCs w:val="24"/>
          <w:vertAlign w:val="superscript"/>
        </w:rPr>
        <w:t>3</w:t>
      </w:r>
      <w:r w:rsidRPr="001F0423">
        <w:rPr>
          <w:sz w:val="24"/>
          <w:szCs w:val="24"/>
        </w:rPr>
        <w:t>, Luciana P. Tavares</w:t>
      </w:r>
      <w:r w:rsidRPr="001F0423">
        <w:rPr>
          <w:sz w:val="24"/>
          <w:szCs w:val="24"/>
          <w:vertAlign w:val="superscript"/>
        </w:rPr>
        <w:t>4</w:t>
      </w:r>
      <w:r w:rsidRPr="001F0423">
        <w:rPr>
          <w:sz w:val="24"/>
          <w:szCs w:val="24"/>
        </w:rPr>
        <w:t>, Lisa R. Hoving</w:t>
      </w:r>
      <w:r w:rsidRPr="001F0423">
        <w:rPr>
          <w:sz w:val="24"/>
          <w:szCs w:val="24"/>
          <w:vertAlign w:val="superscript"/>
        </w:rPr>
        <w:t>1,2</w:t>
      </w:r>
      <w:r w:rsidRPr="001F0423">
        <w:rPr>
          <w:sz w:val="24"/>
          <w:szCs w:val="24"/>
        </w:rPr>
        <w:t>, Amanda Pronk</w:t>
      </w:r>
      <w:r w:rsidRPr="001F0423">
        <w:rPr>
          <w:sz w:val="24"/>
          <w:szCs w:val="24"/>
          <w:vertAlign w:val="superscript"/>
        </w:rPr>
        <w:t>1,2,5</w:t>
      </w:r>
      <w:r w:rsidRPr="001F0423">
        <w:rPr>
          <w:sz w:val="24"/>
          <w:szCs w:val="24"/>
        </w:rPr>
        <w:t>, Ineke Verschueren</w:t>
      </w:r>
      <w:r w:rsidRPr="001F0423">
        <w:rPr>
          <w:sz w:val="24"/>
          <w:szCs w:val="24"/>
          <w:vertAlign w:val="superscript"/>
        </w:rPr>
        <w:t>3</w:t>
      </w:r>
      <w:r w:rsidRPr="001F0423">
        <w:rPr>
          <w:sz w:val="24"/>
          <w:szCs w:val="24"/>
        </w:rPr>
        <w:t>, Patrick C.N. Rensen</w:t>
      </w:r>
      <w:r w:rsidRPr="001F0423">
        <w:rPr>
          <w:sz w:val="24"/>
          <w:szCs w:val="24"/>
          <w:vertAlign w:val="superscript"/>
        </w:rPr>
        <w:t>2,5</w:t>
      </w:r>
      <w:r w:rsidRPr="001F0423">
        <w:rPr>
          <w:sz w:val="24"/>
          <w:szCs w:val="24"/>
        </w:rPr>
        <w:t>, Jaap Jan Zwaginga</w:t>
      </w:r>
      <w:r w:rsidRPr="001F0423">
        <w:rPr>
          <w:sz w:val="24"/>
          <w:szCs w:val="24"/>
          <w:vertAlign w:val="superscript"/>
        </w:rPr>
        <w:t>6</w:t>
      </w:r>
      <w:r w:rsidRPr="001F0423">
        <w:rPr>
          <w:sz w:val="24"/>
          <w:szCs w:val="24"/>
        </w:rPr>
        <w:t>, Sarantos Kostidis</w:t>
      </w:r>
      <w:r w:rsidRPr="001F0423">
        <w:rPr>
          <w:sz w:val="24"/>
          <w:szCs w:val="24"/>
          <w:vertAlign w:val="superscript"/>
        </w:rPr>
        <w:t>7</w:t>
      </w:r>
      <w:r w:rsidRPr="001F0423">
        <w:rPr>
          <w:sz w:val="24"/>
          <w:szCs w:val="24"/>
        </w:rPr>
        <w:t>, Martin Giera</w:t>
      </w:r>
      <w:r w:rsidRPr="001F0423">
        <w:rPr>
          <w:sz w:val="24"/>
          <w:szCs w:val="24"/>
          <w:vertAlign w:val="superscript"/>
        </w:rPr>
        <w:t>7</w:t>
      </w:r>
      <w:r w:rsidR="00D53BE6" w:rsidRPr="001F0423">
        <w:rPr>
          <w:sz w:val="24"/>
          <w:szCs w:val="24"/>
        </w:rPr>
        <w:t xml:space="preserve">, Mauro </w:t>
      </w:r>
      <w:r w:rsidRPr="001F0423">
        <w:rPr>
          <w:sz w:val="24"/>
          <w:szCs w:val="24"/>
        </w:rPr>
        <w:t>Teixera</w:t>
      </w:r>
      <w:r w:rsidRPr="001F0423">
        <w:rPr>
          <w:sz w:val="24"/>
          <w:szCs w:val="24"/>
          <w:vertAlign w:val="superscript"/>
        </w:rPr>
        <w:t>4</w:t>
      </w:r>
      <w:r w:rsidRPr="001F0423">
        <w:rPr>
          <w:sz w:val="24"/>
          <w:szCs w:val="24"/>
        </w:rPr>
        <w:t>, Ko Willems van Dijk</w:t>
      </w:r>
      <w:r w:rsidRPr="001F0423">
        <w:rPr>
          <w:sz w:val="24"/>
          <w:szCs w:val="24"/>
          <w:vertAlign w:val="superscript"/>
        </w:rPr>
        <w:t>1,2,5</w:t>
      </w:r>
      <w:r w:rsidR="000557EC" w:rsidRPr="001F0423">
        <w:rPr>
          <w:sz w:val="24"/>
          <w:szCs w:val="24"/>
          <w:vertAlign w:val="superscript"/>
        </w:rPr>
        <w:t>*</w:t>
      </w:r>
      <w:r w:rsidRPr="001F0423">
        <w:rPr>
          <w:sz w:val="24"/>
          <w:szCs w:val="24"/>
        </w:rPr>
        <w:t>, Mihai G. Netea</w:t>
      </w:r>
      <w:r w:rsidRPr="001F0423">
        <w:rPr>
          <w:sz w:val="24"/>
          <w:szCs w:val="24"/>
          <w:vertAlign w:val="superscript"/>
        </w:rPr>
        <w:t>3</w:t>
      </w:r>
      <w:r w:rsidRPr="001F0423">
        <w:rPr>
          <w:sz w:val="24"/>
          <w:szCs w:val="24"/>
          <w:vertAlign w:val="subscript"/>
        </w:rPr>
        <w:t xml:space="preserve">, </w:t>
      </w:r>
      <w:r w:rsidRPr="001F0423">
        <w:rPr>
          <w:sz w:val="24"/>
          <w:szCs w:val="24"/>
        </w:rPr>
        <w:t>Jimmy F.P. Berbée</w:t>
      </w:r>
      <w:r w:rsidRPr="001F0423">
        <w:rPr>
          <w:sz w:val="24"/>
          <w:szCs w:val="24"/>
          <w:vertAlign w:val="superscript"/>
        </w:rPr>
        <w:t>2,5#</w:t>
      </w:r>
      <w:r w:rsidRPr="001F0423">
        <w:rPr>
          <w:sz w:val="24"/>
          <w:szCs w:val="24"/>
        </w:rPr>
        <w:t>, Vanessa van Harmelen</w:t>
      </w:r>
      <w:r w:rsidRPr="001F0423">
        <w:rPr>
          <w:sz w:val="24"/>
          <w:szCs w:val="24"/>
          <w:vertAlign w:val="superscript"/>
        </w:rPr>
        <w:t>1,2#</w:t>
      </w:r>
    </w:p>
    <w:p w:rsidR="001B3F2A" w:rsidRPr="001F0423" w:rsidRDefault="001B3F2A" w:rsidP="00CD30C1">
      <w:pPr>
        <w:spacing w:before="360" w:after="360" w:line="480" w:lineRule="auto"/>
        <w:jc w:val="both"/>
        <w:rPr>
          <w:sz w:val="24"/>
          <w:szCs w:val="24"/>
          <w:u w:val="single"/>
        </w:rPr>
      </w:pPr>
      <w:r w:rsidRPr="001F0423">
        <w:rPr>
          <w:sz w:val="24"/>
          <w:szCs w:val="24"/>
          <w:vertAlign w:val="superscript"/>
        </w:rPr>
        <w:t>#</w:t>
      </w:r>
      <w:r w:rsidRPr="001F0423">
        <w:rPr>
          <w:rFonts w:cs="Arial"/>
          <w:sz w:val="24"/>
          <w:szCs w:val="24"/>
        </w:rPr>
        <w:t>These authors contributed equally to this work.</w:t>
      </w:r>
    </w:p>
    <w:p w:rsidR="001B3F2A" w:rsidRPr="001F0423" w:rsidRDefault="001B3F2A" w:rsidP="00986D95">
      <w:pPr>
        <w:spacing w:line="480" w:lineRule="auto"/>
        <w:jc w:val="both"/>
        <w:rPr>
          <w:b/>
          <w:sz w:val="24"/>
          <w:szCs w:val="24"/>
        </w:rPr>
      </w:pPr>
      <w:r w:rsidRPr="001F0423">
        <w:rPr>
          <w:sz w:val="24"/>
          <w:szCs w:val="24"/>
          <w:vertAlign w:val="superscript"/>
        </w:rPr>
        <w:t>1</w:t>
      </w:r>
      <w:r w:rsidRPr="001F0423">
        <w:rPr>
          <w:sz w:val="24"/>
          <w:szCs w:val="24"/>
        </w:rPr>
        <w:t xml:space="preserve">Department of Human Genetics, </w:t>
      </w:r>
      <w:r w:rsidRPr="001F0423">
        <w:rPr>
          <w:sz w:val="24"/>
          <w:szCs w:val="24"/>
          <w:vertAlign w:val="superscript"/>
        </w:rPr>
        <w:t>2</w:t>
      </w:r>
      <w:r w:rsidRPr="001F0423">
        <w:rPr>
          <w:sz w:val="24"/>
          <w:szCs w:val="24"/>
        </w:rPr>
        <w:t xml:space="preserve">Einthoven Laboratory for Experimental Vascular Medicine, Leiden University Medical Center, Leiden, The Netherlands. </w:t>
      </w:r>
      <w:r w:rsidRPr="001F0423">
        <w:rPr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1F0423">
        <w:rPr>
          <w:color w:val="000000"/>
          <w:sz w:val="24"/>
          <w:szCs w:val="24"/>
          <w:shd w:val="clear" w:color="auto" w:fill="FFFFFF"/>
        </w:rPr>
        <w:t xml:space="preserve">Department of Internal Medicine, Radboud UMC Nijmegen, The Netherlands. </w:t>
      </w:r>
      <w:r w:rsidRPr="001F0423">
        <w:rPr>
          <w:sz w:val="24"/>
          <w:szCs w:val="24"/>
          <w:vertAlign w:val="superscript"/>
        </w:rPr>
        <w:t>4</w:t>
      </w:r>
      <w:r w:rsidRPr="001F0423">
        <w:rPr>
          <w:sz w:val="24"/>
          <w:szCs w:val="24"/>
        </w:rPr>
        <w:t>Laboratory of Immunopharmacology, Department of Biochemistry and Immunology,</w:t>
      </w:r>
      <w:r w:rsidRPr="001F0423">
        <w:rPr>
          <w:rFonts w:cs="Arial"/>
          <w:color w:val="000000"/>
          <w:sz w:val="24"/>
          <w:szCs w:val="24"/>
          <w:shd w:val="clear" w:color="auto" w:fill="FFFFFF"/>
        </w:rPr>
        <w:t xml:space="preserve"> Universidade Federal de Minas Gerais, Belo Horizonte, Brazil. </w:t>
      </w:r>
      <w:r w:rsidRPr="001F0423">
        <w:rPr>
          <w:sz w:val="24"/>
          <w:szCs w:val="24"/>
          <w:vertAlign w:val="superscript"/>
        </w:rPr>
        <w:t>5</w:t>
      </w:r>
      <w:r w:rsidRPr="001F0423">
        <w:rPr>
          <w:sz w:val="24"/>
          <w:szCs w:val="24"/>
        </w:rPr>
        <w:t xml:space="preserve">Department of Medicine, division of Endocrinology, </w:t>
      </w:r>
      <w:r w:rsidRPr="001F0423">
        <w:rPr>
          <w:sz w:val="24"/>
          <w:szCs w:val="24"/>
          <w:vertAlign w:val="superscript"/>
        </w:rPr>
        <w:t>6</w:t>
      </w:r>
      <w:r w:rsidRPr="001F0423">
        <w:rPr>
          <w:sz w:val="24"/>
          <w:szCs w:val="24"/>
        </w:rPr>
        <w:t xml:space="preserve">Department of Immunohematology and Blood Transfusion, </w:t>
      </w:r>
      <w:r w:rsidRPr="001F0423">
        <w:rPr>
          <w:sz w:val="24"/>
          <w:szCs w:val="24"/>
          <w:vertAlign w:val="superscript"/>
        </w:rPr>
        <w:t>7</w:t>
      </w:r>
      <w:r w:rsidRPr="001F0423">
        <w:rPr>
          <w:sz w:val="24"/>
          <w:szCs w:val="24"/>
        </w:rPr>
        <w:t xml:space="preserve">Center for Proteomics and Metabolomics Leiden University Medical Center, Leiden, The Netherlands. </w:t>
      </w:r>
    </w:p>
    <w:p w:rsidR="001B3F2A" w:rsidRPr="001F0423" w:rsidRDefault="000557EC" w:rsidP="000557EC">
      <w:pPr>
        <w:spacing w:after="0" w:line="480" w:lineRule="auto"/>
        <w:jc w:val="both"/>
        <w:rPr>
          <w:b/>
          <w:sz w:val="24"/>
          <w:szCs w:val="24"/>
        </w:rPr>
      </w:pPr>
      <w:r w:rsidRPr="001F0423">
        <w:rPr>
          <w:b/>
          <w:sz w:val="24"/>
          <w:szCs w:val="24"/>
        </w:rPr>
        <w:t>*</w:t>
      </w:r>
      <w:r w:rsidR="007E3652" w:rsidRPr="001F0423">
        <w:rPr>
          <w:b/>
          <w:sz w:val="24"/>
          <w:szCs w:val="24"/>
        </w:rPr>
        <w:t>Corresponding author</w:t>
      </w:r>
      <w:r w:rsidR="001B3F2A" w:rsidRPr="001F0423">
        <w:rPr>
          <w:b/>
          <w:sz w:val="24"/>
          <w:szCs w:val="24"/>
        </w:rPr>
        <w:t>:</w:t>
      </w:r>
    </w:p>
    <w:p w:rsidR="007E3652" w:rsidRPr="001F0423" w:rsidRDefault="001B3F2A" w:rsidP="000557EC">
      <w:pPr>
        <w:spacing w:after="0" w:line="360" w:lineRule="auto"/>
        <w:jc w:val="both"/>
        <w:rPr>
          <w:sz w:val="24"/>
          <w:szCs w:val="24"/>
        </w:rPr>
      </w:pPr>
      <w:r w:rsidRPr="001F0423">
        <w:rPr>
          <w:sz w:val="24"/>
          <w:szCs w:val="24"/>
        </w:rPr>
        <w:t>Ko Willems van Dijk</w:t>
      </w:r>
      <w:r w:rsidR="007E3652" w:rsidRPr="001F0423">
        <w:rPr>
          <w:sz w:val="24"/>
          <w:szCs w:val="24"/>
        </w:rPr>
        <w:t xml:space="preserve"> (KwvD)</w:t>
      </w:r>
    </w:p>
    <w:p w:rsidR="00B5383E" w:rsidRPr="001F0423" w:rsidRDefault="001B3F2A" w:rsidP="007E3652">
      <w:pPr>
        <w:spacing w:after="0" w:line="360" w:lineRule="auto"/>
        <w:jc w:val="both"/>
        <w:rPr>
          <w:sz w:val="24"/>
          <w:szCs w:val="24"/>
        </w:rPr>
      </w:pPr>
      <w:r w:rsidRPr="001F0423">
        <w:rPr>
          <w:sz w:val="24"/>
          <w:szCs w:val="24"/>
        </w:rPr>
        <w:t xml:space="preserve">E-mail: </w:t>
      </w:r>
      <w:hyperlink r:id="rId7" w:history="1">
        <w:r w:rsidR="00B5383E" w:rsidRPr="001F0423">
          <w:rPr>
            <w:rStyle w:val="Hyperlink"/>
            <w:sz w:val="24"/>
            <w:szCs w:val="24"/>
          </w:rPr>
          <w:t>kowvd@lumc.nl</w:t>
        </w:r>
      </w:hyperlink>
      <w:r w:rsidR="00B5383E" w:rsidRPr="001F0423">
        <w:rPr>
          <w:sz w:val="24"/>
          <w:szCs w:val="24"/>
        </w:rPr>
        <w:br w:type="page"/>
      </w:r>
    </w:p>
    <w:p w:rsidR="00CD30C1" w:rsidRPr="00BB562C" w:rsidRDefault="0007427A" w:rsidP="00BB562C">
      <w:pPr>
        <w:widowControl w:val="0"/>
        <w:autoSpaceDE w:val="0"/>
        <w:autoSpaceDN w:val="0"/>
        <w:adjustRightInd w:val="0"/>
        <w:spacing w:before="240" w:after="0" w:line="480" w:lineRule="auto"/>
        <w:rPr>
          <w:sz w:val="24"/>
          <w:szCs w:val="24"/>
        </w:rPr>
      </w:pPr>
      <w:r w:rsidRPr="001F0423">
        <w:rPr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DECF6E" wp14:editId="4AC88760">
                <wp:simplePos x="0" y="0"/>
                <wp:positionH relativeFrom="column">
                  <wp:posOffset>4628160</wp:posOffset>
                </wp:positionH>
                <wp:positionV relativeFrom="paragraph">
                  <wp:posOffset>9330690</wp:posOffset>
                </wp:positionV>
                <wp:extent cx="2035120" cy="421419"/>
                <wp:effectExtent l="0" t="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20" cy="421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27A" w:rsidRPr="00304BE5" w:rsidRDefault="0007427A" w:rsidP="0007427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Supplementary Figure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ECF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4.4pt;margin-top:734.7pt;width:160.25pt;height:3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" stroked="f">
                <v:textbox>
                  <w:txbxContent>
                    <w:p w:rsidR="0007427A" w:rsidRPr="00304BE5" w:rsidRDefault="0007427A" w:rsidP="0007427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Supplementary Figure 1</w:t>
                      </w:r>
                    </w:p>
                  </w:txbxContent>
                </v:textbox>
              </v:shape>
            </w:pict>
          </mc:Fallback>
        </mc:AlternateContent>
      </w:r>
      <w:r w:rsidR="00304BE5" w:rsidRPr="001F0423">
        <w:rPr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BB22F5" wp14:editId="5B38E3E0">
                <wp:simplePos x="0" y="0"/>
                <wp:positionH relativeFrom="column">
                  <wp:posOffset>-314960</wp:posOffset>
                </wp:positionH>
                <wp:positionV relativeFrom="paragraph">
                  <wp:posOffset>-320898</wp:posOffset>
                </wp:positionV>
                <wp:extent cx="238125" cy="280035"/>
                <wp:effectExtent l="0" t="0" r="9525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BE5" w:rsidRPr="00304BE5" w:rsidRDefault="00304B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04BE5"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22F5" id="_x0000_s1027" type="#_x0000_t202" style="position:absolute;margin-left:-24.8pt;margin-top:-25.25pt;width:18.75pt;height:2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" stroked="f">
                <v:textbox>
                  <w:txbxContent>
                    <w:p w:rsidR="00304BE5" w:rsidRPr="00304BE5" w:rsidRDefault="00304BE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304BE5">
                        <w:rPr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04BE5" w:rsidRPr="001F0423">
        <w:rPr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153C80" wp14:editId="2ABECFEB">
                <wp:simplePos x="0" y="0"/>
                <wp:positionH relativeFrom="column">
                  <wp:posOffset>4007457</wp:posOffset>
                </wp:positionH>
                <wp:positionV relativeFrom="paragraph">
                  <wp:posOffset>-318052</wp:posOffset>
                </wp:positionV>
                <wp:extent cx="238540" cy="286109"/>
                <wp:effectExtent l="0" t="0" r="952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40" cy="2861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BE5" w:rsidRPr="00304BE5" w:rsidRDefault="00304BE5" w:rsidP="00304B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53C80" id="_x0000_s1028" type="#_x0000_t202" style="position:absolute;margin-left:315.55pt;margin-top:-25.05pt;width:18.8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" stroked="f">
                <v:textbox>
                  <w:txbxContent>
                    <w:p w:rsidR="00304BE5" w:rsidRPr="00304BE5" w:rsidRDefault="00304BE5" w:rsidP="00304BE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BB562C" w:rsidRPr="001F0423">
        <w:rPr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2E00D3A5" wp14:editId="70C42AF8">
            <wp:simplePos x="0" y="0"/>
            <wp:positionH relativeFrom="column">
              <wp:posOffset>3918585</wp:posOffset>
            </wp:positionH>
            <wp:positionV relativeFrom="paragraph">
              <wp:posOffset>-239395</wp:posOffset>
            </wp:positionV>
            <wp:extent cx="1681119" cy="2016000"/>
            <wp:effectExtent l="0" t="0" r="0" b="0"/>
            <wp:wrapThrough wrapText="bothSides">
              <wp:wrapPolygon edited="0">
                <wp:start x="4651" y="817"/>
                <wp:lineTo x="1469" y="2654"/>
                <wp:lineTo x="734" y="3267"/>
                <wp:lineTo x="734" y="11841"/>
                <wp:lineTo x="4406" y="13679"/>
                <wp:lineTo x="8568" y="14291"/>
                <wp:lineTo x="6120" y="16333"/>
                <wp:lineTo x="6365" y="16945"/>
                <wp:lineTo x="10282" y="17558"/>
                <wp:lineTo x="8079" y="19395"/>
                <wp:lineTo x="8079" y="20416"/>
                <wp:lineTo x="10282" y="20824"/>
                <wp:lineTo x="11995" y="20824"/>
                <wp:lineTo x="12240" y="20416"/>
                <wp:lineTo x="15912" y="17558"/>
                <wp:lineTo x="18116" y="14904"/>
                <wp:lineTo x="21053" y="13474"/>
                <wp:lineTo x="19829" y="11025"/>
                <wp:lineTo x="20074" y="10004"/>
                <wp:lineTo x="19340" y="8983"/>
                <wp:lineTo x="17136" y="7758"/>
                <wp:lineTo x="18850" y="5104"/>
                <wp:lineTo x="18605" y="3062"/>
                <wp:lineTo x="6365" y="817"/>
                <wp:lineTo x="4651" y="817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cumulative BW gain C57BL_6 over 24 weeks on chow and  10% LFD 1A_2A_3A_4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119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62C" w:rsidRPr="001F0423">
        <w:rPr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7BC9DA18" wp14:editId="09C0B605">
            <wp:simplePos x="0" y="0"/>
            <wp:positionH relativeFrom="column">
              <wp:posOffset>-382270</wp:posOffset>
            </wp:positionH>
            <wp:positionV relativeFrom="paragraph">
              <wp:posOffset>-286385</wp:posOffset>
            </wp:positionV>
            <wp:extent cx="3960747" cy="19800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 BW gain C57BL_6 BMT on 10% LF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747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62C" w:rsidRPr="001F0423">
        <w:rPr>
          <w:sz w:val="24"/>
          <w:szCs w:val="24"/>
        </w:rPr>
        <w:t xml:space="preserve"> </w:t>
      </w:r>
      <w:r w:rsidR="009D3D19" w:rsidRPr="001F0423">
        <w:rPr>
          <w:sz w:val="24"/>
          <w:szCs w:val="24"/>
        </w:rPr>
        <w:t>Supplementary Figure 1. Co-housing BMT treated mice with healt</w:t>
      </w:r>
      <w:r w:rsidR="00BB562C" w:rsidRPr="001F0423">
        <w:rPr>
          <w:sz w:val="24"/>
          <w:szCs w:val="24"/>
        </w:rPr>
        <w:t xml:space="preserve">hy control mice did not affect </w:t>
      </w:r>
      <w:r w:rsidR="009D3D19" w:rsidRPr="001F0423">
        <w:rPr>
          <w:sz w:val="24"/>
          <w:szCs w:val="24"/>
        </w:rPr>
        <w:t xml:space="preserve">body weight. Mice underwent BMT at time point 0 weeks. From 0 weeks until week 8, mice were fed a chow diet. From time point 8 weeks on, mice were fed a 10% LFD. Body weight gain was reduced by the BMT-treatment over the period of 16 weeks LFD, but not affected by co-housing control mice with BMT-treated mice. Values are means ± </w:t>
      </w:r>
      <w:bookmarkStart w:id="0" w:name="_GoBack"/>
      <w:bookmarkEnd w:id="0"/>
      <w:r w:rsidR="009D3D19" w:rsidRPr="001F0423">
        <w:rPr>
          <w:sz w:val="24"/>
          <w:szCs w:val="24"/>
        </w:rPr>
        <w:t>SEM; Groups were compared using Mann-Whitney U test;  n=7-12; ***p&lt;0.001.</w:t>
      </w:r>
    </w:p>
    <w:sectPr w:rsidR="00CD30C1" w:rsidRPr="00BB562C" w:rsidSect="001F0423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754" w:rsidRDefault="001B5754" w:rsidP="001B5754">
      <w:pPr>
        <w:spacing w:after="0" w:line="240" w:lineRule="auto"/>
      </w:pPr>
      <w:r>
        <w:separator/>
      </w:r>
    </w:p>
  </w:endnote>
  <w:endnote w:type="continuationSeparator" w:id="0">
    <w:p w:rsidR="001B5754" w:rsidRDefault="001B5754" w:rsidP="001B5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45736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5754" w:rsidRDefault="001B57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3B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B5754" w:rsidRDefault="001B57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754" w:rsidRDefault="001B5754" w:rsidP="001B5754">
      <w:pPr>
        <w:spacing w:after="0" w:line="240" w:lineRule="auto"/>
      </w:pPr>
      <w:r>
        <w:separator/>
      </w:r>
    </w:p>
  </w:footnote>
  <w:footnote w:type="continuationSeparator" w:id="0">
    <w:p w:rsidR="001B5754" w:rsidRDefault="001B5754" w:rsidP="001B5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F2A"/>
    <w:rsid w:val="00020A44"/>
    <w:rsid w:val="000557EC"/>
    <w:rsid w:val="0005775D"/>
    <w:rsid w:val="0007427A"/>
    <w:rsid w:val="001B3F2A"/>
    <w:rsid w:val="001B5754"/>
    <w:rsid w:val="001F0423"/>
    <w:rsid w:val="00304BE5"/>
    <w:rsid w:val="00353970"/>
    <w:rsid w:val="004220DA"/>
    <w:rsid w:val="007C7D77"/>
    <w:rsid w:val="007E3652"/>
    <w:rsid w:val="008C65E0"/>
    <w:rsid w:val="00986D95"/>
    <w:rsid w:val="009D3D19"/>
    <w:rsid w:val="009E2264"/>
    <w:rsid w:val="00A10FF5"/>
    <w:rsid w:val="00B5383E"/>
    <w:rsid w:val="00B613CE"/>
    <w:rsid w:val="00BB562C"/>
    <w:rsid w:val="00BD2CF3"/>
    <w:rsid w:val="00C03E8C"/>
    <w:rsid w:val="00CD30C1"/>
    <w:rsid w:val="00CF1903"/>
    <w:rsid w:val="00D53BE6"/>
    <w:rsid w:val="00D82E90"/>
    <w:rsid w:val="00DC353B"/>
    <w:rsid w:val="00E22D30"/>
    <w:rsid w:val="00F3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CAB154-3D3B-4FBA-BD15-4562938E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F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75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B5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754"/>
    <w:rPr>
      <w:rFonts w:ascii="Calibri" w:eastAsia="Calibri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1B5754"/>
  </w:style>
  <w:style w:type="character" w:styleId="Hyperlink">
    <w:name w:val="Hyperlink"/>
    <w:basedOn w:val="DefaultParagraphFont"/>
    <w:uiPriority w:val="99"/>
    <w:unhideWhenUsed/>
    <w:rsid w:val="007E36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6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owvd@lumc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57779CE-AED9-46B9-8EB0-B3A5D428F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Katiraei, S. (HG)</dc:creator>
  <cp:lastModifiedBy>Bhuvaneswari R.</cp:lastModifiedBy>
  <cp:revision>4</cp:revision>
  <dcterms:created xsi:type="dcterms:W3CDTF">2018-08-24T20:40:00Z</dcterms:created>
  <dcterms:modified xsi:type="dcterms:W3CDTF">2022-04-18T03:04:00Z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mail@saeedkatiraei.nl@www.mendeley.com</vt:lpwstr>
  </property>
  <property fmtid="{D5CDD505-2E9C-101B-9397-08002B2CF9AE}" pid="4" name="Mendeley Citation Style_1">
    <vt:lpwstr>http://www.zotero.org/styles/atherosclerosis</vt:lpwstr>
  </property>
  <property fmtid="{D5CDD505-2E9C-101B-9397-08002B2CF9AE}" pid="5" name="Mendeley Recent Style Id 0_1">
    <vt:lpwstr>http://www.zotero.org/styles/ajp-endocrinology-and-metabolism</vt:lpwstr>
  </property>
  <property fmtid="{D5CDD505-2E9C-101B-9397-08002B2CF9AE}" pid="6" name="Mendeley Recent Style Name 0_1">
    <vt:lpwstr>American Journal of Physiology - Endocrinology and Metabolism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http://www.zotero.org/styles/atherosclerosis</vt:lpwstr>
  </property>
  <property fmtid="{D5CDD505-2E9C-101B-9397-08002B2CF9AE}" pid="12" name="Mendeley Recent Style Name 3_1">
    <vt:lpwstr>Atherosclerosis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http://www.zotero.org/styles/journal-of-infectious-diseases</vt:lpwstr>
  </property>
  <property fmtid="{D5CDD505-2E9C-101B-9397-08002B2CF9AE}" pid="18" name="Mendeley Recent Style Name 6_1">
    <vt:lpwstr>Journal of Infectious Diseases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http://www.zotero.org/styles/plos-one</vt:lpwstr>
  </property>
  <property fmtid="{D5CDD505-2E9C-101B-9397-08002B2CF9AE}" pid="22" name="Mendeley Recent Style Name 8_1">
    <vt:lpwstr>PLOS ONE</vt:lpwstr>
  </property>
  <property fmtid="{D5CDD505-2E9C-101B-9397-08002B2CF9AE}" pid="23" name="Mendeley Recent Style Id 9_1">
    <vt:lpwstr>http://www.zotero.org/styles/symbiosis</vt:lpwstr>
  </property>
  <property fmtid="{D5CDD505-2E9C-101B-9397-08002B2CF9AE}" pid="24" name="Mendeley Recent Style Name 9_1">
    <vt:lpwstr>Symbiosis</vt:lpwstr>
  </property>
</Properties>
</file>