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43484" w14:textId="77777777" w:rsidR="0004418B" w:rsidRPr="00F72073" w:rsidRDefault="0004418B" w:rsidP="00FB1CA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87705361"/>
      <w:r w:rsidRPr="00F72073">
        <w:rPr>
          <w:rFonts w:ascii="Times New Roman" w:hAnsi="Times New Roman" w:cs="Times New Roman"/>
          <w:b/>
          <w:sz w:val="24"/>
          <w:szCs w:val="24"/>
        </w:rPr>
        <w:t>Supplementary Table 1. Basic clinical characteristics of children in the main cohort.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3794"/>
        <w:gridCol w:w="1701"/>
        <w:gridCol w:w="1701"/>
        <w:gridCol w:w="1682"/>
        <w:gridCol w:w="236"/>
        <w:gridCol w:w="1531"/>
        <w:gridCol w:w="1531"/>
        <w:gridCol w:w="1682"/>
      </w:tblGrid>
      <w:tr w:rsidR="0004418B" w:rsidRPr="00F72073" w14:paraId="0B611C04" w14:textId="77777777" w:rsidTr="00BE6054">
        <w:trPr>
          <w:trHeight w:val="431"/>
        </w:trPr>
        <w:tc>
          <w:tcPr>
            <w:tcW w:w="3794" w:type="dxa"/>
            <w:vMerge w:val="restart"/>
            <w:tcBorders>
              <w:top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3A5F7A8E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Clinical</w:t>
            </w:r>
          </w:p>
          <w:p w14:paraId="7BED61D0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5084" w:type="dxa"/>
            <w:gridSpan w:val="3"/>
            <w:tcBorders>
              <w:top w:val="single" w:sz="18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CCE6CA9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Observed Data (N = 401,852)</w:t>
            </w:r>
          </w:p>
        </w:tc>
        <w:tc>
          <w:tcPr>
            <w:tcW w:w="236" w:type="dxa"/>
            <w:tcBorders>
              <w:top w:val="single" w:sz="18" w:space="0" w:color="000000"/>
            </w:tcBorders>
            <w:shd w:val="clear" w:color="auto" w:fill="F2F2F2" w:themeFill="background1" w:themeFillShade="F2"/>
          </w:tcPr>
          <w:p w14:paraId="762B7239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tcBorders>
              <w:top w:val="single" w:sz="18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BC9E4F2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PS Matched Data (N = 38,792)</w:t>
            </w:r>
          </w:p>
        </w:tc>
      </w:tr>
      <w:tr w:rsidR="0004418B" w:rsidRPr="00F72073" w14:paraId="687D29A5" w14:textId="77777777" w:rsidTr="00BE6054">
        <w:trPr>
          <w:trHeight w:val="821"/>
        </w:trPr>
        <w:tc>
          <w:tcPr>
            <w:tcW w:w="3794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7C81EC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91049C" w14:textId="77777777" w:rsidR="0004418B" w:rsidRPr="00F72073" w:rsidRDefault="0004418B" w:rsidP="00BE6054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Amblyopia</w:t>
            </w:r>
          </w:p>
          <w:p w14:paraId="4C6AD89F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(N = 8100)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0520A8" w14:textId="77777777" w:rsidR="0004418B" w:rsidRPr="00F72073" w:rsidRDefault="0004418B" w:rsidP="00BE6054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Non-amblyopia</w:t>
            </w:r>
          </w:p>
          <w:p w14:paraId="71C29F26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(N = 393,752)</w:t>
            </w:r>
          </w:p>
        </w:tc>
        <w:tc>
          <w:tcPr>
            <w:tcW w:w="168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607801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Standardized Difference, %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9E89A4D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7450F1" w14:textId="77777777" w:rsidR="0004418B" w:rsidRPr="00F72073" w:rsidRDefault="0004418B" w:rsidP="00BE6054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Amblyopia</w:t>
            </w:r>
          </w:p>
          <w:p w14:paraId="485206A4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(N = 7762)</w:t>
            </w:r>
          </w:p>
        </w:tc>
        <w:tc>
          <w:tcPr>
            <w:tcW w:w="153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D59A4C" w14:textId="77777777" w:rsidR="0004418B" w:rsidRPr="00F72073" w:rsidRDefault="0004418B" w:rsidP="00BE6054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Non-amblyopia</w:t>
            </w:r>
          </w:p>
          <w:p w14:paraId="568D0B7B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(N = 31,030)</w:t>
            </w:r>
          </w:p>
        </w:tc>
        <w:tc>
          <w:tcPr>
            <w:tcW w:w="168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FE5E86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Standardized Difference, %</w:t>
            </w:r>
          </w:p>
        </w:tc>
      </w:tr>
      <w:tr w:rsidR="0004418B" w:rsidRPr="00F72073" w14:paraId="19FE5F57" w14:textId="77777777" w:rsidTr="00BE6054">
        <w:trPr>
          <w:trHeight w:val="424"/>
        </w:trPr>
        <w:tc>
          <w:tcPr>
            <w:tcW w:w="13858" w:type="dxa"/>
            <w:gridSpan w:val="8"/>
            <w:shd w:val="clear" w:color="auto" w:fill="F2F2F2" w:themeFill="background1" w:themeFillShade="F2"/>
            <w:vAlign w:val="center"/>
          </w:tcPr>
          <w:p w14:paraId="24B39F98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bCs/>
                <w:sz w:val="24"/>
                <w:szCs w:val="24"/>
              </w:rPr>
              <w:t>Hospital utilization within 4 months</w:t>
            </w: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</w:tr>
      <w:tr w:rsidR="0004418B" w:rsidRPr="00F72073" w14:paraId="04FCC290" w14:textId="77777777" w:rsidTr="00BE6054">
        <w:trPr>
          <w:trHeight w:val="363"/>
        </w:trPr>
        <w:tc>
          <w:tcPr>
            <w:tcW w:w="3794" w:type="dxa"/>
            <w:vAlign w:val="center"/>
          </w:tcPr>
          <w:p w14:paraId="4E9C4D45" w14:textId="77777777" w:rsidR="0004418B" w:rsidRPr="00F72073" w:rsidRDefault="0004418B" w:rsidP="00BE6054">
            <w:pPr>
              <w:ind w:leftChars="50"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01" w:type="dxa"/>
            <w:vAlign w:val="center"/>
          </w:tcPr>
          <w:p w14:paraId="5D4D208A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7694 (95.0)</w:t>
            </w:r>
          </w:p>
        </w:tc>
        <w:tc>
          <w:tcPr>
            <w:tcW w:w="1701" w:type="dxa"/>
            <w:vAlign w:val="center"/>
          </w:tcPr>
          <w:p w14:paraId="72E62B1E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380,093 (96.5)</w:t>
            </w:r>
          </w:p>
        </w:tc>
        <w:tc>
          <w:tcPr>
            <w:tcW w:w="1682" w:type="dxa"/>
            <w:vAlign w:val="center"/>
          </w:tcPr>
          <w:p w14:paraId="031107B4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236" w:type="dxa"/>
            <w:vAlign w:val="center"/>
          </w:tcPr>
          <w:p w14:paraId="3F6123C9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0CA6B3FC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7372 (95.0)</w:t>
            </w:r>
          </w:p>
        </w:tc>
        <w:tc>
          <w:tcPr>
            <w:tcW w:w="1531" w:type="dxa"/>
            <w:vAlign w:val="center"/>
          </w:tcPr>
          <w:p w14:paraId="72538C7B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29,687 (95.7)</w:t>
            </w:r>
          </w:p>
        </w:tc>
        <w:tc>
          <w:tcPr>
            <w:tcW w:w="1682" w:type="dxa"/>
            <w:vAlign w:val="center"/>
          </w:tcPr>
          <w:p w14:paraId="0A4144E5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04418B" w:rsidRPr="00F72073" w14:paraId="262D3715" w14:textId="77777777" w:rsidTr="00BE6054">
        <w:trPr>
          <w:trHeight w:val="363"/>
        </w:trPr>
        <w:tc>
          <w:tcPr>
            <w:tcW w:w="3794" w:type="dxa"/>
            <w:vAlign w:val="center"/>
          </w:tcPr>
          <w:p w14:paraId="6FC0B8B8" w14:textId="77777777" w:rsidR="0004418B" w:rsidRPr="00F72073" w:rsidRDefault="0004418B" w:rsidP="00BE6054">
            <w:pPr>
              <w:spacing w:after="0" w:line="240" w:lineRule="auto"/>
              <w:ind w:leftChars="50"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1" w:type="dxa"/>
            <w:vAlign w:val="center"/>
          </w:tcPr>
          <w:p w14:paraId="4F7B63B4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406 (5.0)</w:t>
            </w:r>
          </w:p>
        </w:tc>
        <w:tc>
          <w:tcPr>
            <w:tcW w:w="1701" w:type="dxa"/>
            <w:vAlign w:val="center"/>
          </w:tcPr>
          <w:p w14:paraId="4BACC9C8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13,659 (3.5)</w:t>
            </w:r>
          </w:p>
        </w:tc>
        <w:tc>
          <w:tcPr>
            <w:tcW w:w="1682" w:type="dxa"/>
            <w:vAlign w:val="center"/>
          </w:tcPr>
          <w:p w14:paraId="3EC5CBE2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452B68DB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2D62658A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390 (5.0)</w:t>
            </w:r>
          </w:p>
        </w:tc>
        <w:tc>
          <w:tcPr>
            <w:tcW w:w="1531" w:type="dxa"/>
            <w:vAlign w:val="center"/>
          </w:tcPr>
          <w:p w14:paraId="32DE19A7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1343 (4.3)</w:t>
            </w:r>
          </w:p>
        </w:tc>
        <w:tc>
          <w:tcPr>
            <w:tcW w:w="1682" w:type="dxa"/>
            <w:vAlign w:val="center"/>
          </w:tcPr>
          <w:p w14:paraId="0D8AF031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18B" w:rsidRPr="00F72073" w14:paraId="31AD58BE" w14:textId="77777777" w:rsidTr="00BE6054">
        <w:trPr>
          <w:trHeight w:val="384"/>
        </w:trPr>
        <w:tc>
          <w:tcPr>
            <w:tcW w:w="13858" w:type="dxa"/>
            <w:gridSpan w:val="8"/>
            <w:shd w:val="clear" w:color="auto" w:fill="F2F2F2" w:themeFill="background1" w:themeFillShade="F2"/>
            <w:vAlign w:val="center"/>
          </w:tcPr>
          <w:p w14:paraId="2FA6EBB5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Conditions (ICD-10) during the perinatal period, N (%</w:t>
            </w:r>
            <w:r w:rsidRPr="00F72073"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</w:tr>
      <w:tr w:rsidR="0004418B" w:rsidRPr="00F72073" w14:paraId="3CA22F96" w14:textId="77777777" w:rsidTr="00BE6054">
        <w:trPr>
          <w:trHeight w:val="363"/>
        </w:trPr>
        <w:tc>
          <w:tcPr>
            <w:tcW w:w="3794" w:type="dxa"/>
          </w:tcPr>
          <w:p w14:paraId="623250A1" w14:textId="77777777" w:rsidR="0004418B" w:rsidRPr="00F72073" w:rsidRDefault="0004418B" w:rsidP="00BE6054">
            <w:pPr>
              <w:spacing w:after="0" w:line="240" w:lineRule="auto"/>
              <w:ind w:leftChars="50"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Maternal factors</w:t>
            </w:r>
          </w:p>
        </w:tc>
        <w:tc>
          <w:tcPr>
            <w:tcW w:w="1701" w:type="dxa"/>
          </w:tcPr>
          <w:p w14:paraId="3F4C2800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284 (3.5)</w:t>
            </w:r>
          </w:p>
        </w:tc>
        <w:tc>
          <w:tcPr>
            <w:tcW w:w="1701" w:type="dxa"/>
          </w:tcPr>
          <w:p w14:paraId="67A756F9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10,531 (2.7)</w:t>
            </w:r>
          </w:p>
        </w:tc>
        <w:tc>
          <w:tcPr>
            <w:tcW w:w="1682" w:type="dxa"/>
          </w:tcPr>
          <w:p w14:paraId="19C07988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236" w:type="dxa"/>
          </w:tcPr>
          <w:p w14:paraId="08031F8A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7ADDAF65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276 (3.6)</w:t>
            </w:r>
          </w:p>
        </w:tc>
        <w:tc>
          <w:tcPr>
            <w:tcW w:w="1531" w:type="dxa"/>
          </w:tcPr>
          <w:p w14:paraId="259EB3B9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994 (3.2)</w:t>
            </w:r>
          </w:p>
        </w:tc>
        <w:tc>
          <w:tcPr>
            <w:tcW w:w="1682" w:type="dxa"/>
          </w:tcPr>
          <w:p w14:paraId="546187C3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04418B" w:rsidRPr="00F72073" w14:paraId="4C140842" w14:textId="77777777" w:rsidTr="00BE6054">
        <w:trPr>
          <w:trHeight w:val="363"/>
        </w:trPr>
        <w:tc>
          <w:tcPr>
            <w:tcW w:w="3794" w:type="dxa"/>
          </w:tcPr>
          <w:p w14:paraId="35086EFA" w14:textId="77777777" w:rsidR="0004418B" w:rsidRPr="00F72073" w:rsidRDefault="0004418B" w:rsidP="00BE6054">
            <w:pPr>
              <w:spacing w:after="0" w:line="240" w:lineRule="auto"/>
              <w:ind w:leftChars="50"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 xml:space="preserve">Disorders related to length of gestation and  fetal period </w:t>
            </w:r>
          </w:p>
        </w:tc>
        <w:tc>
          <w:tcPr>
            <w:tcW w:w="1701" w:type="dxa"/>
          </w:tcPr>
          <w:p w14:paraId="1F962C5D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423 (5.2)</w:t>
            </w:r>
          </w:p>
        </w:tc>
        <w:tc>
          <w:tcPr>
            <w:tcW w:w="1701" w:type="dxa"/>
          </w:tcPr>
          <w:p w14:paraId="5F30A075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13,880 (3.5)</w:t>
            </w:r>
          </w:p>
        </w:tc>
        <w:tc>
          <w:tcPr>
            <w:tcW w:w="1682" w:type="dxa"/>
          </w:tcPr>
          <w:p w14:paraId="67889CF1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36" w:type="dxa"/>
          </w:tcPr>
          <w:p w14:paraId="7EF9ADBA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B8AB327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407 (5.2)</w:t>
            </w:r>
          </w:p>
        </w:tc>
        <w:tc>
          <w:tcPr>
            <w:tcW w:w="1531" w:type="dxa"/>
          </w:tcPr>
          <w:p w14:paraId="2307BF4E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1462 (4.7)</w:t>
            </w:r>
          </w:p>
        </w:tc>
        <w:tc>
          <w:tcPr>
            <w:tcW w:w="1682" w:type="dxa"/>
          </w:tcPr>
          <w:p w14:paraId="7B42C888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04418B" w:rsidRPr="00F72073" w14:paraId="2A847B4B" w14:textId="77777777" w:rsidTr="00BE6054">
        <w:trPr>
          <w:trHeight w:val="363"/>
        </w:trPr>
        <w:tc>
          <w:tcPr>
            <w:tcW w:w="3794" w:type="dxa"/>
          </w:tcPr>
          <w:p w14:paraId="378DB9BF" w14:textId="77777777" w:rsidR="0004418B" w:rsidRPr="00F72073" w:rsidRDefault="0004418B" w:rsidP="00BE6054">
            <w:pPr>
              <w:spacing w:after="0" w:line="240" w:lineRule="auto"/>
              <w:ind w:leftChars="50"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Birth trauma</w:t>
            </w:r>
          </w:p>
        </w:tc>
        <w:tc>
          <w:tcPr>
            <w:tcW w:w="1701" w:type="dxa"/>
          </w:tcPr>
          <w:p w14:paraId="531BB232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102 (1.3)</w:t>
            </w:r>
          </w:p>
        </w:tc>
        <w:tc>
          <w:tcPr>
            <w:tcW w:w="1701" w:type="dxa"/>
          </w:tcPr>
          <w:p w14:paraId="689011E3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3869 (1.0)</w:t>
            </w:r>
          </w:p>
        </w:tc>
        <w:tc>
          <w:tcPr>
            <w:tcW w:w="1682" w:type="dxa"/>
          </w:tcPr>
          <w:p w14:paraId="7A0B169D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36" w:type="dxa"/>
          </w:tcPr>
          <w:p w14:paraId="166F8D7C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509378AE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100 (1.3)</w:t>
            </w:r>
          </w:p>
        </w:tc>
        <w:tc>
          <w:tcPr>
            <w:tcW w:w="1531" w:type="dxa"/>
          </w:tcPr>
          <w:p w14:paraId="4489929D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347 (1.1)</w:t>
            </w:r>
          </w:p>
        </w:tc>
        <w:tc>
          <w:tcPr>
            <w:tcW w:w="1682" w:type="dxa"/>
          </w:tcPr>
          <w:p w14:paraId="6CCA5DFC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04418B" w:rsidRPr="00F72073" w14:paraId="56BC0228" w14:textId="77777777" w:rsidTr="00BE6054">
        <w:trPr>
          <w:trHeight w:val="363"/>
        </w:trPr>
        <w:tc>
          <w:tcPr>
            <w:tcW w:w="3794" w:type="dxa"/>
          </w:tcPr>
          <w:p w14:paraId="377AB1B5" w14:textId="77777777" w:rsidR="0004418B" w:rsidRPr="00F72073" w:rsidRDefault="0004418B" w:rsidP="00BE6054">
            <w:pPr>
              <w:spacing w:after="0" w:line="240" w:lineRule="auto"/>
              <w:ind w:leftChars="50"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Respiratory and cardiovascular disorder specific to the perinatal period</w:t>
            </w:r>
          </w:p>
        </w:tc>
        <w:tc>
          <w:tcPr>
            <w:tcW w:w="1701" w:type="dxa"/>
          </w:tcPr>
          <w:p w14:paraId="79002ED6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623 (7.7)</w:t>
            </w:r>
          </w:p>
        </w:tc>
        <w:tc>
          <w:tcPr>
            <w:tcW w:w="1701" w:type="dxa"/>
          </w:tcPr>
          <w:p w14:paraId="1711CFE4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24,390 (6.2)</w:t>
            </w:r>
          </w:p>
        </w:tc>
        <w:tc>
          <w:tcPr>
            <w:tcW w:w="1682" w:type="dxa"/>
          </w:tcPr>
          <w:p w14:paraId="216112F4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236" w:type="dxa"/>
          </w:tcPr>
          <w:p w14:paraId="2420EC2A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1E10D2B7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602 (7.8)</w:t>
            </w:r>
          </w:p>
        </w:tc>
        <w:tc>
          <w:tcPr>
            <w:tcW w:w="1531" w:type="dxa"/>
          </w:tcPr>
          <w:p w14:paraId="06706697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2272 (7.3)</w:t>
            </w:r>
          </w:p>
        </w:tc>
        <w:tc>
          <w:tcPr>
            <w:tcW w:w="1682" w:type="dxa"/>
          </w:tcPr>
          <w:p w14:paraId="211C537F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04418B" w:rsidRPr="00F72073" w14:paraId="365F777C" w14:textId="77777777" w:rsidTr="00BE6054">
        <w:trPr>
          <w:trHeight w:val="363"/>
        </w:trPr>
        <w:tc>
          <w:tcPr>
            <w:tcW w:w="3794" w:type="dxa"/>
          </w:tcPr>
          <w:p w14:paraId="05AB9C44" w14:textId="77777777" w:rsidR="0004418B" w:rsidRPr="00F72073" w:rsidRDefault="0004418B" w:rsidP="00BE6054">
            <w:pPr>
              <w:spacing w:after="0" w:line="240" w:lineRule="auto"/>
              <w:ind w:leftChars="50"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Infections specific to the perinatal period</w:t>
            </w:r>
          </w:p>
        </w:tc>
        <w:tc>
          <w:tcPr>
            <w:tcW w:w="1701" w:type="dxa"/>
          </w:tcPr>
          <w:p w14:paraId="2396871D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1343 (16.6)</w:t>
            </w:r>
          </w:p>
        </w:tc>
        <w:tc>
          <w:tcPr>
            <w:tcW w:w="1701" w:type="dxa"/>
          </w:tcPr>
          <w:p w14:paraId="60CA3608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60,714 (15.4)</w:t>
            </w:r>
          </w:p>
        </w:tc>
        <w:tc>
          <w:tcPr>
            <w:tcW w:w="1682" w:type="dxa"/>
          </w:tcPr>
          <w:p w14:paraId="4887AA38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6" w:type="dxa"/>
          </w:tcPr>
          <w:p w14:paraId="179A13F7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0CFCBA9C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1285 (16.6)</w:t>
            </w:r>
          </w:p>
        </w:tc>
        <w:tc>
          <w:tcPr>
            <w:tcW w:w="1531" w:type="dxa"/>
          </w:tcPr>
          <w:p w14:paraId="568F97E9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4981 (16.1)</w:t>
            </w:r>
          </w:p>
        </w:tc>
        <w:tc>
          <w:tcPr>
            <w:tcW w:w="1682" w:type="dxa"/>
          </w:tcPr>
          <w:p w14:paraId="5DC3AA0C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04418B" w:rsidRPr="00F72073" w14:paraId="6F2A6E8F" w14:textId="77777777" w:rsidTr="00BE6054">
        <w:trPr>
          <w:trHeight w:val="363"/>
        </w:trPr>
        <w:tc>
          <w:tcPr>
            <w:tcW w:w="3794" w:type="dxa"/>
          </w:tcPr>
          <w:p w14:paraId="0777A3D2" w14:textId="77777777" w:rsidR="0004418B" w:rsidRPr="00F72073" w:rsidRDefault="0004418B" w:rsidP="00BE6054">
            <w:pPr>
              <w:spacing w:after="0" w:line="240" w:lineRule="auto"/>
              <w:ind w:leftChars="50"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Hemorrhagic and hematological disorders of fetus and newborn</w:t>
            </w:r>
          </w:p>
        </w:tc>
        <w:tc>
          <w:tcPr>
            <w:tcW w:w="1701" w:type="dxa"/>
          </w:tcPr>
          <w:p w14:paraId="13D4659D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2882 (35.6)</w:t>
            </w:r>
          </w:p>
        </w:tc>
        <w:tc>
          <w:tcPr>
            <w:tcW w:w="1701" w:type="dxa"/>
          </w:tcPr>
          <w:p w14:paraId="564B05F6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133,800 (34.0)</w:t>
            </w:r>
          </w:p>
        </w:tc>
        <w:tc>
          <w:tcPr>
            <w:tcW w:w="1682" w:type="dxa"/>
          </w:tcPr>
          <w:p w14:paraId="1730849D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36" w:type="dxa"/>
          </w:tcPr>
          <w:p w14:paraId="3B5C3122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5AD5C4BC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2767 (35.7)</w:t>
            </w:r>
          </w:p>
        </w:tc>
        <w:tc>
          <w:tcPr>
            <w:tcW w:w="1531" w:type="dxa"/>
          </w:tcPr>
          <w:p w14:paraId="55E942E7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10,769 (34.7)</w:t>
            </w:r>
          </w:p>
        </w:tc>
        <w:tc>
          <w:tcPr>
            <w:tcW w:w="1682" w:type="dxa"/>
          </w:tcPr>
          <w:p w14:paraId="70B87341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04418B" w:rsidRPr="00F72073" w14:paraId="714745C9" w14:textId="77777777" w:rsidTr="00BE6054">
        <w:trPr>
          <w:trHeight w:val="363"/>
        </w:trPr>
        <w:tc>
          <w:tcPr>
            <w:tcW w:w="3794" w:type="dxa"/>
          </w:tcPr>
          <w:p w14:paraId="49E05E28" w14:textId="77777777" w:rsidR="0004418B" w:rsidRPr="00F72073" w:rsidRDefault="0004418B" w:rsidP="00BE6054">
            <w:pPr>
              <w:spacing w:after="0" w:line="240" w:lineRule="auto"/>
              <w:ind w:leftChars="50"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Transitory endocrine and metabolic disorders</w:t>
            </w:r>
          </w:p>
        </w:tc>
        <w:tc>
          <w:tcPr>
            <w:tcW w:w="1701" w:type="dxa"/>
          </w:tcPr>
          <w:p w14:paraId="3F890843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488 (6.0)</w:t>
            </w:r>
          </w:p>
        </w:tc>
        <w:tc>
          <w:tcPr>
            <w:tcW w:w="1701" w:type="dxa"/>
          </w:tcPr>
          <w:p w14:paraId="070EC31E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18,221 (4.6)</w:t>
            </w:r>
          </w:p>
        </w:tc>
        <w:tc>
          <w:tcPr>
            <w:tcW w:w="1682" w:type="dxa"/>
          </w:tcPr>
          <w:p w14:paraId="5C600208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36" w:type="dxa"/>
          </w:tcPr>
          <w:p w14:paraId="6A3AC638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6BD33FF6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470 (6.1)</w:t>
            </w:r>
          </w:p>
        </w:tc>
        <w:tc>
          <w:tcPr>
            <w:tcW w:w="1531" w:type="dxa"/>
          </w:tcPr>
          <w:p w14:paraId="2249B69B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1651 (5.3)</w:t>
            </w:r>
          </w:p>
        </w:tc>
        <w:tc>
          <w:tcPr>
            <w:tcW w:w="1682" w:type="dxa"/>
          </w:tcPr>
          <w:p w14:paraId="00EF2411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4418B" w:rsidRPr="00F72073" w14:paraId="757DCA29" w14:textId="77777777" w:rsidTr="00BE6054">
        <w:trPr>
          <w:trHeight w:val="363"/>
        </w:trPr>
        <w:tc>
          <w:tcPr>
            <w:tcW w:w="3794" w:type="dxa"/>
          </w:tcPr>
          <w:p w14:paraId="564D3744" w14:textId="77777777" w:rsidR="0004418B" w:rsidRPr="00F72073" w:rsidRDefault="0004418B" w:rsidP="00BE6054">
            <w:pPr>
              <w:spacing w:after="0" w:line="240" w:lineRule="auto"/>
              <w:ind w:leftChars="50"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Digestive system disorders of fetus and newborn</w:t>
            </w:r>
          </w:p>
        </w:tc>
        <w:tc>
          <w:tcPr>
            <w:tcW w:w="1701" w:type="dxa"/>
          </w:tcPr>
          <w:p w14:paraId="6B4E0BD5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264 (3.3)</w:t>
            </w:r>
          </w:p>
        </w:tc>
        <w:tc>
          <w:tcPr>
            <w:tcW w:w="1701" w:type="dxa"/>
          </w:tcPr>
          <w:p w14:paraId="2C28EC4E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12,287 (3.1)</w:t>
            </w:r>
          </w:p>
        </w:tc>
        <w:tc>
          <w:tcPr>
            <w:tcW w:w="1682" w:type="dxa"/>
          </w:tcPr>
          <w:p w14:paraId="38FE44FA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236" w:type="dxa"/>
          </w:tcPr>
          <w:p w14:paraId="0DA90018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277540F5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255 (3.3)</w:t>
            </w:r>
          </w:p>
        </w:tc>
        <w:tc>
          <w:tcPr>
            <w:tcW w:w="1531" w:type="dxa"/>
          </w:tcPr>
          <w:p w14:paraId="5849BF3C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881 (2.8)</w:t>
            </w:r>
          </w:p>
        </w:tc>
        <w:tc>
          <w:tcPr>
            <w:tcW w:w="1682" w:type="dxa"/>
          </w:tcPr>
          <w:p w14:paraId="203A3E89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04418B" w:rsidRPr="00F72073" w14:paraId="491565DF" w14:textId="77777777" w:rsidTr="00BE6054">
        <w:trPr>
          <w:trHeight w:val="363"/>
        </w:trPr>
        <w:tc>
          <w:tcPr>
            <w:tcW w:w="3794" w:type="dxa"/>
          </w:tcPr>
          <w:p w14:paraId="75C1702A" w14:textId="77777777" w:rsidR="0004418B" w:rsidRPr="00F72073" w:rsidRDefault="0004418B" w:rsidP="00BE6054">
            <w:pPr>
              <w:spacing w:after="0" w:line="240" w:lineRule="auto"/>
              <w:ind w:leftChars="50"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Conditions involving the integument and  temperature regulation</w:t>
            </w:r>
          </w:p>
        </w:tc>
        <w:tc>
          <w:tcPr>
            <w:tcW w:w="1701" w:type="dxa"/>
          </w:tcPr>
          <w:p w14:paraId="18F90368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296 (3.7)</w:t>
            </w:r>
          </w:p>
        </w:tc>
        <w:tc>
          <w:tcPr>
            <w:tcW w:w="1701" w:type="dxa"/>
          </w:tcPr>
          <w:p w14:paraId="240461E8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14,870 (3.8)</w:t>
            </w:r>
          </w:p>
        </w:tc>
        <w:tc>
          <w:tcPr>
            <w:tcW w:w="1682" w:type="dxa"/>
          </w:tcPr>
          <w:p w14:paraId="572CD2CD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6" w:type="dxa"/>
          </w:tcPr>
          <w:p w14:paraId="6D9FF449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2C6B915A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276 (3.6)</w:t>
            </w:r>
          </w:p>
        </w:tc>
        <w:tc>
          <w:tcPr>
            <w:tcW w:w="1531" w:type="dxa"/>
          </w:tcPr>
          <w:p w14:paraId="35B3F4D9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1003 (3.2)</w:t>
            </w:r>
          </w:p>
        </w:tc>
        <w:tc>
          <w:tcPr>
            <w:tcW w:w="1682" w:type="dxa"/>
          </w:tcPr>
          <w:p w14:paraId="53C509CA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04418B" w:rsidRPr="00F72073" w14:paraId="5028AEF7" w14:textId="77777777" w:rsidTr="00BE6054">
        <w:trPr>
          <w:trHeight w:val="363"/>
        </w:trPr>
        <w:tc>
          <w:tcPr>
            <w:tcW w:w="3794" w:type="dxa"/>
            <w:vAlign w:val="center"/>
          </w:tcPr>
          <w:p w14:paraId="54F1ED88" w14:textId="77777777" w:rsidR="0004418B" w:rsidRPr="00F72073" w:rsidRDefault="0004418B" w:rsidP="00BE6054">
            <w:pPr>
              <w:spacing w:after="0" w:line="240" w:lineRule="auto"/>
              <w:ind w:leftChars="50"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Congenital malformations, deformations in the perinatal period</w:t>
            </w:r>
          </w:p>
        </w:tc>
        <w:tc>
          <w:tcPr>
            <w:tcW w:w="1701" w:type="dxa"/>
            <w:vAlign w:val="center"/>
          </w:tcPr>
          <w:p w14:paraId="60326C38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588 (7.3)</w:t>
            </w:r>
          </w:p>
        </w:tc>
        <w:tc>
          <w:tcPr>
            <w:tcW w:w="1701" w:type="dxa"/>
            <w:vAlign w:val="center"/>
          </w:tcPr>
          <w:p w14:paraId="096E9D2E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25,146 (6.4)</w:t>
            </w:r>
          </w:p>
        </w:tc>
        <w:tc>
          <w:tcPr>
            <w:tcW w:w="1682" w:type="dxa"/>
            <w:vAlign w:val="center"/>
          </w:tcPr>
          <w:p w14:paraId="73909259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236" w:type="dxa"/>
            <w:vAlign w:val="center"/>
          </w:tcPr>
          <w:p w14:paraId="0C4B59B8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41BDA536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568 (7.3)</w:t>
            </w:r>
          </w:p>
        </w:tc>
        <w:tc>
          <w:tcPr>
            <w:tcW w:w="1531" w:type="dxa"/>
            <w:vAlign w:val="center"/>
          </w:tcPr>
          <w:p w14:paraId="2377D964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2245 (7.2)</w:t>
            </w:r>
          </w:p>
        </w:tc>
        <w:tc>
          <w:tcPr>
            <w:tcW w:w="1682" w:type="dxa"/>
            <w:vAlign w:val="center"/>
          </w:tcPr>
          <w:p w14:paraId="47DBA3D3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04418B" w:rsidRPr="00F72073" w14:paraId="36163DDF" w14:textId="77777777" w:rsidTr="00BE6054">
        <w:trPr>
          <w:trHeight w:val="363"/>
        </w:trPr>
        <w:tc>
          <w:tcPr>
            <w:tcW w:w="3794" w:type="dxa"/>
            <w:tcBorders>
              <w:bottom w:val="single" w:sz="18" w:space="0" w:color="000000"/>
            </w:tcBorders>
            <w:vAlign w:val="center"/>
          </w:tcPr>
          <w:p w14:paraId="43CD275A" w14:textId="77777777" w:rsidR="0004418B" w:rsidRPr="00F72073" w:rsidRDefault="0004418B" w:rsidP="00BE6054">
            <w:pPr>
              <w:wordWrap/>
              <w:spacing w:after="0" w:line="24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Chromosomal abnormality</w:t>
            </w:r>
          </w:p>
        </w:tc>
        <w:tc>
          <w:tcPr>
            <w:tcW w:w="1701" w:type="dxa"/>
            <w:tcBorders>
              <w:bottom w:val="single" w:sz="18" w:space="0" w:color="000000"/>
            </w:tcBorders>
            <w:vAlign w:val="center"/>
          </w:tcPr>
          <w:p w14:paraId="306B7792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1072 (13.2)</w:t>
            </w:r>
          </w:p>
        </w:tc>
        <w:tc>
          <w:tcPr>
            <w:tcW w:w="1701" w:type="dxa"/>
            <w:tcBorders>
              <w:bottom w:val="single" w:sz="18" w:space="0" w:color="000000"/>
            </w:tcBorders>
            <w:vAlign w:val="center"/>
          </w:tcPr>
          <w:p w14:paraId="25D6E7A5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42,302 (10.7)</w:t>
            </w:r>
          </w:p>
        </w:tc>
        <w:tc>
          <w:tcPr>
            <w:tcW w:w="1682" w:type="dxa"/>
            <w:tcBorders>
              <w:bottom w:val="single" w:sz="18" w:space="0" w:color="000000"/>
            </w:tcBorders>
            <w:vAlign w:val="center"/>
          </w:tcPr>
          <w:p w14:paraId="408162FB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236" w:type="dxa"/>
            <w:tcBorders>
              <w:bottom w:val="single" w:sz="18" w:space="0" w:color="000000"/>
            </w:tcBorders>
            <w:vAlign w:val="center"/>
          </w:tcPr>
          <w:p w14:paraId="3EBF204F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18" w:space="0" w:color="000000"/>
            </w:tcBorders>
            <w:vAlign w:val="center"/>
          </w:tcPr>
          <w:p w14:paraId="45474A78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1031 (13.3)</w:t>
            </w:r>
          </w:p>
        </w:tc>
        <w:tc>
          <w:tcPr>
            <w:tcW w:w="1531" w:type="dxa"/>
            <w:tcBorders>
              <w:bottom w:val="single" w:sz="18" w:space="0" w:color="000000"/>
            </w:tcBorders>
            <w:vAlign w:val="center"/>
          </w:tcPr>
          <w:p w14:paraId="5B00BA47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4169 (13.4)</w:t>
            </w:r>
          </w:p>
        </w:tc>
        <w:tc>
          <w:tcPr>
            <w:tcW w:w="1682" w:type="dxa"/>
            <w:tcBorders>
              <w:bottom w:val="single" w:sz="18" w:space="0" w:color="000000"/>
            </w:tcBorders>
            <w:vAlign w:val="center"/>
          </w:tcPr>
          <w:p w14:paraId="45F72A15" w14:textId="77777777" w:rsidR="0004418B" w:rsidRPr="00F72073" w:rsidRDefault="0004418B" w:rsidP="00BE60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073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</w:tbl>
    <w:p w14:paraId="0E50707A" w14:textId="77777777" w:rsidR="0004418B" w:rsidRPr="00F72073" w:rsidRDefault="0004418B" w:rsidP="00FB1CA4">
      <w:pPr>
        <w:wordWrap/>
        <w:autoSpaceDE/>
        <w:autoSpaceDN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F7B157" w14:textId="77777777" w:rsidR="0004418B" w:rsidRPr="00F72073" w:rsidRDefault="0004418B" w:rsidP="00FB1CA4">
      <w:pPr>
        <w:wordWrap/>
        <w:autoSpaceDE/>
        <w:autoSpaceDN/>
        <w:rPr>
          <w:rFonts w:ascii="Times New Roman" w:eastAsiaTheme="minorHAnsi" w:hAnsi="Times New Roman" w:cs="Times New Roman"/>
          <w:sz w:val="24"/>
        </w:rPr>
      </w:pPr>
    </w:p>
    <w:p w14:paraId="3F5B3936" w14:textId="77777777" w:rsidR="0004418B" w:rsidRPr="00F72073" w:rsidRDefault="0004418B" w:rsidP="00FB1CA4">
      <w:pPr>
        <w:wordWrap/>
        <w:autoSpaceDE/>
        <w:autoSpaceDN/>
        <w:rPr>
          <w:rFonts w:ascii="Times New Roman" w:eastAsiaTheme="minorHAnsi" w:hAnsi="Times New Roman" w:cs="Times New Roman"/>
          <w:sz w:val="24"/>
        </w:rPr>
      </w:pPr>
      <w:r w:rsidRPr="00F72073">
        <w:rPr>
          <w:rFonts w:ascii="Times New Roman" w:eastAsiaTheme="minorHAnsi" w:hAnsi="Times New Roman" w:cs="Times New Roman"/>
          <w:sz w:val="24"/>
        </w:rPr>
        <w:br w:type="page"/>
      </w:r>
    </w:p>
    <w:p w14:paraId="29AEA7F5" w14:textId="77777777" w:rsidR="0004418B" w:rsidRPr="00F72073" w:rsidRDefault="0004418B" w:rsidP="00FB1CA4">
      <w:pPr>
        <w:wordWrap/>
        <w:autoSpaceDE/>
        <w:autoSpaceDN/>
        <w:rPr>
          <w:rFonts w:ascii="Times New Roman" w:eastAsiaTheme="minorHAnsi" w:hAnsi="Times New Roman" w:cs="Times New Roman"/>
          <w:sz w:val="24"/>
        </w:rPr>
      </w:pPr>
      <w:r w:rsidRPr="00F72073">
        <w:rPr>
          <w:rFonts w:ascii="Times New Roman" w:eastAsiaTheme="minorHAnsi" w:hAnsi="Times New Roman" w:cs="Times New Roman"/>
          <w:noProof/>
          <w:sz w:val="24"/>
          <w:lang w:val="en-IN" w:eastAsia="en-IN"/>
        </w:rPr>
        <w:drawing>
          <wp:inline distT="0" distB="0" distL="0" distR="0" wp14:anchorId="4ECFF3E5" wp14:editId="1ACC6D8A">
            <wp:extent cx="6229350" cy="466522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67" cy="4666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6E2597" w14:textId="77777777" w:rsidR="0004418B" w:rsidRPr="00BE6054" w:rsidRDefault="0004418B" w:rsidP="00DE6165">
      <w:pPr>
        <w:rPr>
          <w:rFonts w:ascii="Times New Roman" w:hAnsi="Times New Roman" w:cs="Times New Roman"/>
          <w:b/>
          <w:sz w:val="24"/>
          <w:szCs w:val="24"/>
        </w:rPr>
      </w:pPr>
      <w:r w:rsidRPr="00F72073">
        <w:rPr>
          <w:rFonts w:ascii="Times New Roman" w:hAnsi="Times New Roman" w:cs="Times New Roman"/>
          <w:b/>
          <w:sz w:val="24"/>
          <w:szCs w:val="24"/>
        </w:rPr>
        <w:t>Supplementary Figure 1. P</w:t>
      </w:r>
      <w:r w:rsidRPr="00F72073">
        <w:rPr>
          <w:rFonts w:ascii="Times New Roman" w:hAnsi="Times New Roman" w:cs="Times New Roman"/>
          <w:b/>
          <w:sz w:val="22"/>
        </w:rPr>
        <w:t>revalence of am</w:t>
      </w:r>
      <w:bookmarkStart w:id="1" w:name="_GoBack"/>
      <w:bookmarkEnd w:id="1"/>
      <w:r w:rsidRPr="00F72073">
        <w:rPr>
          <w:rFonts w:ascii="Times New Roman" w:hAnsi="Times New Roman" w:cs="Times New Roman"/>
          <w:b/>
          <w:sz w:val="22"/>
        </w:rPr>
        <w:t>blyopia according to age at diagnosis .</w:t>
      </w:r>
    </w:p>
    <w:bookmarkEnd w:id="0"/>
    <w:p w14:paraId="18A4E58E" w14:textId="77777777" w:rsidR="0004418B" w:rsidRPr="00505883" w:rsidRDefault="0004418B" w:rsidP="003E3292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727F2" w14:textId="77777777" w:rsidR="00DF1F00" w:rsidRDefault="00DF1F00"/>
    <w:sectPr w:rsidR="00DF1F00" w:rsidSect="00F72073">
      <w:footerReference w:type="default" r:id="rId8"/>
      <w:pgSz w:w="16838" w:h="11906" w:orient="landscape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36328" w14:textId="77777777" w:rsidR="007478B3" w:rsidRDefault="007478B3">
      <w:pPr>
        <w:spacing w:after="0" w:line="240" w:lineRule="auto"/>
      </w:pPr>
      <w:r>
        <w:separator/>
      </w:r>
    </w:p>
  </w:endnote>
  <w:endnote w:type="continuationSeparator" w:id="0">
    <w:p w14:paraId="4F508098" w14:textId="77777777" w:rsidR="007478B3" w:rsidRDefault="00747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6739251"/>
      <w:docPartObj>
        <w:docPartGallery w:val="Page Numbers (Bottom of Page)"/>
        <w:docPartUnique/>
      </w:docPartObj>
    </w:sdtPr>
    <w:sdtEndPr/>
    <w:sdtContent>
      <w:p w14:paraId="74F0C309" w14:textId="77777777" w:rsidR="00122410" w:rsidRDefault="0004418B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3771FB0" w14:textId="77777777" w:rsidR="00122410" w:rsidRDefault="00F720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5DF85" w14:textId="77777777" w:rsidR="007478B3" w:rsidRDefault="007478B3">
      <w:pPr>
        <w:spacing w:after="0" w:line="240" w:lineRule="auto"/>
      </w:pPr>
      <w:r>
        <w:separator/>
      </w:r>
    </w:p>
  </w:footnote>
  <w:footnote w:type="continuationSeparator" w:id="0">
    <w:p w14:paraId="49A4998D" w14:textId="77777777" w:rsidR="007478B3" w:rsidRDefault="00747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E747D"/>
    <w:multiLevelType w:val="hybridMultilevel"/>
    <w:tmpl w:val="58E26148"/>
    <w:lvl w:ilvl="0" w:tplc="DF8A34A0">
      <w:start w:val="5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04E6654"/>
    <w:multiLevelType w:val="hybridMultilevel"/>
    <w:tmpl w:val="003684C4"/>
    <w:lvl w:ilvl="0" w:tplc="FAD432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ulim" w:hAnsi="Gulim" w:hint="default"/>
      </w:rPr>
    </w:lvl>
    <w:lvl w:ilvl="1" w:tplc="44C4A2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ulim" w:hAnsi="Gulim" w:hint="default"/>
      </w:rPr>
    </w:lvl>
    <w:lvl w:ilvl="2" w:tplc="4D841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ulim" w:hAnsi="Gulim" w:hint="default"/>
      </w:rPr>
    </w:lvl>
    <w:lvl w:ilvl="3" w:tplc="87B47E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ulim" w:hAnsi="Gulim" w:hint="default"/>
      </w:rPr>
    </w:lvl>
    <w:lvl w:ilvl="4" w:tplc="BCE8B9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ulim" w:hAnsi="Gulim" w:hint="default"/>
      </w:rPr>
    </w:lvl>
    <w:lvl w:ilvl="5" w:tplc="C92E67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ulim" w:hAnsi="Gulim" w:hint="default"/>
      </w:rPr>
    </w:lvl>
    <w:lvl w:ilvl="6" w:tplc="548253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ulim" w:hAnsi="Gulim" w:hint="default"/>
      </w:rPr>
    </w:lvl>
    <w:lvl w:ilvl="7" w:tplc="C32872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ulim" w:hAnsi="Gulim" w:hint="default"/>
      </w:rPr>
    </w:lvl>
    <w:lvl w:ilvl="8" w:tplc="3F46C4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ulim" w:hAnsi="Gulim" w:hint="default"/>
      </w:rPr>
    </w:lvl>
  </w:abstractNum>
  <w:abstractNum w:abstractNumId="2" w15:restartNumberingAfterBreak="0">
    <w:nsid w:val="693A1940"/>
    <w:multiLevelType w:val="hybridMultilevel"/>
    <w:tmpl w:val="1E74C934"/>
    <w:lvl w:ilvl="0" w:tplc="4AA2AD48">
      <w:start w:val="1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4418B"/>
    <w:rsid w:val="0004418B"/>
    <w:rsid w:val="005C39CF"/>
    <w:rsid w:val="007478B3"/>
    <w:rsid w:val="00DF1F00"/>
    <w:rsid w:val="00F7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36E09"/>
  <w15:chartTrackingRefBased/>
  <w15:docId w15:val="{D0213FCA-C283-4465-A09F-E0A3B1BB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18B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rsid w:val="0004418B"/>
    <w:pPr>
      <w:keepNext/>
      <w:keepLines/>
      <w:spacing w:before="480" w:after="120" w:line="276" w:lineRule="auto"/>
      <w:outlineLvl w:val="0"/>
    </w:pPr>
    <w:rPr>
      <w:rFonts w:ascii="Malgun Gothic" w:eastAsia="Malgun Gothic" w:hAnsi="Malgun Gothic" w:cs="Malgun Gothic"/>
      <w:b/>
      <w:kern w:val="0"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04418B"/>
    <w:pPr>
      <w:keepNext/>
      <w:keepLines/>
      <w:spacing w:before="360" w:after="80" w:line="276" w:lineRule="auto"/>
      <w:outlineLvl w:val="1"/>
    </w:pPr>
    <w:rPr>
      <w:rFonts w:ascii="Malgun Gothic" w:eastAsia="Malgun Gothic" w:hAnsi="Malgun Gothic" w:cs="Malgun Gothic"/>
      <w:b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04418B"/>
    <w:pPr>
      <w:keepNext/>
      <w:keepLines/>
      <w:spacing w:before="280" w:after="80" w:line="276" w:lineRule="auto"/>
      <w:outlineLvl w:val="2"/>
    </w:pPr>
    <w:rPr>
      <w:rFonts w:ascii="Malgun Gothic" w:eastAsia="Malgun Gothic" w:hAnsi="Malgun Gothic" w:cs="Malgun Gothic"/>
      <w:b/>
      <w:kern w:val="0"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04418B"/>
    <w:pPr>
      <w:keepNext/>
      <w:keepLines/>
      <w:spacing w:before="240" w:after="40" w:line="276" w:lineRule="auto"/>
      <w:outlineLvl w:val="3"/>
    </w:pPr>
    <w:rPr>
      <w:rFonts w:ascii="Malgun Gothic" w:eastAsia="Malgun Gothic" w:hAnsi="Malgun Gothic" w:cs="Malgun Gothic"/>
      <w:b/>
      <w:kern w:val="0"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04418B"/>
    <w:pPr>
      <w:keepNext/>
      <w:keepLines/>
      <w:spacing w:before="220" w:after="40" w:line="276" w:lineRule="auto"/>
      <w:outlineLvl w:val="4"/>
    </w:pPr>
    <w:rPr>
      <w:rFonts w:ascii="Malgun Gothic" w:eastAsia="Malgun Gothic" w:hAnsi="Malgun Gothic" w:cs="Malgun Gothic"/>
      <w:b/>
      <w:kern w:val="0"/>
      <w:sz w:val="22"/>
    </w:rPr>
  </w:style>
  <w:style w:type="paragraph" w:styleId="Heading6">
    <w:name w:val="heading 6"/>
    <w:basedOn w:val="Normal"/>
    <w:next w:val="Normal"/>
    <w:link w:val="Heading6Char"/>
    <w:rsid w:val="0004418B"/>
    <w:pPr>
      <w:keepNext/>
      <w:keepLines/>
      <w:spacing w:before="200" w:after="40" w:line="276" w:lineRule="auto"/>
      <w:outlineLvl w:val="5"/>
    </w:pPr>
    <w:rPr>
      <w:rFonts w:ascii="Malgun Gothic" w:eastAsia="Malgun Gothic" w:hAnsi="Malgun Gothic" w:cs="Malgun Gothic"/>
      <w:b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418B"/>
    <w:rPr>
      <w:rFonts w:ascii="Malgun Gothic" w:eastAsia="Malgun Gothic" w:hAnsi="Malgun Gothic" w:cs="Malgun Gothic"/>
      <w:b/>
      <w:kern w:val="0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04418B"/>
    <w:rPr>
      <w:rFonts w:ascii="Malgun Gothic" w:eastAsia="Malgun Gothic" w:hAnsi="Malgun Gothic" w:cs="Malgun Gothic"/>
      <w:b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04418B"/>
    <w:rPr>
      <w:rFonts w:ascii="Malgun Gothic" w:eastAsia="Malgun Gothic" w:hAnsi="Malgun Gothic" w:cs="Malgun Gothic"/>
      <w:b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04418B"/>
    <w:rPr>
      <w:rFonts w:ascii="Malgun Gothic" w:eastAsia="Malgun Gothic" w:hAnsi="Malgun Gothic" w:cs="Malgun Gothic"/>
      <w:b/>
      <w:kern w:val="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04418B"/>
    <w:rPr>
      <w:rFonts w:ascii="Malgun Gothic" w:eastAsia="Malgun Gothic" w:hAnsi="Malgun Gothic" w:cs="Malgun Gothic"/>
      <w:b/>
      <w:kern w:val="0"/>
      <w:sz w:val="22"/>
    </w:rPr>
  </w:style>
  <w:style w:type="character" w:customStyle="1" w:styleId="Heading6Char">
    <w:name w:val="Heading 6 Char"/>
    <w:basedOn w:val="DefaultParagraphFont"/>
    <w:link w:val="Heading6"/>
    <w:rsid w:val="0004418B"/>
    <w:rPr>
      <w:rFonts w:ascii="Malgun Gothic" w:eastAsia="Malgun Gothic" w:hAnsi="Malgun Gothic" w:cs="Malgun Gothic"/>
      <w:b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18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DefaultParagraphFont"/>
    <w:uiPriority w:val="99"/>
    <w:semiHidden/>
    <w:rsid w:val="0004418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18B"/>
    <w:rPr>
      <w:rFonts w:asciiTheme="majorHAnsi" w:eastAsiaTheme="majorEastAsia" w:hAnsiTheme="majorHAnsi" w:cstheme="majorBid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4418B"/>
    <w:pPr>
      <w:spacing w:line="256" w:lineRule="auto"/>
      <w:jc w:val="left"/>
    </w:pPr>
  </w:style>
  <w:style w:type="character" w:customStyle="1" w:styleId="Char0">
    <w:name w:val="메모 텍스트 Char"/>
    <w:basedOn w:val="DefaultParagraphFont"/>
    <w:uiPriority w:val="99"/>
    <w:rsid w:val="0004418B"/>
  </w:style>
  <w:style w:type="character" w:customStyle="1" w:styleId="CommentTextChar">
    <w:name w:val="Comment Text Char"/>
    <w:basedOn w:val="DefaultParagraphFont"/>
    <w:link w:val="CommentText"/>
    <w:uiPriority w:val="99"/>
    <w:rsid w:val="000441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18B"/>
    <w:pPr>
      <w:spacing w:line="259" w:lineRule="auto"/>
    </w:pPr>
    <w:rPr>
      <w:b/>
      <w:bCs/>
    </w:rPr>
  </w:style>
  <w:style w:type="character" w:customStyle="1" w:styleId="Char1">
    <w:name w:val="메모 주제 Char"/>
    <w:basedOn w:val="Char0"/>
    <w:uiPriority w:val="99"/>
    <w:semiHidden/>
    <w:rsid w:val="00044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18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4418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DefaultParagraphFont"/>
    <w:uiPriority w:val="99"/>
    <w:rsid w:val="0004418B"/>
  </w:style>
  <w:style w:type="character" w:customStyle="1" w:styleId="HeaderChar">
    <w:name w:val="Header Char"/>
    <w:basedOn w:val="DefaultParagraphFont"/>
    <w:link w:val="Header"/>
    <w:uiPriority w:val="99"/>
    <w:rsid w:val="0004418B"/>
  </w:style>
  <w:style w:type="paragraph" w:styleId="Footer">
    <w:name w:val="footer"/>
    <w:basedOn w:val="Normal"/>
    <w:link w:val="FooterChar"/>
    <w:uiPriority w:val="99"/>
    <w:unhideWhenUsed/>
    <w:rsid w:val="0004418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DefaultParagraphFont"/>
    <w:uiPriority w:val="99"/>
    <w:rsid w:val="0004418B"/>
  </w:style>
  <w:style w:type="character" w:customStyle="1" w:styleId="FooterChar">
    <w:name w:val="Footer Char"/>
    <w:basedOn w:val="DefaultParagraphFont"/>
    <w:link w:val="Footer"/>
    <w:uiPriority w:val="99"/>
    <w:rsid w:val="0004418B"/>
  </w:style>
  <w:style w:type="character" w:styleId="Hyperlink">
    <w:name w:val="Hyperlink"/>
    <w:basedOn w:val="DefaultParagraphFont"/>
    <w:uiPriority w:val="99"/>
    <w:unhideWhenUsed/>
    <w:rsid w:val="0004418B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4418B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4418B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04418B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4418B"/>
    <w:rPr>
      <w:rFonts w:ascii="Malgun Gothic" w:eastAsia="Malgun Gothic" w:hAnsi="Malgun Gothic"/>
      <w:noProof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4418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rsid w:val="0004418B"/>
    <w:pPr>
      <w:keepNext/>
      <w:keepLines/>
      <w:spacing w:before="480" w:after="120" w:line="276" w:lineRule="auto"/>
    </w:pPr>
    <w:rPr>
      <w:rFonts w:ascii="Malgun Gothic" w:eastAsia="Malgun Gothic" w:hAnsi="Malgun Gothic" w:cs="Malgun Gothic"/>
      <w:b/>
      <w:kern w:val="0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04418B"/>
    <w:rPr>
      <w:rFonts w:ascii="Malgun Gothic" w:eastAsia="Malgun Gothic" w:hAnsi="Malgun Gothic" w:cs="Malgun Gothic"/>
      <w:b/>
      <w:kern w:val="0"/>
      <w:sz w:val="72"/>
      <w:szCs w:val="72"/>
    </w:rPr>
  </w:style>
  <w:style w:type="paragraph" w:styleId="ListParagraph">
    <w:name w:val="List Paragraph"/>
    <w:basedOn w:val="Normal"/>
    <w:uiPriority w:val="34"/>
    <w:qFormat/>
    <w:rsid w:val="0004418B"/>
    <w:pPr>
      <w:spacing w:after="200" w:line="276" w:lineRule="auto"/>
      <w:ind w:leftChars="400" w:left="800"/>
    </w:pPr>
    <w:rPr>
      <w:rFonts w:ascii="Malgun Gothic" w:eastAsia="Malgun Gothic" w:hAnsi="Malgun Gothic" w:cs="Malgun Gothic"/>
      <w:kern w:val="0"/>
      <w:szCs w:val="20"/>
    </w:rPr>
  </w:style>
  <w:style w:type="paragraph" w:styleId="Subtitle">
    <w:name w:val="Subtitle"/>
    <w:basedOn w:val="Normal"/>
    <w:next w:val="Normal"/>
    <w:link w:val="SubtitleChar"/>
    <w:rsid w:val="0004418B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04418B"/>
    <w:rPr>
      <w:rFonts w:ascii="Georgia" w:eastAsia="Georgia" w:hAnsi="Georgia" w:cs="Georgia"/>
      <w:i/>
      <w:color w:val="666666"/>
      <w:kern w:val="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명진 김</dc:creator>
  <cp:keywords/>
  <dc:description/>
  <cp:lastModifiedBy>Bhuvaneswari R.</cp:lastModifiedBy>
  <cp:revision>3</cp:revision>
  <dcterms:created xsi:type="dcterms:W3CDTF">2021-11-20T06:32:00Z</dcterms:created>
  <dcterms:modified xsi:type="dcterms:W3CDTF">2022-04-15T13:49:00Z</dcterms:modified>
</cp:coreProperties>
</file>