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476B5" w14:textId="77777777" w:rsidR="003A1F88" w:rsidRDefault="003A1F88" w:rsidP="003A1F88">
      <w:pPr>
        <w:widowControl/>
        <w:wordWrap/>
        <w:autoSpaceDE/>
        <w:autoSpaceDN/>
        <w:spacing w:line="48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</w:rPr>
        <w:drawing>
          <wp:inline distT="0" distB="0" distL="0" distR="0" wp14:anchorId="20EBE7BC" wp14:editId="1525ECF1">
            <wp:extent cx="4875362" cy="7315200"/>
            <wp:effectExtent l="0" t="0" r="1905" b="0"/>
            <wp:docPr id="76" name="그림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686" cy="7330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6ADEA2" w14:textId="5C8139B3" w:rsidR="003A1F88" w:rsidRDefault="003A1F88" w:rsidP="003A1F88">
      <w:pPr>
        <w:widowControl/>
        <w:wordWrap/>
        <w:autoSpaceDE/>
        <w:autoSpaceDN/>
        <w:spacing w:line="480" w:lineRule="auto"/>
        <w:rPr>
          <w:rFonts w:ascii="Arial" w:hAnsi="Arial" w:cs="Arial"/>
          <w:b/>
          <w:sz w:val="24"/>
        </w:rPr>
      </w:pPr>
      <w:r>
        <w:rPr>
          <w:rFonts w:ascii="Arial" w:hAnsi="Arial" w:cs="Arial" w:hint="eastAsia"/>
          <w:b/>
          <w:sz w:val="24"/>
        </w:rPr>
        <w:t>Supple</w:t>
      </w:r>
      <w:r>
        <w:rPr>
          <w:rFonts w:ascii="Arial" w:hAnsi="Arial" w:cs="Arial"/>
          <w:b/>
          <w:sz w:val="24"/>
        </w:rPr>
        <w:t xml:space="preserve">mentary </w:t>
      </w:r>
      <w:r>
        <w:rPr>
          <w:rFonts w:ascii="Arial" w:hAnsi="Arial" w:cs="Arial"/>
          <w:b/>
          <w:sz w:val="24"/>
          <w:szCs w:val="24"/>
        </w:rPr>
        <w:t>Fig. 1 | Comparison of ADSC characteristics</w:t>
      </w:r>
      <w:r>
        <w:rPr>
          <w:rFonts w:ascii="Arial" w:hAnsi="Arial" w:cs="Arial"/>
          <w:b/>
          <w:sz w:val="24"/>
        </w:rPr>
        <w:t xml:space="preserve"> after cultivation in FBS containing media and four SFM. </w:t>
      </w:r>
      <w:r w:rsidRPr="0011684E">
        <w:rPr>
          <w:rFonts w:ascii="Arial" w:hAnsi="Arial" w:cs="Arial"/>
          <w:bCs/>
          <w:sz w:val="24"/>
        </w:rPr>
        <w:t>Calculated</w:t>
      </w:r>
      <w:r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PDT and </w:t>
      </w:r>
      <w:r>
        <w:rPr>
          <w:rFonts w:ascii="Arial" w:hAnsi="Arial" w:cs="Arial"/>
          <w:b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</w:rPr>
        <w:t xml:space="preserve">ACN. ADSCs cultured in SFM showed the lowest PDT and highest ACN across the entire passage </w:t>
      </w:r>
      <w:r>
        <w:rPr>
          <w:rFonts w:ascii="Arial" w:hAnsi="Arial" w:cs="Arial"/>
          <w:sz w:val="24"/>
        </w:rPr>
        <w:lastRenderedPageBreak/>
        <w:t>among the test groups. ACN of ADSCs cultured in SFM</w:t>
      </w:r>
      <w:r>
        <w:rPr>
          <w:rFonts w:ascii="Arial" w:hAnsi="Arial" w:cs="Arial"/>
          <w:sz w:val="24"/>
          <w:vertAlign w:val="superscript"/>
        </w:rPr>
        <w:t xml:space="preserve"> </w:t>
      </w:r>
      <w:r>
        <w:rPr>
          <w:rFonts w:ascii="Arial" w:hAnsi="Arial" w:cs="Arial"/>
          <w:sz w:val="24"/>
        </w:rPr>
        <w:t xml:space="preserve">exhibited the highest increase compared to that in FBS. </w:t>
      </w:r>
      <w:r>
        <w:rPr>
          <w:rFonts w:ascii="Arial" w:hAnsi="Arial" w:cs="Arial" w:hint="eastAsia"/>
          <w:sz w:val="24"/>
        </w:rPr>
        <w:t xml:space="preserve">ADSCs culture with SFM D had </w:t>
      </w:r>
      <w:r>
        <w:rPr>
          <w:rFonts w:ascii="Arial" w:hAnsi="Arial" w:cs="Arial"/>
          <w:sz w:val="24"/>
        </w:rPr>
        <w:t xml:space="preserve">very </w:t>
      </w:r>
      <w:r>
        <w:rPr>
          <w:rFonts w:ascii="Arial" w:hAnsi="Arial" w:cs="Arial" w:hint="eastAsia"/>
          <w:sz w:val="24"/>
        </w:rPr>
        <w:t>little expansion</w:t>
      </w:r>
      <w:r>
        <w:rPr>
          <w:rFonts w:ascii="Arial" w:hAnsi="Arial" w:cs="Arial"/>
          <w:sz w:val="24"/>
        </w:rPr>
        <w:t xml:space="preserve"> and could no longer be cultivated after P7.</w:t>
      </w:r>
      <w:r>
        <w:rPr>
          <w:rFonts w:ascii="Arial" w:hAnsi="Arial" w:cs="Arial" w:hint="eastAsia"/>
          <w:sz w:val="24"/>
        </w:rPr>
        <w:t xml:space="preserve"> </w:t>
      </w:r>
      <w:r>
        <w:rPr>
          <w:rFonts w:ascii="Arial" w:hAnsi="Arial" w:cs="Arial"/>
          <w:b/>
          <w:sz w:val="24"/>
        </w:rPr>
        <w:t>c</w:t>
      </w:r>
      <w:r>
        <w:rPr>
          <w:rFonts w:ascii="Arial" w:hAnsi="Arial" w:cs="Arial"/>
          <w:sz w:val="24"/>
        </w:rPr>
        <w:t xml:space="preserve">, Flow cytometric analysis of expression of surface markers of cultured ADSCs. Cells were obtained from the same donor but differed in expression of surface markers depending on the media used. </w:t>
      </w:r>
      <w:r>
        <w:rPr>
          <w:rFonts w:ascii="Arial" w:hAnsi="Arial" w:cs="Arial"/>
          <w:b/>
          <w:sz w:val="24"/>
        </w:rPr>
        <w:t>d</w:t>
      </w:r>
      <w:r>
        <w:rPr>
          <w:rFonts w:ascii="Arial" w:hAnsi="Arial" w:cs="Arial"/>
          <w:sz w:val="24"/>
        </w:rPr>
        <w:t>, M</w:t>
      </w:r>
      <w:r>
        <w:rPr>
          <w:rFonts w:ascii="Arial" w:hAnsi="Arial" w:cs="Arial" w:hint="eastAsia"/>
          <w:sz w:val="24"/>
        </w:rPr>
        <w:t xml:space="preserve">ultilineage differentiation </w:t>
      </w:r>
      <w:r>
        <w:rPr>
          <w:rFonts w:ascii="Arial" w:hAnsi="Arial" w:cs="Arial"/>
          <w:sz w:val="24"/>
        </w:rPr>
        <w:t xml:space="preserve">potential </w:t>
      </w:r>
      <w:r>
        <w:rPr>
          <w:rFonts w:ascii="Arial" w:hAnsi="Arial" w:cs="Arial" w:hint="eastAsia"/>
          <w:sz w:val="24"/>
        </w:rPr>
        <w:t xml:space="preserve">of </w:t>
      </w:r>
      <w:r>
        <w:rPr>
          <w:rFonts w:ascii="Arial" w:hAnsi="Arial" w:cs="Arial"/>
          <w:sz w:val="24"/>
        </w:rPr>
        <w:t>ADSC</w:t>
      </w:r>
      <w:r>
        <w:rPr>
          <w:rFonts w:ascii="Arial" w:hAnsi="Arial" w:cs="Arial" w:hint="eastAsia"/>
          <w:sz w:val="24"/>
        </w:rPr>
        <w:t xml:space="preserve">s </w:t>
      </w:r>
      <w:r>
        <w:rPr>
          <w:rFonts w:ascii="Arial" w:hAnsi="Arial" w:cs="Arial"/>
          <w:sz w:val="24"/>
        </w:rPr>
        <w:t xml:space="preserve">were tested. </w:t>
      </w:r>
      <w:r w:rsidRPr="00594365">
        <w:rPr>
          <w:rFonts w:ascii="Arial" w:hAnsi="Arial" w:cs="Arial"/>
          <w:sz w:val="24"/>
          <w:szCs w:val="24"/>
        </w:rPr>
        <w:t xml:space="preserve">ADSC, adipose-derived stem cell; FBS, fetal bovine serum; SFM, serum-free media; PDT, population doubling time; ACN, accumulated cell number. </w:t>
      </w:r>
      <w:r>
        <w:rPr>
          <w:rFonts w:ascii="Arial" w:hAnsi="Arial" w:cs="Arial"/>
          <w:sz w:val="24"/>
        </w:rPr>
        <w:t xml:space="preserve">SFM, SFM B, SFM C, and SFM D are </w:t>
      </w:r>
      <w:proofErr w:type="spellStart"/>
      <w:r>
        <w:rPr>
          <w:rFonts w:ascii="Arial" w:hAnsi="Arial" w:cs="Arial"/>
          <w:sz w:val="24"/>
        </w:rPr>
        <w:t>CellCor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StemPro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MesenCult</w:t>
      </w:r>
      <w:proofErr w:type="spellEnd"/>
      <w:r>
        <w:rPr>
          <w:rFonts w:ascii="Arial" w:hAnsi="Arial" w:cs="Arial"/>
          <w:sz w:val="24"/>
        </w:rPr>
        <w:t xml:space="preserve">, and </w:t>
      </w:r>
      <w:proofErr w:type="spellStart"/>
      <w:r>
        <w:rPr>
          <w:rFonts w:ascii="Arial" w:hAnsi="Arial" w:cs="Arial"/>
          <w:sz w:val="24"/>
        </w:rPr>
        <w:t>CSTi</w:t>
      </w:r>
      <w:proofErr w:type="spellEnd"/>
      <w:r>
        <w:rPr>
          <w:rFonts w:ascii="Arial" w:hAnsi="Arial" w:cs="Arial"/>
          <w:sz w:val="24"/>
        </w:rPr>
        <w:t>, respectively.</w:t>
      </w:r>
    </w:p>
    <w:p w14:paraId="31C82E7A" w14:textId="77777777" w:rsidR="00960140" w:rsidRPr="003A1F88" w:rsidRDefault="003562D0" w:rsidP="00683BF7"/>
    <w:sectPr w:rsidR="00960140" w:rsidRPr="003A1F8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CC"/>
    <w:rsid w:val="002C2D0B"/>
    <w:rsid w:val="003562D0"/>
    <w:rsid w:val="003A1F88"/>
    <w:rsid w:val="004573CC"/>
    <w:rsid w:val="00683BF7"/>
    <w:rsid w:val="00723086"/>
    <w:rsid w:val="00C21001"/>
    <w:rsid w:val="00CD4DE1"/>
    <w:rsid w:val="00FD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023D9"/>
  <w15:chartTrackingRefBased/>
  <w15:docId w15:val="{C4F2FAFC-AFDC-4AEC-BC49-E0AF56C8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F8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 MinHee</dc:creator>
  <cp:keywords/>
  <dc:description/>
  <cp:lastModifiedBy>엑셀 세라퓨틱스2</cp:lastModifiedBy>
  <cp:revision>2</cp:revision>
  <dcterms:created xsi:type="dcterms:W3CDTF">2022-04-05T02:49:00Z</dcterms:created>
  <dcterms:modified xsi:type="dcterms:W3CDTF">2022-04-05T02:49:00Z</dcterms:modified>
</cp:coreProperties>
</file>