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F451A" w14:textId="77777777" w:rsidR="0086680D" w:rsidRDefault="0086680D" w:rsidP="0086680D">
      <w:pPr>
        <w:spacing w:line="48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inline distT="0" distB="0" distL="0" distR="0" wp14:anchorId="796EFB30" wp14:editId="31A75507">
            <wp:extent cx="5339930" cy="7611291"/>
            <wp:effectExtent l="0" t="0" r="0" b="0"/>
            <wp:docPr id="113" name="그림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587" cy="7620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AD048" w14:textId="77777777" w:rsidR="0086680D" w:rsidRDefault="0086680D" w:rsidP="0086680D">
      <w:pPr>
        <w:spacing w:line="480" w:lineRule="auto"/>
        <w:rPr>
          <w:rFonts w:ascii="Arial" w:hAnsi="Arial" w:cs="Arial"/>
          <w:sz w:val="24"/>
        </w:rPr>
      </w:pPr>
      <w:r>
        <w:rPr>
          <w:rFonts w:ascii="Arial" w:hAnsi="Arial" w:cs="Arial" w:hint="eastAsia"/>
          <w:b/>
          <w:sz w:val="24"/>
        </w:rPr>
        <w:t>Supple</w:t>
      </w:r>
      <w:r>
        <w:rPr>
          <w:rFonts w:ascii="Arial" w:hAnsi="Arial" w:cs="Arial"/>
          <w:b/>
          <w:sz w:val="24"/>
        </w:rPr>
        <w:t xml:space="preserve">mentary </w:t>
      </w:r>
      <w:r>
        <w:rPr>
          <w:rFonts w:ascii="Arial" w:hAnsi="Arial" w:cs="Arial"/>
          <w:b/>
          <w:sz w:val="24"/>
          <w:szCs w:val="24"/>
        </w:rPr>
        <w:t xml:space="preserve">Fig. 2 | Comparison of BMSC characteristics after cultivation in SFM and FBS containing media. </w:t>
      </w:r>
      <w:r w:rsidRPr="0011684E">
        <w:rPr>
          <w:rFonts w:ascii="Arial" w:hAnsi="Arial" w:cs="Arial"/>
          <w:bCs/>
          <w:sz w:val="24"/>
          <w:szCs w:val="24"/>
        </w:rPr>
        <w:t>Calculated</w:t>
      </w:r>
      <w:r>
        <w:rPr>
          <w:rFonts w:ascii="Arial" w:hAnsi="Arial" w:cs="Arial"/>
          <w:b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, PDT and </w:t>
      </w:r>
      <w:r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</w:rPr>
        <w:t xml:space="preserve">ACN. BMSCs from three </w:t>
      </w:r>
      <w:r>
        <w:rPr>
          <w:rFonts w:ascii="Arial" w:hAnsi="Arial" w:cs="Arial"/>
          <w:sz w:val="24"/>
        </w:rPr>
        <w:lastRenderedPageBreak/>
        <w:t xml:space="preserve">donors cultured in SFM showed the lower PDT across the entire passage than that in FBS. At P15, BMSCs cultured in SFM exhibited a higher increase in ACN compared to that in FBS. </w:t>
      </w:r>
      <w:r>
        <w:rPr>
          <w:rFonts w:ascii="Arial" w:hAnsi="Arial" w:cs="Arial"/>
          <w:b/>
          <w:sz w:val="24"/>
        </w:rPr>
        <w:t>c</w:t>
      </w:r>
      <w:r>
        <w:rPr>
          <w:rFonts w:ascii="Arial" w:hAnsi="Arial" w:cs="Arial"/>
          <w:sz w:val="24"/>
        </w:rPr>
        <w:t xml:space="preserve">, Flow cytometric analysis of expression of surface markers of cultured BMSCs. BMSCs were positive for CD73, CD90, and CD105 and negative for CD14, CD34, CD45, and HLA-DR in BMSCs cultured with both SFM and FBS. A representative image from </w:t>
      </w:r>
      <w:proofErr w:type="spellStart"/>
      <w:r>
        <w:rPr>
          <w:rFonts w:ascii="Arial" w:hAnsi="Arial" w:cs="Arial"/>
          <w:sz w:val="24"/>
        </w:rPr>
        <w:t>ndependent</w:t>
      </w:r>
      <w:proofErr w:type="spellEnd"/>
      <w:r>
        <w:rPr>
          <w:rFonts w:ascii="Arial" w:hAnsi="Arial" w:cs="Arial"/>
          <w:sz w:val="24"/>
        </w:rPr>
        <w:t xml:space="preserve"> experiments is shown. </w:t>
      </w:r>
      <w:r>
        <w:rPr>
          <w:rFonts w:ascii="Arial" w:hAnsi="Arial" w:cs="Arial"/>
          <w:b/>
          <w:sz w:val="24"/>
        </w:rPr>
        <w:t>d</w:t>
      </w:r>
      <w:r>
        <w:rPr>
          <w:rFonts w:ascii="Arial" w:hAnsi="Arial" w:cs="Arial"/>
          <w:sz w:val="24"/>
        </w:rPr>
        <w:t xml:space="preserve">, Expression of surface markers by </w:t>
      </w:r>
      <w:proofErr w:type="spellStart"/>
      <w:r>
        <w:rPr>
          <w:rFonts w:ascii="Arial" w:hAnsi="Arial" w:cs="Arial"/>
          <w:sz w:val="24"/>
        </w:rPr>
        <w:t>qRT</w:t>
      </w:r>
      <w:proofErr w:type="spellEnd"/>
      <w:r>
        <w:rPr>
          <w:rFonts w:ascii="Arial" w:hAnsi="Arial" w:cs="Arial"/>
          <w:sz w:val="24"/>
        </w:rPr>
        <w:t>-PCR analysis of isolated total RNAs. The expression of CD73 and CD90 was significantly up-regulated in BMSCs cultivated in SFM. M</w:t>
      </w:r>
      <w:r>
        <w:rPr>
          <w:rFonts w:ascii="Arial" w:hAnsi="Arial" w:cs="Arial" w:hint="eastAsia"/>
          <w:sz w:val="24"/>
        </w:rPr>
        <w:t xml:space="preserve">ultilineage differentiation </w:t>
      </w:r>
      <w:r>
        <w:rPr>
          <w:rFonts w:ascii="Arial" w:hAnsi="Arial" w:cs="Arial"/>
          <w:sz w:val="24"/>
        </w:rPr>
        <w:t xml:space="preserve">potential </w:t>
      </w:r>
      <w:r>
        <w:rPr>
          <w:rFonts w:ascii="Arial" w:hAnsi="Arial" w:cs="Arial" w:hint="eastAsia"/>
          <w:sz w:val="24"/>
        </w:rPr>
        <w:t xml:space="preserve">of </w:t>
      </w:r>
      <w:r>
        <w:rPr>
          <w:rFonts w:ascii="Arial" w:hAnsi="Arial" w:cs="Arial"/>
          <w:sz w:val="24"/>
        </w:rPr>
        <w:t>BM</w:t>
      </w:r>
      <w:r>
        <w:rPr>
          <w:rFonts w:ascii="Arial" w:hAnsi="Arial" w:cs="Arial" w:hint="eastAsia"/>
          <w:sz w:val="24"/>
        </w:rPr>
        <w:t xml:space="preserve">SCs cultured in </w:t>
      </w:r>
      <w:r>
        <w:rPr>
          <w:rFonts w:ascii="Arial" w:hAnsi="Arial" w:cs="Arial"/>
          <w:sz w:val="24"/>
        </w:rPr>
        <w:t xml:space="preserve">FBS and SFM were examined. </w:t>
      </w:r>
      <w:r>
        <w:rPr>
          <w:rFonts w:ascii="Arial" w:hAnsi="Arial" w:cs="Arial"/>
          <w:b/>
          <w:sz w:val="24"/>
        </w:rPr>
        <w:t xml:space="preserve">e, </w:t>
      </w:r>
      <w:r w:rsidRPr="0011684E">
        <w:rPr>
          <w:rFonts w:ascii="Arial" w:hAnsi="Arial" w:cs="Arial"/>
          <w:bCs/>
          <w:sz w:val="24"/>
        </w:rPr>
        <w:t xml:space="preserve">All </w:t>
      </w:r>
      <w:r>
        <w:rPr>
          <w:rFonts w:ascii="Arial" w:hAnsi="Arial" w:cs="Arial"/>
          <w:sz w:val="24"/>
        </w:rPr>
        <w:t xml:space="preserve">BMSCs were induced toward differentiation into adipocytes (verified by Oil Red O), chondrocytes (verified by </w:t>
      </w:r>
      <w:proofErr w:type="spellStart"/>
      <w:r w:rsidRPr="00594365">
        <w:rPr>
          <w:rFonts w:ascii="Arial" w:hAnsi="Arial" w:cs="Arial"/>
          <w:sz w:val="24"/>
        </w:rPr>
        <w:t>Alcian</w:t>
      </w:r>
      <w:proofErr w:type="spellEnd"/>
      <w:r w:rsidRPr="00594365">
        <w:rPr>
          <w:rFonts w:ascii="Arial" w:hAnsi="Arial" w:cs="Arial"/>
          <w:sz w:val="24"/>
        </w:rPr>
        <w:t xml:space="preserve"> Blue), and osteocytes (verified by Alizarin Red S)</w:t>
      </w:r>
      <w:r>
        <w:rPr>
          <w:rFonts w:ascii="Arial" w:hAnsi="Arial" w:cs="Arial"/>
          <w:sz w:val="24"/>
        </w:rPr>
        <w:t xml:space="preserve">. A representative image is shown. </w:t>
      </w:r>
      <w:r>
        <w:rPr>
          <w:rFonts w:ascii="Arial" w:hAnsi="Arial" w:cs="Arial"/>
          <w:b/>
          <w:sz w:val="24"/>
        </w:rPr>
        <w:t>f</w:t>
      </w:r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qRT</w:t>
      </w:r>
      <w:proofErr w:type="spellEnd"/>
      <w:r>
        <w:rPr>
          <w:rFonts w:ascii="Arial" w:hAnsi="Arial" w:cs="Arial"/>
          <w:sz w:val="24"/>
        </w:rPr>
        <w:t xml:space="preserve">-PCR analysis of relative mRNA expression levels of </w:t>
      </w:r>
      <w:r w:rsidRPr="00594365">
        <w:rPr>
          <w:rFonts w:ascii="Arial" w:hAnsi="Arial" w:cs="Arial"/>
          <w:sz w:val="24"/>
        </w:rPr>
        <w:t>FABP4, ACAN, and OCN. ACAN expression was significantly up-regulated in</w:t>
      </w:r>
      <w:r>
        <w:rPr>
          <w:rFonts w:ascii="Arial" w:hAnsi="Arial" w:cs="Arial"/>
          <w:sz w:val="24"/>
        </w:rPr>
        <w:t xml:space="preserve"> BMSCs cultured in SFM. </w:t>
      </w:r>
      <w:r>
        <w:rPr>
          <w:rFonts w:ascii="Arial" w:hAnsi="Arial" w:cs="Arial"/>
          <w:b/>
          <w:sz w:val="24"/>
        </w:rPr>
        <w:t>g</w:t>
      </w:r>
      <w:r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Cellular senescence.  BMSCs at P7 and P15 were seeded and cultured for 24h, then stained for senescence-associated β-galactosidase activity. Red arrows indicate β-galactosidase positive cell; </w:t>
      </w:r>
      <w:r>
        <w:rPr>
          <w:rFonts w:ascii="Arial" w:hAnsi="Arial" w:cs="Arial"/>
          <w:b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, β-galactosidase positive cells were counted and presented as a percentage. </w:t>
      </w:r>
      <w:r>
        <w:rPr>
          <w:rFonts w:ascii="Arial" w:hAnsi="Arial" w:cs="Arial"/>
          <w:sz w:val="24"/>
        </w:rPr>
        <w:t xml:space="preserve">Data represent the mean ± SEM * vs. corresponding passage FBS containing media. * </w:t>
      </w:r>
      <w:r w:rsidRPr="0011684E">
        <w:rPr>
          <w:rFonts w:ascii="Arial" w:hAnsi="Arial" w:cs="Arial"/>
          <w:i/>
          <w:sz w:val="24"/>
        </w:rPr>
        <w:t>p</w:t>
      </w:r>
      <w:r>
        <w:rPr>
          <w:rFonts w:ascii="Arial" w:hAnsi="Arial" w:cs="Arial"/>
          <w:sz w:val="24"/>
        </w:rPr>
        <w:t xml:space="preserve"> &lt; 0.05, *** </w:t>
      </w:r>
      <w:r w:rsidRPr="0011684E">
        <w:rPr>
          <w:rFonts w:ascii="Arial" w:hAnsi="Arial" w:cs="Arial"/>
          <w:i/>
          <w:sz w:val="24"/>
        </w:rPr>
        <w:t>p</w:t>
      </w:r>
      <w:r>
        <w:rPr>
          <w:rFonts w:ascii="Arial" w:hAnsi="Arial" w:cs="Arial"/>
          <w:sz w:val="24"/>
        </w:rPr>
        <w:t xml:space="preserve"> &lt;0.001. </w:t>
      </w:r>
      <w:r w:rsidRPr="00594365">
        <w:rPr>
          <w:rFonts w:ascii="Arial" w:hAnsi="Arial" w:cs="Arial"/>
          <w:sz w:val="24"/>
        </w:rPr>
        <w:t xml:space="preserve">BMSC, bone marrow-derived stem cell; SFM, serum-free media; FBS, fetal bovine serum, </w:t>
      </w:r>
      <w:r>
        <w:rPr>
          <w:rFonts w:ascii="Arial" w:hAnsi="Arial" w:cs="Arial"/>
          <w:sz w:val="24"/>
        </w:rPr>
        <w:t>PDT, population doubling time; ACN, accumulated cell number; BMSCs, bone marrow derived stem cells; FABP4, fatty acid binding protein 4; ACAN, aggrecan; OCN, osteocalcin.</w:t>
      </w:r>
    </w:p>
    <w:p w14:paraId="37455231" w14:textId="77777777" w:rsidR="0086680D" w:rsidRDefault="0086680D" w:rsidP="0086680D">
      <w:pPr>
        <w:widowControl/>
        <w:wordWrap/>
        <w:autoSpaceDE/>
        <w:autoSpaceDN/>
        <w:jc w:val="center"/>
        <w:rPr>
          <w:rFonts w:ascii="Arial" w:hAnsi="Arial" w:cs="Arial"/>
          <w:b/>
          <w:sz w:val="24"/>
          <w:szCs w:val="24"/>
        </w:rPr>
      </w:pPr>
    </w:p>
    <w:p w14:paraId="31C82E7A" w14:textId="77777777" w:rsidR="00960140" w:rsidRPr="0086680D" w:rsidRDefault="003656A2" w:rsidP="00683BF7"/>
    <w:sectPr w:rsidR="00960140" w:rsidRPr="008668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CC"/>
    <w:rsid w:val="002C2D0B"/>
    <w:rsid w:val="003656A2"/>
    <w:rsid w:val="003A1F88"/>
    <w:rsid w:val="004573CC"/>
    <w:rsid w:val="00683BF7"/>
    <w:rsid w:val="00723086"/>
    <w:rsid w:val="0086680D"/>
    <w:rsid w:val="00C21001"/>
    <w:rsid w:val="00CD4DE1"/>
    <w:rsid w:val="00FD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023D9"/>
  <w15:chartTrackingRefBased/>
  <w15:docId w15:val="{C4F2FAFC-AFDC-4AEC-BC49-E0AF56C8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80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 MinHee</dc:creator>
  <cp:keywords/>
  <dc:description/>
  <cp:lastModifiedBy>엑셀 세라퓨틱스2</cp:lastModifiedBy>
  <cp:revision>2</cp:revision>
  <dcterms:created xsi:type="dcterms:W3CDTF">2022-04-05T02:51:00Z</dcterms:created>
  <dcterms:modified xsi:type="dcterms:W3CDTF">2022-04-05T02:51:00Z</dcterms:modified>
</cp:coreProperties>
</file>