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4EE0E" w14:textId="77777777" w:rsidR="00371EA3" w:rsidRDefault="00AC16BF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2D110508" wp14:editId="00FADB6D">
            <wp:extent cx="5446800" cy="2203200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800" cy="220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A01115" w14:textId="0B1193A6" w:rsidR="00306A8E" w:rsidRDefault="00AC16BF" w:rsidP="00306A8E">
      <w:pPr>
        <w:widowControl/>
        <w:wordWrap/>
        <w:autoSpaceDE/>
        <w:autoSpaceDN/>
        <w:spacing w:line="480" w:lineRule="auto"/>
        <w:rPr>
          <w:rFonts w:ascii="Arial" w:hAnsi="Arial" w:cs="Arial"/>
          <w:b/>
          <w:sz w:val="24"/>
        </w:rPr>
      </w:pPr>
      <w:r>
        <w:rPr>
          <w:rFonts w:ascii="Arial" w:hAnsi="Arial" w:cs="Arial" w:hint="eastAsia"/>
          <w:b/>
          <w:sz w:val="24"/>
        </w:rPr>
        <w:t>Supple</w:t>
      </w:r>
      <w:r>
        <w:rPr>
          <w:rFonts w:ascii="Arial" w:hAnsi="Arial" w:cs="Arial"/>
          <w:b/>
          <w:sz w:val="24"/>
        </w:rPr>
        <w:t xml:space="preserve">mentary </w:t>
      </w:r>
      <w:r>
        <w:rPr>
          <w:rFonts w:ascii="Arial" w:hAnsi="Arial" w:cs="Arial"/>
          <w:b/>
          <w:sz w:val="24"/>
          <w:szCs w:val="24"/>
        </w:rPr>
        <w:t xml:space="preserve">Fig. </w:t>
      </w:r>
      <w:r w:rsidR="00EC2A62">
        <w:rPr>
          <w:rFonts w:ascii="Arial" w:hAnsi="Arial" w:cs="Arial"/>
          <w:b/>
          <w:sz w:val="24"/>
          <w:szCs w:val="24"/>
        </w:rPr>
        <w:t xml:space="preserve">4 </w:t>
      </w:r>
      <w:r>
        <w:rPr>
          <w:rFonts w:ascii="Arial" w:hAnsi="Arial" w:cs="Arial"/>
          <w:b/>
          <w:sz w:val="24"/>
          <w:szCs w:val="24"/>
        </w:rPr>
        <w:t>| Expression of non-human serum related marker and human serum related marker</w:t>
      </w:r>
      <w:r w:rsidR="00306A8E">
        <w:rPr>
          <w:rFonts w:ascii="Arial" w:hAnsi="Arial" w:cs="Arial"/>
          <w:b/>
          <w:sz w:val="24"/>
          <w:szCs w:val="24"/>
        </w:rPr>
        <w:t xml:space="preserve"> in cultured ADSCs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EC2A62">
        <w:rPr>
          <w:rFonts w:ascii="Arial" w:hAnsi="Arial" w:cs="Arial"/>
          <w:b/>
          <w:sz w:val="24"/>
          <w:szCs w:val="24"/>
        </w:rPr>
        <w:t xml:space="preserve">a, </w:t>
      </w:r>
      <w:r w:rsidR="00EC2A62">
        <w:rPr>
          <w:rFonts w:ascii="Arial" w:hAnsi="Arial" w:cs="Arial"/>
          <w:sz w:val="24"/>
        </w:rPr>
        <w:t xml:space="preserve">Flow cytometric analysis of expression of Neu5Gc, marker for animal serum derived substance of cultured ADSCs in FBS containing media and three different SFMs. b, </w:t>
      </w:r>
      <w:proofErr w:type="spellStart"/>
      <w:r w:rsidR="00EC2A62" w:rsidRPr="00EC2A62">
        <w:rPr>
          <w:rFonts w:ascii="Arial" w:hAnsi="Arial" w:cs="Arial"/>
          <w:sz w:val="24"/>
        </w:rPr>
        <w:t>qRT</w:t>
      </w:r>
      <w:proofErr w:type="spellEnd"/>
      <w:r w:rsidR="00EC2A62" w:rsidRPr="00EC2A62">
        <w:rPr>
          <w:rFonts w:ascii="Arial" w:hAnsi="Arial" w:cs="Arial"/>
          <w:sz w:val="24"/>
        </w:rPr>
        <w:t xml:space="preserve">-PCR analysis of relative mRNA expression levels of </w:t>
      </w:r>
      <w:r w:rsidR="00306A8E">
        <w:rPr>
          <w:rFonts w:ascii="Arial" w:hAnsi="Arial" w:cs="Arial"/>
          <w:sz w:val="24"/>
        </w:rPr>
        <w:t>BDKRB1,</w:t>
      </w:r>
      <w:r w:rsidR="00EC2A62" w:rsidRPr="00EC2A62">
        <w:rPr>
          <w:rFonts w:ascii="Arial" w:hAnsi="Arial" w:cs="Arial"/>
          <w:sz w:val="24"/>
        </w:rPr>
        <w:t xml:space="preserve"> </w:t>
      </w:r>
      <w:r w:rsidR="00306A8E">
        <w:rPr>
          <w:rFonts w:ascii="Arial" w:hAnsi="Arial" w:cs="Arial"/>
          <w:sz w:val="24"/>
        </w:rPr>
        <w:t xml:space="preserve">marker for human serum derived substance of cultured ADSCs in FBS containing media and three different SFMs. </w:t>
      </w:r>
      <w:r w:rsidR="00EC2A62">
        <w:rPr>
          <w:rFonts w:ascii="Arial" w:hAnsi="Arial" w:cs="Arial"/>
          <w:sz w:val="24"/>
        </w:rPr>
        <w:t>Cells were obtained from the same donor but differed in expression of surface markers depending on the media used.</w:t>
      </w:r>
      <w:r w:rsidR="00306A8E">
        <w:rPr>
          <w:rFonts w:ascii="Arial" w:hAnsi="Arial" w:cs="Arial"/>
          <w:sz w:val="24"/>
        </w:rPr>
        <w:t xml:space="preserve"> Data represent the mean ± SEM. ** </w:t>
      </w:r>
      <w:r w:rsidR="00306A8E" w:rsidRPr="007F514A">
        <w:rPr>
          <w:rFonts w:ascii="Arial" w:hAnsi="Arial" w:cs="Arial"/>
          <w:i/>
          <w:sz w:val="24"/>
        </w:rPr>
        <w:t>p</w:t>
      </w:r>
      <w:r w:rsidR="00306A8E">
        <w:rPr>
          <w:rFonts w:ascii="Arial" w:hAnsi="Arial" w:cs="Arial"/>
          <w:sz w:val="24"/>
        </w:rPr>
        <w:t xml:space="preserve"> &lt; 0.01. </w:t>
      </w:r>
      <w:r w:rsidR="00306A8E" w:rsidRPr="00594365">
        <w:rPr>
          <w:rFonts w:ascii="Arial" w:hAnsi="Arial" w:cs="Arial"/>
          <w:sz w:val="24"/>
          <w:szCs w:val="24"/>
        </w:rPr>
        <w:t xml:space="preserve">ADSC, adipose-derived stem cell; </w:t>
      </w:r>
      <w:r w:rsidR="00306A8E">
        <w:rPr>
          <w:rFonts w:ascii="Arial" w:hAnsi="Arial" w:cs="Arial"/>
          <w:sz w:val="24"/>
        </w:rPr>
        <w:t xml:space="preserve">Neu5Gc, N-glycolylneuraminic acid; BDKRB1, </w:t>
      </w:r>
      <w:r w:rsidR="00306A8E" w:rsidRPr="0011684E">
        <w:rPr>
          <w:rFonts w:ascii="Arial" w:hAnsi="Arial" w:cs="Arial"/>
          <w:sz w:val="24"/>
          <w:szCs w:val="24"/>
        </w:rPr>
        <w:t>mammalian bradykinin receptor subtype B1</w:t>
      </w:r>
      <w:r w:rsidR="00306A8E">
        <w:rPr>
          <w:rFonts w:ascii="Arial" w:hAnsi="Arial" w:cs="Arial"/>
          <w:sz w:val="24"/>
          <w:szCs w:val="24"/>
        </w:rPr>
        <w:t xml:space="preserve">; </w:t>
      </w:r>
      <w:r w:rsidR="00306A8E" w:rsidRPr="00594365">
        <w:rPr>
          <w:rFonts w:ascii="Arial" w:hAnsi="Arial" w:cs="Arial"/>
          <w:sz w:val="24"/>
        </w:rPr>
        <w:t>SFM, serum-free media; FBS, fetal bovine serum</w:t>
      </w:r>
      <w:r w:rsidR="00306A8E">
        <w:rPr>
          <w:rFonts w:ascii="Arial" w:hAnsi="Arial" w:cs="Arial"/>
          <w:sz w:val="24"/>
        </w:rPr>
        <w:t>.</w:t>
      </w:r>
      <w:r w:rsidR="00306A8E" w:rsidRPr="0011684E">
        <w:rPr>
          <w:rFonts w:ascii="Arial" w:hAnsi="Arial" w:cs="Arial"/>
          <w:sz w:val="28"/>
          <w:szCs w:val="24"/>
        </w:rPr>
        <w:t xml:space="preserve"> </w:t>
      </w:r>
      <w:r w:rsidR="00306A8E">
        <w:rPr>
          <w:rFonts w:ascii="Arial" w:hAnsi="Arial" w:cs="Arial"/>
          <w:sz w:val="24"/>
        </w:rPr>
        <w:t xml:space="preserve">SFM, SFM B, and SFM C are </w:t>
      </w:r>
      <w:proofErr w:type="spellStart"/>
      <w:r w:rsidR="00306A8E">
        <w:rPr>
          <w:rFonts w:ascii="Arial" w:hAnsi="Arial" w:cs="Arial"/>
          <w:sz w:val="24"/>
        </w:rPr>
        <w:t>CellCor</w:t>
      </w:r>
      <w:proofErr w:type="spellEnd"/>
      <w:r w:rsidR="00306A8E">
        <w:rPr>
          <w:rFonts w:ascii="Arial" w:hAnsi="Arial" w:cs="Arial"/>
          <w:sz w:val="24"/>
        </w:rPr>
        <w:t xml:space="preserve">, </w:t>
      </w:r>
      <w:proofErr w:type="spellStart"/>
      <w:r w:rsidR="00306A8E">
        <w:rPr>
          <w:rFonts w:ascii="Arial" w:hAnsi="Arial" w:cs="Arial"/>
          <w:sz w:val="24"/>
        </w:rPr>
        <w:t>StemPro</w:t>
      </w:r>
      <w:proofErr w:type="spellEnd"/>
      <w:r w:rsidR="00306A8E">
        <w:rPr>
          <w:rFonts w:ascii="Arial" w:hAnsi="Arial" w:cs="Arial"/>
          <w:sz w:val="24"/>
        </w:rPr>
        <w:t xml:space="preserve">, and </w:t>
      </w:r>
      <w:proofErr w:type="spellStart"/>
      <w:r w:rsidR="00306A8E">
        <w:rPr>
          <w:rFonts w:ascii="Arial" w:hAnsi="Arial" w:cs="Arial"/>
          <w:sz w:val="24"/>
        </w:rPr>
        <w:t>MesenCult</w:t>
      </w:r>
      <w:proofErr w:type="spellEnd"/>
      <w:r w:rsidR="00306A8E">
        <w:rPr>
          <w:rFonts w:ascii="Arial" w:hAnsi="Arial" w:cs="Arial"/>
          <w:sz w:val="24"/>
        </w:rPr>
        <w:t>, respectively.</w:t>
      </w:r>
    </w:p>
    <w:p w14:paraId="76ED652D" w14:textId="03BC396F" w:rsidR="00371EA3" w:rsidRPr="00306A8E" w:rsidRDefault="00371EA3">
      <w:pPr>
        <w:spacing w:line="480" w:lineRule="auto"/>
        <w:rPr>
          <w:rFonts w:ascii="Arial" w:hAnsi="Arial" w:cs="Arial"/>
          <w:b/>
          <w:sz w:val="24"/>
          <w:szCs w:val="24"/>
        </w:rPr>
      </w:pPr>
    </w:p>
    <w:sectPr w:rsidR="00371EA3" w:rsidRPr="00306A8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E4C59" w14:textId="77777777" w:rsidR="00AD770A" w:rsidRDefault="00AD770A">
      <w:pPr>
        <w:spacing w:after="0" w:line="240" w:lineRule="auto"/>
      </w:pPr>
      <w:r>
        <w:separator/>
      </w:r>
    </w:p>
  </w:endnote>
  <w:endnote w:type="continuationSeparator" w:id="0">
    <w:p w14:paraId="3E09CB25" w14:textId="77777777" w:rsidR="00AD770A" w:rsidRDefault="00AD7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8A8AE" w14:textId="77777777" w:rsidR="00AD770A" w:rsidRDefault="00AD770A">
      <w:pPr>
        <w:spacing w:after="0" w:line="240" w:lineRule="auto"/>
      </w:pPr>
      <w:r>
        <w:separator/>
      </w:r>
    </w:p>
  </w:footnote>
  <w:footnote w:type="continuationSeparator" w:id="0">
    <w:p w14:paraId="37C7FA76" w14:textId="77777777" w:rsidR="00AD770A" w:rsidRDefault="00AD7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A3"/>
    <w:rsid w:val="00012347"/>
    <w:rsid w:val="00013A12"/>
    <w:rsid w:val="00081C46"/>
    <w:rsid w:val="000F194E"/>
    <w:rsid w:val="0011684E"/>
    <w:rsid w:val="0012268B"/>
    <w:rsid w:val="00174FDD"/>
    <w:rsid w:val="00187D86"/>
    <w:rsid w:val="00192981"/>
    <w:rsid w:val="001D0EAD"/>
    <w:rsid w:val="00207F22"/>
    <w:rsid w:val="00283224"/>
    <w:rsid w:val="00306A8E"/>
    <w:rsid w:val="0031308F"/>
    <w:rsid w:val="003426F0"/>
    <w:rsid w:val="00345544"/>
    <w:rsid w:val="00364990"/>
    <w:rsid w:val="00371EA3"/>
    <w:rsid w:val="00383D89"/>
    <w:rsid w:val="004356C7"/>
    <w:rsid w:val="0045097D"/>
    <w:rsid w:val="004A1067"/>
    <w:rsid w:val="004D4F3E"/>
    <w:rsid w:val="004E3F13"/>
    <w:rsid w:val="00545C20"/>
    <w:rsid w:val="00570FA7"/>
    <w:rsid w:val="005E68B2"/>
    <w:rsid w:val="00635ED0"/>
    <w:rsid w:val="0069073B"/>
    <w:rsid w:val="0069116D"/>
    <w:rsid w:val="006B5DF5"/>
    <w:rsid w:val="006C5B3D"/>
    <w:rsid w:val="006D70A5"/>
    <w:rsid w:val="006E26B7"/>
    <w:rsid w:val="0070122D"/>
    <w:rsid w:val="007071DC"/>
    <w:rsid w:val="00727AE4"/>
    <w:rsid w:val="00735BB8"/>
    <w:rsid w:val="007E2825"/>
    <w:rsid w:val="00841182"/>
    <w:rsid w:val="00842C99"/>
    <w:rsid w:val="00864CF6"/>
    <w:rsid w:val="00897E3C"/>
    <w:rsid w:val="008B2065"/>
    <w:rsid w:val="008E4434"/>
    <w:rsid w:val="008F2145"/>
    <w:rsid w:val="00912B02"/>
    <w:rsid w:val="009C137D"/>
    <w:rsid w:val="00A11F83"/>
    <w:rsid w:val="00AC16BF"/>
    <w:rsid w:val="00AD41E6"/>
    <w:rsid w:val="00AD770A"/>
    <w:rsid w:val="00B02818"/>
    <w:rsid w:val="00B31C50"/>
    <w:rsid w:val="00B35C87"/>
    <w:rsid w:val="00C44F90"/>
    <w:rsid w:val="00CD3486"/>
    <w:rsid w:val="00CF5617"/>
    <w:rsid w:val="00DA0B46"/>
    <w:rsid w:val="00E07C33"/>
    <w:rsid w:val="00E43C80"/>
    <w:rsid w:val="00E9108B"/>
    <w:rsid w:val="00EC2A62"/>
    <w:rsid w:val="00F46C4E"/>
    <w:rsid w:val="00F7087C"/>
    <w:rsid w:val="00F8399F"/>
    <w:rsid w:val="00FA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97656"/>
  <w15:chartTrackingRefBased/>
  <w15:docId w15:val="{5EFCC6C3-9686-402B-B648-47C2AE0E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</w:style>
  <w:style w:type="paragraph" w:styleId="a5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</w:style>
  <w:style w:type="paragraph" w:styleId="a6">
    <w:name w:val="Balloon Text"/>
    <w:basedOn w:val="a"/>
    <w:link w:val="Char1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annotation text"/>
    <w:basedOn w:val="a"/>
    <w:link w:val="Char2"/>
    <w:uiPriority w:val="99"/>
    <w:unhideWhenUsed/>
    <w:pPr>
      <w:jc w:val="left"/>
    </w:pPr>
  </w:style>
  <w:style w:type="character" w:customStyle="1" w:styleId="Char2">
    <w:name w:val="메모 텍스트 Char"/>
    <w:basedOn w:val="a0"/>
    <w:link w:val="a8"/>
    <w:uiPriority w:val="99"/>
  </w:style>
  <w:style w:type="paragraph" w:styleId="a9">
    <w:name w:val="annotation subject"/>
    <w:basedOn w:val="a8"/>
    <w:next w:val="a8"/>
    <w:link w:val="Char3"/>
    <w:uiPriority w:val="99"/>
    <w:semiHidden/>
    <w:unhideWhenUsed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AB46B-4326-4E54-8206-5DE070E4D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엑셀 세라퓨틱스2</cp:lastModifiedBy>
  <cp:revision>2</cp:revision>
  <cp:lastPrinted>2020-12-08T23:39:00Z</cp:lastPrinted>
  <dcterms:created xsi:type="dcterms:W3CDTF">2022-04-05T02:52:00Z</dcterms:created>
  <dcterms:modified xsi:type="dcterms:W3CDTF">2022-04-05T02:52:00Z</dcterms:modified>
</cp:coreProperties>
</file>