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0C82" w14:textId="002320D5" w:rsidR="00CE35B4" w:rsidRDefault="00CE35B4" w:rsidP="00CE35B4">
      <w:pPr>
        <w:pStyle w:val="Title"/>
      </w:pPr>
      <w:r>
        <w:t>A Longitudinal Study of the Impact of University Student Return to Campus on the SARS-CoV-2 Seroprevalence Among the Community Members</w:t>
      </w:r>
    </w:p>
    <w:p w14:paraId="14CE0A42" w14:textId="2F91BFAC" w:rsidR="00C23816" w:rsidRPr="00CE35B4" w:rsidRDefault="00C23816" w:rsidP="00D94092">
      <w:pPr>
        <w:pStyle w:val="Subtitle"/>
        <w:rPr>
          <w:sz w:val="24"/>
          <w:szCs w:val="24"/>
        </w:rPr>
      </w:pPr>
      <w:r w:rsidRPr="00CE35B4">
        <w:rPr>
          <w:sz w:val="24"/>
          <w:szCs w:val="24"/>
        </w:rPr>
        <w:t>Supplemental Appendix</w:t>
      </w:r>
    </w:p>
    <w:p w14:paraId="222F7B99" w14:textId="717C60E7" w:rsidR="00F12E1A" w:rsidRPr="0099166A" w:rsidRDefault="00F12E1A" w:rsidP="00F12E1A">
      <w:pPr>
        <w:pStyle w:val="NoSpacing"/>
      </w:pPr>
      <w:r w:rsidRPr="0099166A">
        <w:t>Callum R.K.</w:t>
      </w:r>
      <w:r>
        <w:rPr>
          <w:rFonts w:ascii="Cambria Math" w:hAnsi="Cambria Math" w:cs="Cambria Math"/>
          <w:vertAlign w:val="superscript"/>
        </w:rPr>
        <w:t xml:space="preserve"> </w:t>
      </w:r>
      <w:r w:rsidRPr="0099166A">
        <w:t>Arnold</w:t>
      </w:r>
      <w:proofErr w:type="gramStart"/>
      <w:r>
        <w:rPr>
          <w:vertAlign w:val="superscript"/>
        </w:rPr>
        <w:t>1,*</w:t>
      </w:r>
      <w:proofErr w:type="gramEnd"/>
      <w:r>
        <w:rPr>
          <w:vertAlign w:val="superscript"/>
        </w:rPr>
        <w:t>*,</w:t>
      </w:r>
      <w:proofErr w:type="spellStart"/>
      <w:r>
        <w:rPr>
          <w:vertAlign w:val="superscript"/>
        </w:rPr>
        <w:t>a</w:t>
      </w:r>
      <w:r w:rsidRPr="0099166A">
        <w:rPr>
          <w:vertAlign w:val="superscript"/>
        </w:rPr>
        <w:t>,b</w:t>
      </w:r>
      <w:proofErr w:type="spellEnd"/>
      <w:r w:rsidRPr="0099166A">
        <w:t xml:space="preserve">, </w:t>
      </w:r>
      <w:proofErr w:type="spellStart"/>
      <w:r w:rsidRPr="0099166A">
        <w:t>Sreenidhi</w:t>
      </w:r>
      <w:proofErr w:type="spellEnd"/>
      <w:r w:rsidRPr="0099166A">
        <w:t xml:space="preserve"> Srinivasan</w:t>
      </w:r>
      <w:r>
        <w:rPr>
          <w:rFonts w:ascii="Cambria Math" w:hAnsi="Cambria Math" w:cs="Cambria Math"/>
          <w:vertAlign w:val="superscript"/>
        </w:rPr>
        <w:t>1</w:t>
      </w:r>
      <w:r w:rsidRPr="0099166A">
        <w:rPr>
          <w:vertAlign w:val="superscript"/>
        </w:rPr>
        <w:t>,b,c</w:t>
      </w:r>
      <w:r w:rsidRPr="0099166A">
        <w:t xml:space="preserve">, </w:t>
      </w:r>
      <w:r>
        <w:t xml:space="preserve">Sophie </w:t>
      </w:r>
      <w:proofErr w:type="spellStart"/>
      <w:r>
        <w:t>Rodriguez</w:t>
      </w:r>
      <w:r>
        <w:rPr>
          <w:vertAlign w:val="superscript"/>
        </w:rPr>
        <w:t>c</w:t>
      </w:r>
      <w:proofErr w:type="spellEnd"/>
      <w:r>
        <w:t xml:space="preserve">, Natalie </w:t>
      </w:r>
      <w:proofErr w:type="spellStart"/>
      <w:r>
        <w:t>Rydzak</w:t>
      </w:r>
      <w:r>
        <w:rPr>
          <w:vertAlign w:val="superscript"/>
        </w:rPr>
        <w:t>d</w:t>
      </w:r>
      <w:proofErr w:type="spellEnd"/>
      <w:r>
        <w:t xml:space="preserve">, </w:t>
      </w:r>
      <w:r w:rsidRPr="0099166A">
        <w:t>Catherine M.</w:t>
      </w:r>
      <w:r>
        <w:t xml:space="preserve"> </w:t>
      </w:r>
      <w:proofErr w:type="spellStart"/>
      <w:r w:rsidRPr="0099166A">
        <w:t>Herzog</w:t>
      </w:r>
      <w:r w:rsidRPr="0099166A">
        <w:rPr>
          <w:vertAlign w:val="superscript"/>
        </w:rPr>
        <w:t>b,c</w:t>
      </w:r>
      <w:proofErr w:type="spellEnd"/>
      <w:r w:rsidRPr="0099166A">
        <w:t xml:space="preserve">, </w:t>
      </w:r>
      <w:proofErr w:type="spellStart"/>
      <w:r w:rsidRPr="0099166A">
        <w:t>Abhinay</w:t>
      </w:r>
      <w:proofErr w:type="spellEnd"/>
      <w:r w:rsidRPr="0099166A">
        <w:t xml:space="preserve"> </w:t>
      </w:r>
      <w:proofErr w:type="spellStart"/>
      <w:r w:rsidRPr="0099166A">
        <w:t>Gontu</w:t>
      </w:r>
      <w:r w:rsidRPr="0099166A">
        <w:rPr>
          <w:vertAlign w:val="superscript"/>
        </w:rPr>
        <w:t>d</w:t>
      </w:r>
      <w:proofErr w:type="spellEnd"/>
      <w:r w:rsidRPr="0099166A">
        <w:t xml:space="preserve">, Nita </w:t>
      </w:r>
      <w:proofErr w:type="spellStart"/>
      <w:r w:rsidRPr="0099166A">
        <w:t>Bharti</w:t>
      </w:r>
      <w:r w:rsidRPr="0099166A">
        <w:rPr>
          <w:vertAlign w:val="superscript"/>
        </w:rPr>
        <w:t>a,b</w:t>
      </w:r>
      <w:proofErr w:type="spellEnd"/>
      <w:r w:rsidRPr="0099166A">
        <w:t xml:space="preserve">, </w:t>
      </w:r>
      <w:r>
        <w:t xml:space="preserve">Meg </w:t>
      </w:r>
      <w:proofErr w:type="spellStart"/>
      <w:r w:rsidRPr="0099166A">
        <w:t>Small</w:t>
      </w:r>
      <w:r w:rsidRPr="0099166A">
        <w:rPr>
          <w:vertAlign w:val="superscript"/>
        </w:rPr>
        <w:t>e,f</w:t>
      </w:r>
      <w:proofErr w:type="spellEnd"/>
      <w:r w:rsidRPr="0099166A">
        <w:t xml:space="preserve">, </w:t>
      </w:r>
      <w:r>
        <w:t xml:space="preserve"> Connie J. </w:t>
      </w:r>
      <w:proofErr w:type="spellStart"/>
      <w:r w:rsidRPr="0099166A">
        <w:t>Rogers</w:t>
      </w:r>
      <w:r w:rsidRPr="0099166A">
        <w:rPr>
          <w:vertAlign w:val="superscript"/>
        </w:rPr>
        <w:t>g</w:t>
      </w:r>
      <w:proofErr w:type="spellEnd"/>
      <w:r w:rsidRPr="0099166A">
        <w:t xml:space="preserve">, </w:t>
      </w:r>
      <w:proofErr w:type="spellStart"/>
      <w:r w:rsidRPr="0099166A">
        <w:t>Margeaux</w:t>
      </w:r>
      <w:proofErr w:type="spellEnd"/>
      <w:r w:rsidRPr="0099166A">
        <w:t xml:space="preserve"> M.</w:t>
      </w:r>
      <w:r>
        <w:t xml:space="preserve"> </w:t>
      </w:r>
      <w:proofErr w:type="spellStart"/>
      <w:r w:rsidRPr="0099166A">
        <w:t>Schade</w:t>
      </w:r>
      <w:r w:rsidR="00E8685C">
        <w:rPr>
          <w:vertAlign w:val="superscript"/>
        </w:rPr>
        <w:t>e</w:t>
      </w:r>
      <w:proofErr w:type="spellEnd"/>
      <w:r w:rsidRPr="0099166A">
        <w:t xml:space="preserve">, Suresh V </w:t>
      </w:r>
      <w:proofErr w:type="spellStart"/>
      <w:r w:rsidRPr="0099166A">
        <w:t>Kuchipudi</w:t>
      </w:r>
      <w:r w:rsidRPr="0099166A">
        <w:rPr>
          <w:vertAlign w:val="superscript"/>
        </w:rPr>
        <w:t>b,d</w:t>
      </w:r>
      <w:proofErr w:type="spellEnd"/>
      <w:r w:rsidRPr="0099166A">
        <w:t xml:space="preserve">, Vivek </w:t>
      </w:r>
      <w:proofErr w:type="spellStart"/>
      <w:r w:rsidRPr="0099166A">
        <w:t>Kapur</w:t>
      </w:r>
      <w:r w:rsidRPr="0099166A">
        <w:rPr>
          <w:vertAlign w:val="superscript"/>
        </w:rPr>
        <w:t>b,c,h</w:t>
      </w:r>
      <w:proofErr w:type="spellEnd"/>
      <w:r w:rsidRPr="0099166A">
        <w:t xml:space="preserve">, </w:t>
      </w:r>
      <w:r>
        <w:t xml:space="preserve">Andrew F. </w:t>
      </w:r>
      <w:proofErr w:type="spellStart"/>
      <w:r w:rsidRPr="0099166A">
        <w:t>Read</w:t>
      </w:r>
      <w:r w:rsidRPr="0099166A">
        <w:rPr>
          <w:vertAlign w:val="superscript"/>
        </w:rPr>
        <w:t>a,b,c</w:t>
      </w:r>
      <w:proofErr w:type="spellEnd"/>
      <w:r w:rsidRPr="0099166A">
        <w:t xml:space="preserve">, </w:t>
      </w:r>
      <w:r>
        <w:t xml:space="preserve">Matthew J. </w:t>
      </w:r>
      <w:r w:rsidRPr="0099166A">
        <w:t>Ferrari</w:t>
      </w:r>
      <w:r>
        <w:rPr>
          <w:vertAlign w:val="superscript"/>
        </w:rPr>
        <w:t>*,</w:t>
      </w:r>
      <w:proofErr w:type="spellStart"/>
      <w:r>
        <w:rPr>
          <w:vertAlign w:val="superscript"/>
        </w:rPr>
        <w:t>a</w:t>
      </w:r>
      <w:r w:rsidRPr="0099166A">
        <w:rPr>
          <w:vertAlign w:val="superscript"/>
        </w:rPr>
        <w:t>,b</w:t>
      </w:r>
      <w:proofErr w:type="spellEnd"/>
    </w:p>
    <w:p w14:paraId="12A5547B" w14:textId="77777777" w:rsidR="00F12E1A" w:rsidRPr="0099166A" w:rsidRDefault="00F12E1A" w:rsidP="00F12E1A">
      <w:pPr>
        <w:pStyle w:val="NoSpacing"/>
      </w:pPr>
    </w:p>
    <w:p w14:paraId="6BA6B97D" w14:textId="77777777" w:rsidR="00F12E1A" w:rsidRPr="0099166A" w:rsidRDefault="00F12E1A" w:rsidP="00F12E1A">
      <w:pPr>
        <w:pStyle w:val="NoSpacing"/>
      </w:pPr>
      <w:proofErr w:type="spellStart"/>
      <w:r w:rsidRPr="0099166A">
        <w:rPr>
          <w:vertAlign w:val="superscript"/>
        </w:rPr>
        <w:t>a</w:t>
      </w:r>
      <w:r w:rsidRPr="0099166A">
        <w:t>Department</w:t>
      </w:r>
      <w:proofErr w:type="spellEnd"/>
      <w:r w:rsidRPr="0099166A">
        <w:t xml:space="preserve"> of Biology, Pennsylvania State University, University Park, PA, USA 16802</w:t>
      </w:r>
    </w:p>
    <w:p w14:paraId="7626E333" w14:textId="77777777" w:rsidR="00F12E1A" w:rsidRPr="0099166A" w:rsidRDefault="00F12E1A" w:rsidP="00F12E1A">
      <w:pPr>
        <w:pStyle w:val="NoSpacing"/>
      </w:pPr>
      <w:proofErr w:type="spellStart"/>
      <w:r w:rsidRPr="0099166A">
        <w:rPr>
          <w:vertAlign w:val="superscript"/>
        </w:rPr>
        <w:t>b</w:t>
      </w:r>
      <w:r w:rsidRPr="0099166A">
        <w:t>Center</w:t>
      </w:r>
      <w:proofErr w:type="spellEnd"/>
      <w:r w:rsidRPr="0099166A">
        <w:t xml:space="preserve"> for Infectious Disease Dynamics, Pennsylvania State University, University Park, PA, USA 16802</w:t>
      </w:r>
    </w:p>
    <w:p w14:paraId="4CE6FFDB" w14:textId="77777777" w:rsidR="00F12E1A" w:rsidRPr="0099166A" w:rsidRDefault="00F12E1A" w:rsidP="00F12E1A">
      <w:pPr>
        <w:pStyle w:val="NoSpacing"/>
      </w:pPr>
      <w:proofErr w:type="spellStart"/>
      <w:r w:rsidRPr="0099166A">
        <w:rPr>
          <w:vertAlign w:val="superscript"/>
        </w:rPr>
        <w:t>c</w:t>
      </w:r>
      <w:r w:rsidRPr="0099166A">
        <w:t>Huck</w:t>
      </w:r>
      <w:proofErr w:type="spellEnd"/>
      <w:r w:rsidRPr="0099166A">
        <w:t xml:space="preserve"> Institutes of the Life Sciences, Pennsylvania State University, University Park, PA, USA 16802</w:t>
      </w:r>
    </w:p>
    <w:p w14:paraId="54F256CA" w14:textId="77777777" w:rsidR="00F12E1A" w:rsidRPr="0099166A" w:rsidRDefault="00F12E1A" w:rsidP="00F12E1A">
      <w:pPr>
        <w:pStyle w:val="NoSpacing"/>
      </w:pPr>
      <w:proofErr w:type="spellStart"/>
      <w:r w:rsidRPr="0099166A">
        <w:rPr>
          <w:vertAlign w:val="superscript"/>
        </w:rPr>
        <w:t>d</w:t>
      </w:r>
      <w:r w:rsidRPr="0099166A">
        <w:t>Department</w:t>
      </w:r>
      <w:proofErr w:type="spellEnd"/>
      <w:r w:rsidRPr="0099166A">
        <w:t xml:space="preserve"> of Veterinary and Biomedical Sciences, Pennsylvania State University, University Park, PA, USA 16802</w:t>
      </w:r>
    </w:p>
    <w:p w14:paraId="6FF8623D" w14:textId="77777777" w:rsidR="00F12E1A" w:rsidRPr="0099166A" w:rsidRDefault="00F12E1A" w:rsidP="00F12E1A">
      <w:pPr>
        <w:pStyle w:val="NoSpacing"/>
      </w:pPr>
      <w:r w:rsidRPr="0099166A">
        <w:rPr>
          <w:vertAlign w:val="superscript"/>
        </w:rPr>
        <w:t>e</w:t>
      </w:r>
      <w:r w:rsidRPr="0099166A">
        <w:t>College of Health and Human Development, Pennsylvania State University, University Park, PA, USA 16802</w:t>
      </w:r>
    </w:p>
    <w:p w14:paraId="26DDBCB7" w14:textId="77777777" w:rsidR="00F12E1A" w:rsidRPr="0099166A" w:rsidRDefault="00F12E1A" w:rsidP="00F12E1A">
      <w:pPr>
        <w:pStyle w:val="NoSpacing"/>
      </w:pPr>
      <w:proofErr w:type="spellStart"/>
      <w:r w:rsidRPr="0099166A">
        <w:rPr>
          <w:vertAlign w:val="superscript"/>
        </w:rPr>
        <w:t>f</w:t>
      </w:r>
      <w:r w:rsidRPr="0099166A">
        <w:t>Social</w:t>
      </w:r>
      <w:proofErr w:type="spellEnd"/>
      <w:r w:rsidRPr="0099166A">
        <w:t xml:space="preserve"> Science Research Institute, Pennsylvania State University, University Park, PA, USA 16802</w:t>
      </w:r>
    </w:p>
    <w:p w14:paraId="239D8A61" w14:textId="77777777" w:rsidR="00F12E1A" w:rsidRPr="0099166A" w:rsidRDefault="00F12E1A" w:rsidP="00F12E1A">
      <w:pPr>
        <w:pStyle w:val="NoSpacing"/>
      </w:pPr>
      <w:proofErr w:type="spellStart"/>
      <w:r w:rsidRPr="0099166A">
        <w:rPr>
          <w:vertAlign w:val="superscript"/>
        </w:rPr>
        <w:t>g</w:t>
      </w:r>
      <w:r w:rsidRPr="0099166A">
        <w:t>Department</w:t>
      </w:r>
      <w:proofErr w:type="spellEnd"/>
      <w:r w:rsidRPr="0099166A">
        <w:t xml:space="preserve"> of Nutritional Sciences, Pennsylvania State University, University Park, PA, USA 16802</w:t>
      </w:r>
    </w:p>
    <w:p w14:paraId="6DD2732B" w14:textId="77777777" w:rsidR="00F12E1A" w:rsidRDefault="00F12E1A" w:rsidP="00F12E1A">
      <w:pPr>
        <w:pStyle w:val="NoSpacing"/>
      </w:pPr>
      <w:proofErr w:type="spellStart"/>
      <w:r w:rsidRPr="0099166A">
        <w:rPr>
          <w:vertAlign w:val="superscript"/>
        </w:rPr>
        <w:t>h</w:t>
      </w:r>
      <w:r w:rsidRPr="0099166A">
        <w:t>Department</w:t>
      </w:r>
      <w:proofErr w:type="spellEnd"/>
      <w:r w:rsidRPr="0099166A">
        <w:t xml:space="preserve"> of Animal Science, Pennsylvania State University, University Park, PA, USA 16802</w:t>
      </w:r>
    </w:p>
    <w:p w14:paraId="3D9920D9" w14:textId="77777777" w:rsidR="00F12E1A" w:rsidRDefault="00F12E1A" w:rsidP="00F12E1A">
      <w:pPr>
        <w:pStyle w:val="NoSpacing"/>
      </w:pPr>
    </w:p>
    <w:p w14:paraId="368DF1C9" w14:textId="77777777" w:rsidR="00F12E1A" w:rsidRDefault="00F12E1A" w:rsidP="00F12E1A">
      <w:pPr>
        <w:pStyle w:val="NoSpacing"/>
      </w:pPr>
      <w:r>
        <w:rPr>
          <w:vertAlign w:val="superscript"/>
        </w:rPr>
        <w:t xml:space="preserve">1 </w:t>
      </w:r>
      <w:r>
        <w:t>Equal contribution</w:t>
      </w:r>
    </w:p>
    <w:p w14:paraId="7E817466" w14:textId="77777777" w:rsidR="00F12E1A" w:rsidRPr="0099166A" w:rsidRDefault="00F12E1A" w:rsidP="00F12E1A">
      <w:pPr>
        <w:pStyle w:val="NoSpacing"/>
      </w:pPr>
    </w:p>
    <w:p w14:paraId="475B58BA" w14:textId="77777777" w:rsidR="00F12E1A" w:rsidRDefault="00F12E1A" w:rsidP="00CD2AFF">
      <w:pPr>
        <w:pStyle w:val="NoSpacing"/>
      </w:pPr>
      <w:r w:rsidRPr="00005D0D">
        <w:rPr>
          <w:vertAlign w:val="superscript"/>
        </w:rPr>
        <w:t>*</w:t>
      </w:r>
      <w:r>
        <w:rPr>
          <w:vertAlign w:val="superscript"/>
        </w:rPr>
        <w:t xml:space="preserve"> </w:t>
      </w:r>
      <w:r>
        <w:t xml:space="preserve">Corresponding author: Matthew J. Ferrari, </w:t>
      </w:r>
      <w:hyperlink r:id="rId7" w:history="1">
        <w:r w:rsidRPr="00556556">
          <w:rPr>
            <w:rStyle w:val="Hyperlink"/>
          </w:rPr>
          <w:t>mjf283@psu.edu</w:t>
        </w:r>
      </w:hyperlink>
      <w:r>
        <w:t xml:space="preserve">, </w:t>
      </w:r>
      <w:r w:rsidRPr="0099166A">
        <w:t>Center for Infectious Disease Dynamics, Pennsylvania State University, University Park, PA, USA 1680</w:t>
      </w:r>
      <w:r>
        <w:t>2</w:t>
      </w:r>
    </w:p>
    <w:p w14:paraId="1667B229" w14:textId="77777777" w:rsidR="00F12E1A" w:rsidRDefault="00F12E1A">
      <w:pPr>
        <w:pStyle w:val="NoSpacing"/>
      </w:pPr>
    </w:p>
    <w:p w14:paraId="1B8F566B" w14:textId="112D326D" w:rsidR="00C23816" w:rsidRPr="00F12E1A" w:rsidRDefault="00F12E1A" w:rsidP="00D94092">
      <w:pPr>
        <w:pStyle w:val="BodyText"/>
        <w:spacing w:line="240" w:lineRule="auto"/>
      </w:pPr>
      <w:r w:rsidRPr="002E1817">
        <w:rPr>
          <w:vertAlign w:val="superscript"/>
        </w:rPr>
        <w:t xml:space="preserve">** </w:t>
      </w:r>
      <w:r>
        <w:t xml:space="preserve">Alternate corresponding author: Callum R.K. Arnold, </w:t>
      </w:r>
      <w:hyperlink r:id="rId8" w:history="1">
        <w:r w:rsidRPr="00556556">
          <w:rPr>
            <w:rStyle w:val="Hyperlink"/>
          </w:rPr>
          <w:t>cfa5228@psu.edu</w:t>
        </w:r>
      </w:hyperlink>
      <w:r>
        <w:t xml:space="preserve">, </w:t>
      </w:r>
      <w:r w:rsidRPr="0099166A">
        <w:t>Center for Infectious Disease Dynamics, Pennsylvania State University, University Park, PA, USA 1680</w:t>
      </w:r>
      <w:r>
        <w:t>2</w:t>
      </w:r>
    </w:p>
    <w:p w14:paraId="75D0C708" w14:textId="3B3B7E00" w:rsidR="00512E15" w:rsidRDefault="00C374A0" w:rsidP="00F13CEA">
      <w:pPr>
        <w:pStyle w:val="Heading1"/>
      </w:pPr>
      <w:bookmarkStart w:id="0" w:name="supplementary-text"/>
      <w:r w:rsidRPr="00F13CEA">
        <w:lastRenderedPageBreak/>
        <w:t>Supplementary</w:t>
      </w:r>
      <w:r>
        <w:t xml:space="preserve"> Text</w:t>
      </w:r>
    </w:p>
    <w:p w14:paraId="6570757D" w14:textId="77777777" w:rsidR="00512E15" w:rsidRDefault="00C374A0">
      <w:pPr>
        <w:pStyle w:val="Heading2"/>
      </w:pPr>
      <w:bookmarkStart w:id="1" w:name="laboratory-methods"/>
      <w:r>
        <w:t>Laboratory Methods:</w:t>
      </w:r>
    </w:p>
    <w:p w14:paraId="265838B8" w14:textId="77777777" w:rsidR="00512E15" w:rsidRDefault="00C374A0">
      <w:pPr>
        <w:pStyle w:val="Heading3"/>
      </w:pPr>
      <w:bookmarkStart w:id="2" w:name="X4389a3d8ba5f44f9de36286e3f6475996c854d9"/>
      <w:r>
        <w:t>Production and Purification of SARS-CoV-2 Receptor-binding domain (S/RBD)</w:t>
      </w:r>
    </w:p>
    <w:p w14:paraId="2184AB6F" w14:textId="77777777" w:rsidR="00512E15" w:rsidRDefault="00C374A0" w:rsidP="00F13CEA">
      <w:pPr>
        <w:pStyle w:val="FirstParagraph"/>
      </w:pPr>
      <w:r>
        <w:t>Transfections of plasmid pSL1510 (</w:t>
      </w:r>
      <w:proofErr w:type="spellStart"/>
      <w:r>
        <w:t>pCAGGS</w:t>
      </w:r>
      <w:proofErr w:type="spellEnd"/>
      <w:r>
        <w:t xml:space="preserve">-RBD from Florian </w:t>
      </w:r>
      <w:proofErr w:type="spellStart"/>
      <w:r>
        <w:t>Krammer</w:t>
      </w:r>
      <w:proofErr w:type="spellEnd"/>
      <w:r>
        <w:t xml:space="preserve">, Mount Sinai, USA) was performed using the Expi293 Expression System from </w:t>
      </w:r>
      <w:proofErr w:type="spellStart"/>
      <w:r>
        <w:t>ThermoFisher</w:t>
      </w:r>
      <w:proofErr w:type="spellEnd"/>
      <w:r>
        <w:t>. Cells were cultured per manufacturer’s instructions (37°C, 8% CO</w:t>
      </w:r>
      <w:r w:rsidRPr="00F13CEA">
        <w:rPr>
          <w:vertAlign w:val="subscript"/>
        </w:rPr>
        <w:t>2</w:t>
      </w:r>
      <w:r>
        <w:t>, in shaker flasks at 120-130 rpm), and the supernatant was harvested by simple centrifugation on the third day for downstream processing. Cell viability and concentration were monitored throughout to ensure that the culture remained in log phase growth. The detailed protocol is deposited in protocols.io [1]. Briefly, culture supernatant was incubated with pre-equilibrated Ni-NTA resin in 1X PBS at 4°C for 1 h on a nutator, after which a gravity column was used to elute the protein.</w:t>
      </w:r>
    </w:p>
    <w:p w14:paraId="79B18AD3" w14:textId="77777777" w:rsidR="00512E15" w:rsidRDefault="00C374A0">
      <w:pPr>
        <w:pStyle w:val="Heading3"/>
      </w:pPr>
      <w:bookmarkStart w:id="3" w:name="X976bae13fc327af3ede6f34b0fe5b6da44a8850"/>
      <w:bookmarkEnd w:id="2"/>
      <w:r>
        <w:t>Estimation of IgG antibodies against SARS-CoV-2</w:t>
      </w:r>
    </w:p>
    <w:p w14:paraId="2B27C820" w14:textId="0DF44702" w:rsidR="00512E15" w:rsidRDefault="00C374A0">
      <w:pPr>
        <w:pStyle w:val="FirstParagraph"/>
      </w:pPr>
      <w:r>
        <w:t xml:space="preserve">An in-house indirect isotype-specific (IgG) ELISA against SARS-CoV-2 receptor-binding domain (S/RBD) was developed [1]. Commercially purchased human monoclonal antibody reactive to spike regions of SARS-CoV-1 and SARS-CoV-2 were used as positive controls in the assay (Two isotypes of CR3022, IgG1: Ab01680-10.0; Absolute Antibody, USA). The cut-off for this IgG ELISA was determined as an optical density (absorbance at 450 nm) higher than six standard deviations above the mean of the tested pre-COVID-19 serum samples (n=100). Briefly, serum was separated from the blood collected from study participants and inactivated at 56°C for 30 minutes. Microtiter plates were coated with purified recombinant S/RBD. Negative serum control was included on each microtiter plate. 1:50 dilutions of serum were added, incubated for 1 hour, washed, incubated with goat anti-human IgG (Fc specific) (A0170, Sigma-Aldrich, </w:t>
      </w:r>
      <w:r>
        <w:lastRenderedPageBreak/>
        <w:t>USA), and washed. 3,3′,5,5′-Tetramethylbenzidine dihydrochloride (TMB) was used as the ELISA substrate (T3405, Sigma-Aldrich, USA) was added, the plates were developed until the top dilution reached the saturation pointes, and the reaction was stopped with H</w:t>
      </w:r>
      <w:r w:rsidRPr="00F13CEA">
        <w:rPr>
          <w:vertAlign w:val="subscript"/>
        </w:rPr>
        <w:t>2</w:t>
      </w:r>
      <w:r>
        <w:t>SO</w:t>
      </w:r>
      <w:r w:rsidRPr="00F13CEA">
        <w:rPr>
          <w:vertAlign w:val="subscript"/>
        </w:rPr>
        <w:t>4</w:t>
      </w:r>
      <w:r>
        <w:t>. Plates were read at an absorbance of 450 nm.</w:t>
      </w:r>
    </w:p>
    <w:p w14:paraId="303536B0" w14:textId="77777777" w:rsidR="00512E15" w:rsidRDefault="00C374A0">
      <w:pPr>
        <w:pStyle w:val="BodyText"/>
      </w:pPr>
      <w:r>
        <w:t>To further evaluate the performance of this assay, we used a total of 92 convalescent plasma samples (RT-PCR positive individuals). PCR data was used here as the comparator method (gold standard) to establish clinical truth for all samples, showing a 90% sensitivity, 100% specificity, 100% positive predictive value (PPV), and 92% negative predictive value (NPV). Similarly, comparing outcomes from 200 virus neutralization assays showed a 98% sensitivity, 96% specificity, 98% PPV, and 98% NPV [2].</w:t>
      </w:r>
    </w:p>
    <w:p w14:paraId="047FC739" w14:textId="77777777" w:rsidR="00512E15" w:rsidRDefault="00C374A0">
      <w:pPr>
        <w:pStyle w:val="Heading2"/>
      </w:pPr>
      <w:bookmarkStart w:id="4" w:name="statistical-methods"/>
      <w:bookmarkEnd w:id="1"/>
      <w:bookmarkEnd w:id="3"/>
      <w:r>
        <w:t>Statistical Methods</w:t>
      </w:r>
    </w:p>
    <w:p w14:paraId="350A7B8C" w14:textId="77777777" w:rsidR="00512E15" w:rsidRDefault="00C374A0">
      <w:pPr>
        <w:pStyle w:val="Heading3"/>
      </w:pPr>
      <w:bookmarkStart w:id="5" w:name="treatment-of-missing-data"/>
      <w:r>
        <w:t>Treatment of Missing Data</w:t>
      </w:r>
    </w:p>
    <w:p w14:paraId="6E327948" w14:textId="1C1EA29E" w:rsidR="00512E15" w:rsidRDefault="00C374A0">
      <w:pPr>
        <w:pStyle w:val="FirstParagraph"/>
      </w:pPr>
      <w:r>
        <w:t xml:space="preserve">In the subset of individuals in the returning student subgroup that had ELISA results, there are few missing values for the model variables, </w:t>
      </w:r>
      <w:proofErr w:type="gramStart"/>
      <w:r>
        <w:t>with the exception of</w:t>
      </w:r>
      <w:proofErr w:type="gramEnd"/>
      <w:r>
        <w:t xml:space="preserve"> “working as a service professional” (421/684). As a result of high missingness, service professional was removed as a predictor in the model. Exploration of the missing values in the remaining predictor variables demonstrate no bias by outcome, confirmed using Chi-squared tests of missingness in predictors by outcome level. Little’s test of Missing Completely At Random (MCAR) indicated that the data was MCAR (p = </w:t>
      </w:r>
      <w:proofErr w:type="gramStart"/>
      <w:r>
        <w:t>0.0728)[</w:t>
      </w:r>
      <w:proofErr w:type="gramEnd"/>
      <w:r>
        <w:t xml:space="preserve">3], and three imputation methods (MICE, k-Nearest </w:t>
      </w:r>
      <w:proofErr w:type="spellStart"/>
      <w:r>
        <w:t>Neighbour</w:t>
      </w:r>
      <w:proofErr w:type="spellEnd"/>
      <w:r>
        <w:t xml:space="preserve"> with 5 </w:t>
      </w:r>
      <w:proofErr w:type="spellStart"/>
      <w:r>
        <w:t>neighbours</w:t>
      </w:r>
      <w:proofErr w:type="spellEnd"/>
      <w:r>
        <w:t>, and Bagged Tree) [4–6] were used to compare model fits (</w:t>
      </w:r>
      <w:r w:rsidR="008A4231">
        <w:t xml:space="preserve">Supplemental </w:t>
      </w:r>
      <w:r>
        <w:t xml:space="preserve">Figure 1). Most missing values occurred across all variables, and there was no observable pattern among </w:t>
      </w:r>
      <w:proofErr w:type="gramStart"/>
      <w:r>
        <w:t>the majority of</w:t>
      </w:r>
      <w:proofErr w:type="gramEnd"/>
      <w:r>
        <w:t xml:space="preserve"> variables: there was some evidence that missingness in “travel in the 3 </w:t>
      </w:r>
      <w:r>
        <w:lastRenderedPageBreak/>
        <w:t xml:space="preserve">months prior to return” was associated with “travelling since campus return” response, and that missingness in “eaten in a restaurant in the past 7 days” was associated with “IgG classification”. As such, the predictor variables were deemed to be ‘Missing </w:t>
      </w:r>
      <w:proofErr w:type="gramStart"/>
      <w:r>
        <w:t>At</w:t>
      </w:r>
      <w:proofErr w:type="gramEnd"/>
      <w:r>
        <w:t xml:space="preserve"> Random’, and MICE was used to impute missing values.</w:t>
      </w:r>
    </w:p>
    <w:p w14:paraId="2163ADAD" w14:textId="77777777" w:rsidR="00512E15" w:rsidRDefault="00C374A0">
      <w:pPr>
        <w:pStyle w:val="Heading3"/>
      </w:pPr>
      <w:bookmarkStart w:id="6" w:name="alternative-estimate-of-true-prevalence"/>
      <w:bookmarkEnd w:id="5"/>
      <w:r>
        <w:t>Alternative Estimate of True Prevalence</w:t>
      </w:r>
    </w:p>
    <w:p w14:paraId="080A9CB1" w14:textId="05E66E65" w:rsidR="00512E15" w:rsidRDefault="00C374A0">
      <w:pPr>
        <w:pStyle w:val="FirstParagraph"/>
      </w:pPr>
      <w:r>
        <w:t xml:space="preserve">In the main text we present estimates of the true prevalence in the returning student and community resident cohorts that corrects for the sensitivity of the assay. We estimated sensitivity based on the returning student samples only because the student population had high access to RT-PCR diagnostic tests. Here we present an alternative analysis using an estimate of sensitivity including the community residents. 9 community residents self-reported a positive COVID-19 diagnosis by a medical professional prior to the first visit; an additional 19 community residents reported a positive COVID-19 diagnosis between the first and second visit. Of these, 17 were positive for IgG antibodies. Pooled with the student results, this results in a sensitivity estimate of 0.89 (95% CI: 0.82-0.94). This implies a lower sensitivity in the community resident participants, though the number of observations is low. </w:t>
      </w:r>
      <w:r w:rsidR="008A4231">
        <w:t>Supplemental</w:t>
      </w:r>
      <w:r w:rsidR="009E1D4E">
        <w:t xml:space="preserve"> </w:t>
      </w:r>
      <w:r>
        <w:t xml:space="preserve">Figure 2 shows the estimated true prevalence assuming a uniform prior on the interval (0.82, 0.94) on sensitivity in the community resident population and a uniform prior on the interval (0.85, 0.99) on specificity. For all values of specificity greater than 0.85, there is no change in the qualitative result that the 95% confidence intervals for prevalence in the community residents overlap for both visits for specificity values less than </w:t>
      </w:r>
      <w:proofErr w:type="gramStart"/>
      <w:r>
        <w:t>0.95, and</w:t>
      </w:r>
      <w:proofErr w:type="gramEnd"/>
      <w:r>
        <w:t xml:space="preserve"> are distinctly different to the prevalence within the returning student subgroup.</w:t>
      </w:r>
    </w:p>
    <w:p w14:paraId="1A29F9C9" w14:textId="77777777" w:rsidR="00512E15" w:rsidRDefault="00C374A0">
      <w:pPr>
        <w:pStyle w:val="Heading3"/>
      </w:pPr>
      <w:bookmarkStart w:id="7" w:name="X61726ebc2dd57b6b54f3a7291cda7454aba090d"/>
      <w:bookmarkEnd w:id="6"/>
      <w:r>
        <w:lastRenderedPageBreak/>
        <w:t xml:space="preserve">Comparison of Community Member Infections by Similarity </w:t>
      </w:r>
      <w:proofErr w:type="gramStart"/>
      <w:r>
        <w:t>To</w:t>
      </w:r>
      <w:proofErr w:type="gramEnd"/>
      <w:r>
        <w:t xml:space="preserve"> Student Cohort</w:t>
      </w:r>
    </w:p>
    <w:p w14:paraId="254751EE" w14:textId="3C1E8E80" w:rsidR="00512E15" w:rsidRDefault="00C374A0" w:rsidP="00DC79BF">
      <w:pPr>
        <w:pStyle w:val="FirstParagraph"/>
      </w:pPr>
      <w:r>
        <w:t xml:space="preserve">Given the spread of community resident ages and household incomes, we examined the seroprevalence among community members of a similar age and household income as the students </w:t>
      </w:r>
      <w:r w:rsidR="2FA794CD">
        <w:t>(age &lt;</w:t>
      </w:r>
      <w:r w:rsidR="00F70E9D">
        <w:t>=</w:t>
      </w:r>
      <w:r w:rsidR="2FA794CD">
        <w:t xml:space="preserve"> 30y and household income &lt;</w:t>
      </w:r>
      <w:r w:rsidR="00F70E9D">
        <w:t>=</w:t>
      </w:r>
      <w:r w:rsidR="2FA794CD">
        <w:t xml:space="preserve"> 50k USD) </w:t>
      </w:r>
      <w:r>
        <w:t xml:space="preserve">and compared the seroprevalence against the rest of the community </w:t>
      </w:r>
      <w:r w:rsidRPr="00C20530">
        <w:t>cohort</w:t>
      </w:r>
      <w:r w:rsidR="2FA794CD" w:rsidRPr="00C20530">
        <w:t xml:space="preserve"> </w:t>
      </w:r>
      <w:r w:rsidR="6CE41408" w:rsidRPr="00C20530">
        <w:rPr>
          <w:rFonts w:eastAsia="Times New Roman" w:cs="Times New Roman"/>
        </w:rPr>
        <w:t>(age &gt; 30y or household income &gt; 50k USD)</w:t>
      </w:r>
      <w:r w:rsidR="2FA794CD" w:rsidRPr="00C20530">
        <w:t>.</w:t>
      </w:r>
      <w:r w:rsidR="008A4855">
        <w:t xml:space="preserve"> </w:t>
      </w:r>
      <w:r w:rsidR="2FA794CD">
        <w:t>If risk of infection was correlated with age and income status, rather than student status, we would expect to see higher seroprevalence in this subset of community residents.</w:t>
      </w:r>
      <w:r>
        <w:t xml:space="preserve"> There were no differences in Wave 1 or Wave 2 seroprevalence, or Wave 2 cumulative seroprevalence (p = 0.142, p = 1, p = 0.691, respectively) (</w:t>
      </w:r>
      <w:r w:rsidR="008C0C68">
        <w:t xml:space="preserve">Supplemental </w:t>
      </w:r>
      <w:r>
        <w:t>Tables 3, 4, 5).</w:t>
      </w:r>
      <w:r>
        <w:br w:type="page"/>
      </w:r>
    </w:p>
    <w:p w14:paraId="3C1ED6A0" w14:textId="77777777" w:rsidR="00512E15" w:rsidRDefault="00C374A0" w:rsidP="00F13CEA">
      <w:pPr>
        <w:pStyle w:val="Heading1"/>
      </w:pPr>
      <w:bookmarkStart w:id="8" w:name="references"/>
      <w:bookmarkEnd w:id="0"/>
      <w:bookmarkEnd w:id="4"/>
      <w:bookmarkEnd w:id="7"/>
      <w:r>
        <w:lastRenderedPageBreak/>
        <w:t>References</w:t>
      </w:r>
    </w:p>
    <w:p w14:paraId="061C96B0" w14:textId="77777777" w:rsidR="00512E15" w:rsidRDefault="00C374A0">
      <w:pPr>
        <w:pStyle w:val="Bibliography"/>
      </w:pPr>
      <w:bookmarkStart w:id="9" w:name="ref-gontuQuantitativeEstimationIgM2020"/>
      <w:bookmarkStart w:id="10" w:name="refs"/>
      <w:r>
        <w:t xml:space="preserve">[1] </w:t>
      </w:r>
      <w:r>
        <w:tab/>
      </w:r>
      <w:proofErr w:type="spellStart"/>
      <w:r>
        <w:t>Gontu</w:t>
      </w:r>
      <w:proofErr w:type="spellEnd"/>
      <w:r>
        <w:t xml:space="preserve"> A, Srinivasan S, Nair MS, Lindner SE, </w:t>
      </w:r>
      <w:proofErr w:type="spellStart"/>
      <w:r>
        <w:t>Minns</w:t>
      </w:r>
      <w:proofErr w:type="spellEnd"/>
      <w:r>
        <w:t xml:space="preserve"> AM, Rossi R, et al. Quantitative Estimation of IgM and IgG Antibodies Against SARS-CoV-2. </w:t>
      </w:r>
      <w:proofErr w:type="spellStart"/>
      <w:r>
        <w:t>Protocolsio</w:t>
      </w:r>
      <w:proofErr w:type="spellEnd"/>
      <w:r>
        <w:t xml:space="preserve"> 2020. doi:</w:t>
      </w:r>
      <w:hyperlink r:id="rId9">
        <w:r>
          <w:rPr>
            <w:rStyle w:val="Hyperlink"/>
          </w:rPr>
          <w:t>dx.doi.org/10.17504/protocols.io.bivgke3w</w:t>
        </w:r>
      </w:hyperlink>
      <w:r>
        <w:t>.</w:t>
      </w:r>
    </w:p>
    <w:p w14:paraId="11CD9A42" w14:textId="7425BFE0" w:rsidR="00512E15" w:rsidRDefault="00C374A0">
      <w:pPr>
        <w:pStyle w:val="Bibliography"/>
      </w:pPr>
      <w:bookmarkStart w:id="11" w:name="ref-gontuLimitedWindowDonation2021"/>
      <w:bookmarkEnd w:id="9"/>
      <w:r>
        <w:t xml:space="preserve">[2] </w:t>
      </w:r>
      <w:r>
        <w:tab/>
      </w:r>
      <w:proofErr w:type="spellStart"/>
      <w:r>
        <w:t>Gontu</w:t>
      </w:r>
      <w:proofErr w:type="spellEnd"/>
      <w:r>
        <w:t xml:space="preserve"> A, Srinivasan S, Salazar E, Nair MS, </w:t>
      </w:r>
      <w:proofErr w:type="spellStart"/>
      <w:r>
        <w:t>Nissly</w:t>
      </w:r>
      <w:proofErr w:type="spellEnd"/>
      <w:r>
        <w:t xml:space="preserve"> RH, Greenawalt D, et al. Limited window for donation of convalescent plasma with high live-virus neutralizing antibody titers for COVID-19 immunotherapy. </w:t>
      </w:r>
      <w:proofErr w:type="spellStart"/>
      <w:r>
        <w:t>Commun</w:t>
      </w:r>
      <w:proofErr w:type="spellEnd"/>
      <w:r>
        <w:t xml:space="preserve"> Biol </w:t>
      </w:r>
      <w:proofErr w:type="gramStart"/>
      <w:r>
        <w:t>2021;4:1</w:t>
      </w:r>
      <w:proofErr w:type="gramEnd"/>
      <w:r>
        <w:t>–9. doi:</w:t>
      </w:r>
      <w:hyperlink r:id="rId10">
        <w:r>
          <w:rPr>
            <w:rStyle w:val="Hyperlink"/>
          </w:rPr>
          <w:t>10.1038/s42003-021-01813-y</w:t>
        </w:r>
      </w:hyperlink>
      <w:r>
        <w:t>.</w:t>
      </w:r>
    </w:p>
    <w:p w14:paraId="17A391EC" w14:textId="77777777" w:rsidR="00512E15" w:rsidRDefault="00C374A0">
      <w:pPr>
        <w:pStyle w:val="Bibliography"/>
      </w:pPr>
      <w:bookmarkStart w:id="12" w:name="ref-littleTestMissingCompletely1988"/>
      <w:bookmarkEnd w:id="11"/>
      <w:r>
        <w:t xml:space="preserve">[3] </w:t>
      </w:r>
      <w:r>
        <w:tab/>
        <w:t xml:space="preserve">Little RJA. A Test of Missing Completely at Random for Multivariate Data with Missing Values. J Am Stat Assoc </w:t>
      </w:r>
      <w:proofErr w:type="gramStart"/>
      <w:r>
        <w:t>1988;83:1198</w:t>
      </w:r>
      <w:proofErr w:type="gramEnd"/>
      <w:r>
        <w:t>–202. doi:</w:t>
      </w:r>
      <w:hyperlink r:id="rId11">
        <w:r>
          <w:rPr>
            <w:rStyle w:val="Hyperlink"/>
          </w:rPr>
          <w:t>10.1080/01621459.1988.10478722</w:t>
        </w:r>
      </w:hyperlink>
      <w:r>
        <w:t>.</w:t>
      </w:r>
    </w:p>
    <w:p w14:paraId="7921CA32" w14:textId="673EF480" w:rsidR="00512E15" w:rsidRDefault="00C374A0">
      <w:pPr>
        <w:pStyle w:val="Bibliography"/>
      </w:pPr>
      <w:bookmarkStart w:id="13" w:name="ref-buurenMiceMultivariateImputation2011"/>
      <w:bookmarkEnd w:id="12"/>
      <w:r>
        <w:t xml:space="preserve">[4] </w:t>
      </w:r>
      <w:r>
        <w:tab/>
      </w:r>
      <w:proofErr w:type="spellStart"/>
      <w:r>
        <w:t>Buuren</w:t>
      </w:r>
      <w:proofErr w:type="spellEnd"/>
      <w:r>
        <w:t xml:space="preserve"> S van, </w:t>
      </w:r>
      <w:proofErr w:type="spellStart"/>
      <w:r>
        <w:t>Groothuis-Oudshoorn</w:t>
      </w:r>
      <w:proofErr w:type="spellEnd"/>
      <w:r>
        <w:t xml:space="preserve"> K. Mice: Multivariate Imputation by Chained Equations in R. J Stat </w:t>
      </w:r>
      <w:proofErr w:type="spellStart"/>
      <w:r>
        <w:t>Softw</w:t>
      </w:r>
      <w:proofErr w:type="spellEnd"/>
      <w:r>
        <w:t xml:space="preserve"> 2011;45:1–67. doi:</w:t>
      </w:r>
      <w:hyperlink r:id="rId12">
        <w:r>
          <w:rPr>
            <w:rStyle w:val="Hyperlink"/>
          </w:rPr>
          <w:t>10.18637/</w:t>
        </w:r>
        <w:proofErr w:type="gramStart"/>
        <w:r>
          <w:rPr>
            <w:rStyle w:val="Hyperlink"/>
          </w:rPr>
          <w:t>jss.v045.i</w:t>
        </w:r>
        <w:proofErr w:type="gramEnd"/>
        <w:r>
          <w:rPr>
            <w:rStyle w:val="Hyperlink"/>
          </w:rPr>
          <w:t>03</w:t>
        </w:r>
      </w:hyperlink>
      <w:r>
        <w:t>.</w:t>
      </w:r>
    </w:p>
    <w:p w14:paraId="2056DA99" w14:textId="7B9F104D" w:rsidR="00512E15" w:rsidRDefault="00C374A0">
      <w:pPr>
        <w:pStyle w:val="Bibliography"/>
      </w:pPr>
      <w:bookmarkStart w:id="14" w:name="ref-kuhnTidymodelsCollectionPackages2020"/>
      <w:bookmarkEnd w:id="13"/>
      <w:r>
        <w:t xml:space="preserve">[5] </w:t>
      </w:r>
      <w:r>
        <w:tab/>
        <w:t xml:space="preserve">Kuhn M, Wickham H. </w:t>
      </w:r>
      <w:hyperlink r:id="rId13">
        <w:proofErr w:type="spellStart"/>
        <w:r>
          <w:rPr>
            <w:rStyle w:val="Hyperlink"/>
          </w:rPr>
          <w:t>Tidymodels</w:t>
        </w:r>
        <w:proofErr w:type="spellEnd"/>
        <w:r>
          <w:rPr>
            <w:rStyle w:val="Hyperlink"/>
          </w:rPr>
          <w:t xml:space="preserve">: A collection of packages for modeling and machine learning using </w:t>
        </w:r>
        <w:proofErr w:type="spellStart"/>
        <w:r>
          <w:rPr>
            <w:rStyle w:val="Hyperlink"/>
          </w:rPr>
          <w:t>tidyverse</w:t>
        </w:r>
        <w:proofErr w:type="spellEnd"/>
        <w:r>
          <w:rPr>
            <w:rStyle w:val="Hyperlink"/>
          </w:rPr>
          <w:t xml:space="preserve"> principles</w:t>
        </w:r>
      </w:hyperlink>
      <w:r>
        <w:t>. 2020.</w:t>
      </w:r>
    </w:p>
    <w:p w14:paraId="3F0CF1EE" w14:textId="204151A3" w:rsidR="00512E15" w:rsidRDefault="00C374A0">
      <w:pPr>
        <w:pStyle w:val="Bibliography"/>
      </w:pPr>
      <w:bookmarkStart w:id="15" w:name="ref-kuhnFeatureEngineeringSelection2019"/>
      <w:bookmarkEnd w:id="14"/>
      <w:r>
        <w:t xml:space="preserve">[6] </w:t>
      </w:r>
      <w:r>
        <w:tab/>
        <w:t xml:space="preserve">Kuhn M, Johnson K. </w:t>
      </w:r>
      <w:hyperlink r:id="rId14">
        <w:r>
          <w:rPr>
            <w:rStyle w:val="Hyperlink"/>
          </w:rPr>
          <w:t>Feature Engineering and Selection: A Practical Approach for Predictive Models</w:t>
        </w:r>
      </w:hyperlink>
      <w:r>
        <w:t>. Taylor &amp; Francis; 2019.</w:t>
      </w:r>
    </w:p>
    <w:bookmarkEnd w:id="10"/>
    <w:bookmarkEnd w:id="15"/>
    <w:p w14:paraId="6EAA02D6" w14:textId="77777777" w:rsidR="00512E15" w:rsidRDefault="00C374A0">
      <w:r>
        <w:br w:type="page"/>
      </w:r>
    </w:p>
    <w:p w14:paraId="0B3BC19C" w14:textId="77777777" w:rsidR="00512E15" w:rsidRDefault="00C374A0" w:rsidP="00F13CEA">
      <w:pPr>
        <w:pStyle w:val="Heading1"/>
      </w:pPr>
      <w:bookmarkStart w:id="16" w:name="tables"/>
      <w:bookmarkEnd w:id="8"/>
      <w:r>
        <w:lastRenderedPageBreak/>
        <w:t>Tables</w:t>
      </w:r>
    </w:p>
    <w:p w14:paraId="458010E3" w14:textId="77777777" w:rsidR="008C0C68" w:rsidRDefault="008C0C68" w:rsidP="008C0C68">
      <w:pPr>
        <w:pStyle w:val="FirstParagraph"/>
      </w:pPr>
      <w:r>
        <w:t>Supplemental Table 1: Propensity of following public health measures in returning students and community members with PSU ELISA results; subset of community members that received the “Health Messaging” survey. P-value refers to Chi-square test with Yates’ continuity correction of proportions in the predictor level by cohort.</w:t>
      </w:r>
    </w:p>
    <w:tbl>
      <w:tblPr>
        <w:tblW w:w="5000" w:type="pct"/>
        <w:tblLook w:val="0000" w:firstRow="0" w:lastRow="0" w:firstColumn="0" w:lastColumn="0" w:noHBand="0" w:noVBand="0"/>
      </w:tblPr>
      <w:tblGrid>
        <w:gridCol w:w="1806"/>
        <w:gridCol w:w="1808"/>
        <w:gridCol w:w="2427"/>
        <w:gridCol w:w="2427"/>
        <w:gridCol w:w="892"/>
      </w:tblGrid>
      <w:tr w:rsidR="008C0C68" w:rsidRPr="00CE79CC" w14:paraId="68F10E7F" w14:textId="77777777" w:rsidTr="00E644F1">
        <w:tc>
          <w:tcPr>
            <w:tcW w:w="997" w:type="pct"/>
            <w:tcBorders>
              <w:top w:val="single" w:sz="4" w:space="0" w:color="auto"/>
              <w:bottom w:val="single" w:sz="4" w:space="0" w:color="auto"/>
            </w:tcBorders>
            <w:tcMar>
              <w:top w:w="160" w:type="nil"/>
              <w:left w:w="160" w:type="nil"/>
              <w:bottom w:w="160" w:type="nil"/>
              <w:right w:w="160" w:type="nil"/>
            </w:tcMar>
            <w:vAlign w:val="bottom"/>
          </w:tcPr>
          <w:p w14:paraId="5D14C17C" w14:textId="77777777" w:rsidR="008C0C68" w:rsidRPr="00CE79CC" w:rsidRDefault="008C0C68" w:rsidP="008C0C68">
            <w:pPr>
              <w:autoSpaceDE w:val="0"/>
              <w:autoSpaceDN w:val="0"/>
              <w:adjustRightInd w:val="0"/>
              <w:spacing w:after="0" w:line="240" w:lineRule="auto"/>
              <w:rPr>
                <w:rFonts w:cs="Times New Roman"/>
                <w:b/>
                <w:bCs w:val="0"/>
                <w:color w:val="262626"/>
              </w:rPr>
            </w:pPr>
            <w:r w:rsidRPr="00CE79CC">
              <w:rPr>
                <w:rFonts w:cs="Times New Roman"/>
                <w:b/>
                <w:color w:val="262626"/>
              </w:rPr>
              <w:t>PH Measure</w:t>
            </w:r>
          </w:p>
        </w:tc>
        <w:tc>
          <w:tcPr>
            <w:tcW w:w="998" w:type="pct"/>
            <w:tcBorders>
              <w:top w:val="single" w:sz="4" w:space="0" w:color="auto"/>
              <w:bottom w:val="single" w:sz="4" w:space="0" w:color="auto"/>
            </w:tcBorders>
            <w:tcMar>
              <w:top w:w="160" w:type="nil"/>
              <w:left w:w="160" w:type="nil"/>
              <w:bottom w:w="160" w:type="nil"/>
              <w:right w:w="160" w:type="nil"/>
            </w:tcMar>
            <w:vAlign w:val="bottom"/>
          </w:tcPr>
          <w:p w14:paraId="004F96E8" w14:textId="77777777" w:rsidR="008C0C68" w:rsidRPr="00CE79CC" w:rsidRDefault="008C0C68" w:rsidP="008C0C68">
            <w:pPr>
              <w:autoSpaceDE w:val="0"/>
              <w:autoSpaceDN w:val="0"/>
              <w:adjustRightInd w:val="0"/>
              <w:spacing w:after="0" w:line="240" w:lineRule="auto"/>
              <w:rPr>
                <w:rFonts w:cs="Times New Roman"/>
                <w:b/>
                <w:bCs w:val="0"/>
                <w:color w:val="262626"/>
              </w:rPr>
            </w:pPr>
          </w:p>
        </w:tc>
        <w:tc>
          <w:tcPr>
            <w:tcW w:w="1328" w:type="pct"/>
            <w:tcBorders>
              <w:top w:val="single" w:sz="4" w:space="0" w:color="auto"/>
              <w:bottom w:val="single" w:sz="4" w:space="0" w:color="auto"/>
            </w:tcBorders>
            <w:tcMar>
              <w:top w:w="160" w:type="nil"/>
              <w:left w:w="160" w:type="nil"/>
              <w:bottom w:w="160" w:type="nil"/>
              <w:right w:w="160" w:type="nil"/>
            </w:tcMar>
            <w:vAlign w:val="bottom"/>
          </w:tcPr>
          <w:p w14:paraId="085CE221" w14:textId="77777777" w:rsidR="008C0C68" w:rsidRPr="00CE79CC" w:rsidRDefault="008C0C68" w:rsidP="008C0C68">
            <w:pPr>
              <w:autoSpaceDE w:val="0"/>
              <w:autoSpaceDN w:val="0"/>
              <w:adjustRightInd w:val="0"/>
              <w:spacing w:after="0" w:line="240" w:lineRule="auto"/>
              <w:rPr>
                <w:rFonts w:cs="Times New Roman"/>
                <w:b/>
                <w:bCs w:val="0"/>
                <w:color w:val="262626"/>
              </w:rPr>
            </w:pPr>
            <w:r w:rsidRPr="00CE79CC">
              <w:rPr>
                <w:rFonts w:cs="Times New Roman"/>
                <w:b/>
                <w:color w:val="262626"/>
              </w:rPr>
              <w:t>Community - Health Messaging</w:t>
            </w:r>
          </w:p>
        </w:tc>
        <w:tc>
          <w:tcPr>
            <w:tcW w:w="1328" w:type="pct"/>
            <w:tcBorders>
              <w:top w:val="single" w:sz="4" w:space="0" w:color="auto"/>
              <w:bottom w:val="single" w:sz="4" w:space="0" w:color="auto"/>
            </w:tcBorders>
            <w:tcMar>
              <w:top w:w="160" w:type="nil"/>
              <w:left w:w="160" w:type="nil"/>
              <w:bottom w:w="160" w:type="nil"/>
              <w:right w:w="160" w:type="nil"/>
            </w:tcMar>
            <w:vAlign w:val="bottom"/>
          </w:tcPr>
          <w:p w14:paraId="6E5BC708" w14:textId="77777777" w:rsidR="008C0C68" w:rsidRPr="00CE79CC" w:rsidRDefault="008C0C68" w:rsidP="008C0C68">
            <w:pPr>
              <w:autoSpaceDE w:val="0"/>
              <w:autoSpaceDN w:val="0"/>
              <w:adjustRightInd w:val="0"/>
              <w:spacing w:after="0" w:line="240" w:lineRule="auto"/>
              <w:rPr>
                <w:rFonts w:cs="Times New Roman"/>
                <w:b/>
                <w:bCs w:val="0"/>
                <w:color w:val="262626"/>
              </w:rPr>
            </w:pPr>
            <w:r w:rsidRPr="00CE79CC">
              <w:rPr>
                <w:rFonts w:cs="Times New Roman"/>
                <w:b/>
                <w:color w:val="262626"/>
              </w:rPr>
              <w:t>Returning Students</w:t>
            </w:r>
          </w:p>
        </w:tc>
        <w:tc>
          <w:tcPr>
            <w:tcW w:w="348" w:type="pct"/>
            <w:tcBorders>
              <w:top w:val="single" w:sz="4" w:space="0" w:color="auto"/>
              <w:bottom w:val="single" w:sz="4" w:space="0" w:color="auto"/>
            </w:tcBorders>
            <w:tcMar>
              <w:top w:w="160" w:type="nil"/>
              <w:left w:w="160" w:type="nil"/>
              <w:bottom w:w="160" w:type="nil"/>
              <w:right w:w="160" w:type="nil"/>
            </w:tcMar>
            <w:vAlign w:val="bottom"/>
          </w:tcPr>
          <w:p w14:paraId="51EF6B37" w14:textId="77777777" w:rsidR="008C0C68" w:rsidRPr="00CE79CC" w:rsidRDefault="008C0C68" w:rsidP="008C0C68">
            <w:pPr>
              <w:autoSpaceDE w:val="0"/>
              <w:autoSpaceDN w:val="0"/>
              <w:adjustRightInd w:val="0"/>
              <w:spacing w:after="0" w:line="240" w:lineRule="auto"/>
              <w:rPr>
                <w:rFonts w:cs="Times New Roman"/>
                <w:b/>
                <w:bCs w:val="0"/>
                <w:color w:val="262626"/>
              </w:rPr>
            </w:pPr>
            <w:r w:rsidRPr="00CE79CC">
              <w:rPr>
                <w:rFonts w:cs="Times New Roman"/>
                <w:b/>
                <w:color w:val="262626"/>
              </w:rPr>
              <w:t>p</w:t>
            </w:r>
          </w:p>
        </w:tc>
      </w:tr>
      <w:tr w:rsidR="008C0C68" w:rsidRPr="00CE79CC" w14:paraId="6A74130F" w14:textId="77777777" w:rsidTr="00E644F1">
        <w:tc>
          <w:tcPr>
            <w:tcW w:w="997" w:type="pct"/>
            <w:tcBorders>
              <w:top w:val="single" w:sz="4" w:space="0" w:color="auto"/>
              <w:bottom w:val="single" w:sz="4" w:space="0" w:color="auto"/>
            </w:tcBorders>
            <w:tcMar>
              <w:top w:w="160" w:type="nil"/>
              <w:left w:w="160" w:type="nil"/>
              <w:bottom w:w="160" w:type="nil"/>
              <w:right w:w="160" w:type="nil"/>
            </w:tcMar>
          </w:tcPr>
          <w:p w14:paraId="02C5FF19"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Total N (%)</w:t>
            </w:r>
          </w:p>
        </w:tc>
        <w:tc>
          <w:tcPr>
            <w:tcW w:w="998" w:type="pct"/>
            <w:tcBorders>
              <w:top w:val="single" w:sz="4" w:space="0" w:color="auto"/>
              <w:bottom w:val="single" w:sz="4" w:space="0" w:color="auto"/>
            </w:tcBorders>
            <w:tcMar>
              <w:top w:w="160" w:type="nil"/>
              <w:left w:w="160" w:type="nil"/>
              <w:bottom w:w="160" w:type="nil"/>
              <w:right w:w="160" w:type="nil"/>
            </w:tcMar>
          </w:tcPr>
          <w:p w14:paraId="00D81736" w14:textId="77777777" w:rsidR="008C0C68" w:rsidRPr="00CE79CC" w:rsidRDefault="008C0C68" w:rsidP="008C0C68">
            <w:pPr>
              <w:autoSpaceDE w:val="0"/>
              <w:autoSpaceDN w:val="0"/>
              <w:adjustRightInd w:val="0"/>
              <w:spacing w:after="0" w:line="240" w:lineRule="auto"/>
              <w:rPr>
                <w:rFonts w:cs="Times New Roman"/>
                <w:color w:val="262626"/>
              </w:rPr>
            </w:pPr>
          </w:p>
        </w:tc>
        <w:tc>
          <w:tcPr>
            <w:tcW w:w="1328" w:type="pct"/>
            <w:tcBorders>
              <w:top w:val="single" w:sz="4" w:space="0" w:color="auto"/>
              <w:bottom w:val="single" w:sz="4" w:space="0" w:color="auto"/>
            </w:tcBorders>
            <w:tcMar>
              <w:top w:w="160" w:type="nil"/>
              <w:left w:w="160" w:type="nil"/>
              <w:bottom w:w="160" w:type="nil"/>
              <w:right w:w="160" w:type="nil"/>
            </w:tcMar>
          </w:tcPr>
          <w:p w14:paraId="7CFF1DC6"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835 (55.0%)</w:t>
            </w:r>
          </w:p>
        </w:tc>
        <w:tc>
          <w:tcPr>
            <w:tcW w:w="1328" w:type="pct"/>
            <w:tcBorders>
              <w:top w:val="single" w:sz="4" w:space="0" w:color="auto"/>
              <w:bottom w:val="single" w:sz="4" w:space="0" w:color="auto"/>
            </w:tcBorders>
            <w:tcMar>
              <w:top w:w="160" w:type="nil"/>
              <w:left w:w="160" w:type="nil"/>
              <w:bottom w:w="160" w:type="nil"/>
              <w:right w:w="160" w:type="nil"/>
            </w:tcMar>
          </w:tcPr>
          <w:p w14:paraId="62263DBE"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684 (45.0%)</w:t>
            </w:r>
          </w:p>
        </w:tc>
        <w:tc>
          <w:tcPr>
            <w:tcW w:w="348" w:type="pct"/>
            <w:tcBorders>
              <w:top w:val="single" w:sz="4" w:space="0" w:color="auto"/>
              <w:bottom w:val="single" w:sz="4" w:space="0" w:color="auto"/>
            </w:tcBorders>
            <w:tcMar>
              <w:top w:w="160" w:type="nil"/>
              <w:left w:w="160" w:type="nil"/>
              <w:bottom w:w="160" w:type="nil"/>
              <w:right w:w="160" w:type="nil"/>
            </w:tcMar>
          </w:tcPr>
          <w:p w14:paraId="701B82C1" w14:textId="77777777" w:rsidR="008C0C68" w:rsidRPr="00CE79CC" w:rsidRDefault="008C0C68" w:rsidP="008C0C68">
            <w:pPr>
              <w:autoSpaceDE w:val="0"/>
              <w:autoSpaceDN w:val="0"/>
              <w:adjustRightInd w:val="0"/>
              <w:spacing w:after="0" w:line="240" w:lineRule="auto"/>
              <w:rPr>
                <w:rFonts w:cs="Times New Roman"/>
                <w:color w:val="262626"/>
              </w:rPr>
            </w:pPr>
          </w:p>
        </w:tc>
      </w:tr>
      <w:tr w:rsidR="008C0C68" w:rsidRPr="00CE79CC" w14:paraId="23CA30B5" w14:textId="77777777" w:rsidTr="00E644F1">
        <w:tc>
          <w:tcPr>
            <w:tcW w:w="997" w:type="pct"/>
            <w:tcBorders>
              <w:top w:val="single" w:sz="4" w:space="0" w:color="auto"/>
            </w:tcBorders>
            <w:tcMar>
              <w:top w:w="160" w:type="nil"/>
              <w:left w:w="160" w:type="nil"/>
              <w:bottom w:w="160" w:type="nil"/>
              <w:right w:w="160" w:type="nil"/>
            </w:tcMar>
          </w:tcPr>
          <w:p w14:paraId="020C047D"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Mask Wearing</w:t>
            </w:r>
          </w:p>
        </w:tc>
        <w:tc>
          <w:tcPr>
            <w:tcW w:w="998" w:type="pct"/>
            <w:tcBorders>
              <w:top w:val="single" w:sz="4" w:space="0" w:color="auto"/>
            </w:tcBorders>
            <w:tcMar>
              <w:top w:w="160" w:type="nil"/>
              <w:left w:w="160" w:type="nil"/>
              <w:bottom w:w="160" w:type="nil"/>
              <w:right w:w="160" w:type="nil"/>
            </w:tcMar>
          </w:tcPr>
          <w:p w14:paraId="2214E151"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Always</w:t>
            </w:r>
          </w:p>
        </w:tc>
        <w:tc>
          <w:tcPr>
            <w:tcW w:w="1328" w:type="pct"/>
            <w:tcBorders>
              <w:top w:val="single" w:sz="4" w:space="0" w:color="auto"/>
            </w:tcBorders>
            <w:tcMar>
              <w:top w:w="160" w:type="nil"/>
              <w:left w:w="160" w:type="nil"/>
              <w:bottom w:w="160" w:type="nil"/>
              <w:right w:w="160" w:type="nil"/>
            </w:tcMar>
          </w:tcPr>
          <w:p w14:paraId="161492DC"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633 (76.1%)</w:t>
            </w:r>
          </w:p>
        </w:tc>
        <w:tc>
          <w:tcPr>
            <w:tcW w:w="1328" w:type="pct"/>
            <w:tcBorders>
              <w:top w:val="single" w:sz="4" w:space="0" w:color="auto"/>
            </w:tcBorders>
            <w:tcMar>
              <w:top w:w="160" w:type="nil"/>
              <w:left w:w="160" w:type="nil"/>
              <w:bottom w:w="160" w:type="nil"/>
              <w:right w:w="160" w:type="nil"/>
            </w:tcMar>
          </w:tcPr>
          <w:p w14:paraId="2E52AF68"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593 (87.0%)</w:t>
            </w:r>
          </w:p>
        </w:tc>
        <w:tc>
          <w:tcPr>
            <w:tcW w:w="348" w:type="pct"/>
            <w:tcBorders>
              <w:top w:val="single" w:sz="4" w:space="0" w:color="auto"/>
            </w:tcBorders>
            <w:tcMar>
              <w:top w:w="160" w:type="nil"/>
              <w:left w:w="160" w:type="nil"/>
              <w:bottom w:w="160" w:type="nil"/>
              <w:right w:w="160" w:type="nil"/>
            </w:tcMar>
          </w:tcPr>
          <w:p w14:paraId="351FE613"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&lt;0.001</w:t>
            </w:r>
          </w:p>
        </w:tc>
      </w:tr>
      <w:tr w:rsidR="008C0C68" w:rsidRPr="00CE79CC" w14:paraId="268B19C0" w14:textId="77777777" w:rsidTr="00E644F1">
        <w:tc>
          <w:tcPr>
            <w:tcW w:w="997" w:type="pct"/>
            <w:tcBorders>
              <w:bottom w:val="single" w:sz="4" w:space="0" w:color="auto"/>
            </w:tcBorders>
            <w:tcMar>
              <w:top w:w="160" w:type="nil"/>
              <w:left w:w="160" w:type="nil"/>
              <w:bottom w:w="160" w:type="nil"/>
              <w:right w:w="160" w:type="nil"/>
            </w:tcMar>
          </w:tcPr>
          <w:p w14:paraId="1EBB6660" w14:textId="77777777" w:rsidR="008C0C68" w:rsidRPr="00CE79CC" w:rsidRDefault="008C0C68" w:rsidP="008C0C68">
            <w:pPr>
              <w:autoSpaceDE w:val="0"/>
              <w:autoSpaceDN w:val="0"/>
              <w:adjustRightInd w:val="0"/>
              <w:spacing w:after="0" w:line="240" w:lineRule="auto"/>
              <w:rPr>
                <w:rFonts w:cs="Times New Roman"/>
                <w:color w:val="262626"/>
              </w:rPr>
            </w:pPr>
          </w:p>
        </w:tc>
        <w:tc>
          <w:tcPr>
            <w:tcW w:w="998" w:type="pct"/>
            <w:tcBorders>
              <w:bottom w:val="single" w:sz="4" w:space="0" w:color="auto"/>
            </w:tcBorders>
            <w:tcMar>
              <w:top w:w="160" w:type="nil"/>
              <w:left w:w="160" w:type="nil"/>
              <w:bottom w:w="160" w:type="nil"/>
              <w:right w:w="160" w:type="nil"/>
            </w:tcMar>
          </w:tcPr>
          <w:p w14:paraId="16532374"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Not Always</w:t>
            </w:r>
          </w:p>
        </w:tc>
        <w:tc>
          <w:tcPr>
            <w:tcW w:w="1328" w:type="pct"/>
            <w:tcBorders>
              <w:bottom w:val="single" w:sz="4" w:space="0" w:color="auto"/>
            </w:tcBorders>
            <w:tcMar>
              <w:top w:w="160" w:type="nil"/>
              <w:left w:w="160" w:type="nil"/>
              <w:bottom w:w="160" w:type="nil"/>
              <w:right w:w="160" w:type="nil"/>
            </w:tcMar>
          </w:tcPr>
          <w:p w14:paraId="0E83E3EC"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199 (23.9%)</w:t>
            </w:r>
          </w:p>
        </w:tc>
        <w:tc>
          <w:tcPr>
            <w:tcW w:w="1328" w:type="pct"/>
            <w:tcBorders>
              <w:bottom w:val="single" w:sz="4" w:space="0" w:color="auto"/>
            </w:tcBorders>
            <w:tcMar>
              <w:top w:w="160" w:type="nil"/>
              <w:left w:w="160" w:type="nil"/>
              <w:bottom w:w="160" w:type="nil"/>
              <w:right w:w="160" w:type="nil"/>
            </w:tcMar>
          </w:tcPr>
          <w:p w14:paraId="74CB92D9"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89 (13.0%)</w:t>
            </w:r>
          </w:p>
        </w:tc>
        <w:tc>
          <w:tcPr>
            <w:tcW w:w="348" w:type="pct"/>
            <w:tcBorders>
              <w:bottom w:val="single" w:sz="4" w:space="0" w:color="auto"/>
            </w:tcBorders>
            <w:tcMar>
              <w:top w:w="160" w:type="nil"/>
              <w:left w:w="160" w:type="nil"/>
              <w:bottom w:w="160" w:type="nil"/>
              <w:right w:w="160" w:type="nil"/>
            </w:tcMar>
          </w:tcPr>
          <w:p w14:paraId="40CD7EED" w14:textId="77777777" w:rsidR="008C0C68" w:rsidRPr="00CE79CC" w:rsidRDefault="008C0C68" w:rsidP="008C0C68">
            <w:pPr>
              <w:autoSpaceDE w:val="0"/>
              <w:autoSpaceDN w:val="0"/>
              <w:adjustRightInd w:val="0"/>
              <w:spacing w:after="0" w:line="240" w:lineRule="auto"/>
              <w:rPr>
                <w:rFonts w:cs="Times New Roman"/>
                <w:color w:val="262626"/>
              </w:rPr>
            </w:pPr>
          </w:p>
        </w:tc>
      </w:tr>
      <w:tr w:rsidR="008C0C68" w:rsidRPr="00CE79CC" w14:paraId="054675AE" w14:textId="77777777" w:rsidTr="00E644F1">
        <w:tc>
          <w:tcPr>
            <w:tcW w:w="997" w:type="pct"/>
            <w:tcBorders>
              <w:top w:val="single" w:sz="4" w:space="0" w:color="auto"/>
            </w:tcBorders>
            <w:tcMar>
              <w:top w:w="160" w:type="nil"/>
              <w:left w:w="160" w:type="nil"/>
              <w:bottom w:w="160" w:type="nil"/>
              <w:right w:w="160" w:type="nil"/>
            </w:tcMar>
          </w:tcPr>
          <w:p w14:paraId="41679173"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Distancing in Public</w:t>
            </w:r>
          </w:p>
        </w:tc>
        <w:tc>
          <w:tcPr>
            <w:tcW w:w="998" w:type="pct"/>
            <w:tcBorders>
              <w:top w:val="single" w:sz="4" w:space="0" w:color="auto"/>
            </w:tcBorders>
            <w:tcMar>
              <w:top w:w="160" w:type="nil"/>
              <w:left w:w="160" w:type="nil"/>
              <w:bottom w:w="160" w:type="nil"/>
              <w:right w:w="160" w:type="nil"/>
            </w:tcMar>
          </w:tcPr>
          <w:p w14:paraId="3D43B32E"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Always</w:t>
            </w:r>
          </w:p>
        </w:tc>
        <w:tc>
          <w:tcPr>
            <w:tcW w:w="1328" w:type="pct"/>
            <w:tcBorders>
              <w:top w:val="single" w:sz="4" w:space="0" w:color="auto"/>
            </w:tcBorders>
            <w:tcMar>
              <w:top w:w="160" w:type="nil"/>
              <w:left w:w="160" w:type="nil"/>
              <w:bottom w:w="160" w:type="nil"/>
              <w:right w:w="160" w:type="nil"/>
            </w:tcMar>
          </w:tcPr>
          <w:p w14:paraId="693DD3B6"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249 (30.0%)</w:t>
            </w:r>
          </w:p>
        </w:tc>
        <w:tc>
          <w:tcPr>
            <w:tcW w:w="1328" w:type="pct"/>
            <w:tcBorders>
              <w:top w:val="single" w:sz="4" w:space="0" w:color="auto"/>
            </w:tcBorders>
            <w:tcMar>
              <w:top w:w="160" w:type="nil"/>
              <w:left w:w="160" w:type="nil"/>
              <w:bottom w:w="160" w:type="nil"/>
              <w:right w:w="160" w:type="nil"/>
            </w:tcMar>
          </w:tcPr>
          <w:p w14:paraId="03EFCB75"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198 (29.1%)</w:t>
            </w:r>
          </w:p>
        </w:tc>
        <w:tc>
          <w:tcPr>
            <w:tcW w:w="348" w:type="pct"/>
            <w:tcBorders>
              <w:top w:val="single" w:sz="4" w:space="0" w:color="auto"/>
            </w:tcBorders>
            <w:tcMar>
              <w:top w:w="160" w:type="nil"/>
              <w:left w:w="160" w:type="nil"/>
              <w:bottom w:w="160" w:type="nil"/>
              <w:right w:w="160" w:type="nil"/>
            </w:tcMar>
          </w:tcPr>
          <w:p w14:paraId="215CEEEB"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0.749</w:t>
            </w:r>
          </w:p>
        </w:tc>
      </w:tr>
      <w:tr w:rsidR="008C0C68" w:rsidRPr="00CE79CC" w14:paraId="46FA8852" w14:textId="77777777" w:rsidTr="00E644F1">
        <w:tc>
          <w:tcPr>
            <w:tcW w:w="997" w:type="pct"/>
            <w:tcBorders>
              <w:bottom w:val="single" w:sz="4" w:space="0" w:color="auto"/>
            </w:tcBorders>
            <w:tcMar>
              <w:top w:w="160" w:type="nil"/>
              <w:left w:w="160" w:type="nil"/>
              <w:bottom w:w="160" w:type="nil"/>
              <w:right w:w="160" w:type="nil"/>
            </w:tcMar>
          </w:tcPr>
          <w:p w14:paraId="7B1D528C" w14:textId="77777777" w:rsidR="008C0C68" w:rsidRPr="00CE79CC" w:rsidRDefault="008C0C68" w:rsidP="008C0C68">
            <w:pPr>
              <w:autoSpaceDE w:val="0"/>
              <w:autoSpaceDN w:val="0"/>
              <w:adjustRightInd w:val="0"/>
              <w:spacing w:after="0" w:line="240" w:lineRule="auto"/>
              <w:rPr>
                <w:rFonts w:cs="Times New Roman"/>
                <w:color w:val="262626"/>
              </w:rPr>
            </w:pPr>
          </w:p>
        </w:tc>
        <w:tc>
          <w:tcPr>
            <w:tcW w:w="998" w:type="pct"/>
            <w:tcBorders>
              <w:bottom w:val="single" w:sz="4" w:space="0" w:color="auto"/>
            </w:tcBorders>
            <w:tcMar>
              <w:top w:w="160" w:type="nil"/>
              <w:left w:w="160" w:type="nil"/>
              <w:bottom w:w="160" w:type="nil"/>
              <w:right w:w="160" w:type="nil"/>
            </w:tcMar>
          </w:tcPr>
          <w:p w14:paraId="2EF4C9DC"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Not Always</w:t>
            </w:r>
          </w:p>
        </w:tc>
        <w:tc>
          <w:tcPr>
            <w:tcW w:w="1328" w:type="pct"/>
            <w:tcBorders>
              <w:bottom w:val="single" w:sz="4" w:space="0" w:color="auto"/>
            </w:tcBorders>
            <w:tcMar>
              <w:top w:w="160" w:type="nil"/>
              <w:left w:w="160" w:type="nil"/>
              <w:bottom w:w="160" w:type="nil"/>
              <w:right w:w="160" w:type="nil"/>
            </w:tcMar>
          </w:tcPr>
          <w:p w14:paraId="7FF0C047"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582 (70.0%)</w:t>
            </w:r>
          </w:p>
        </w:tc>
        <w:tc>
          <w:tcPr>
            <w:tcW w:w="1328" w:type="pct"/>
            <w:tcBorders>
              <w:bottom w:val="single" w:sz="4" w:space="0" w:color="auto"/>
            </w:tcBorders>
            <w:tcMar>
              <w:top w:w="160" w:type="nil"/>
              <w:left w:w="160" w:type="nil"/>
              <w:bottom w:w="160" w:type="nil"/>
              <w:right w:w="160" w:type="nil"/>
            </w:tcMar>
          </w:tcPr>
          <w:p w14:paraId="520D6F4F"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483 (70.9%)</w:t>
            </w:r>
          </w:p>
        </w:tc>
        <w:tc>
          <w:tcPr>
            <w:tcW w:w="348" w:type="pct"/>
            <w:tcBorders>
              <w:bottom w:val="single" w:sz="4" w:space="0" w:color="auto"/>
            </w:tcBorders>
            <w:tcMar>
              <w:top w:w="160" w:type="nil"/>
              <w:left w:w="160" w:type="nil"/>
              <w:bottom w:w="160" w:type="nil"/>
              <w:right w:w="160" w:type="nil"/>
            </w:tcMar>
          </w:tcPr>
          <w:p w14:paraId="68740BEE" w14:textId="77777777" w:rsidR="008C0C68" w:rsidRPr="00CE79CC" w:rsidRDefault="008C0C68" w:rsidP="008C0C68">
            <w:pPr>
              <w:autoSpaceDE w:val="0"/>
              <w:autoSpaceDN w:val="0"/>
              <w:adjustRightInd w:val="0"/>
              <w:spacing w:after="0" w:line="240" w:lineRule="auto"/>
              <w:rPr>
                <w:rFonts w:cs="Times New Roman"/>
                <w:color w:val="262626"/>
              </w:rPr>
            </w:pPr>
          </w:p>
        </w:tc>
      </w:tr>
      <w:tr w:rsidR="008C0C68" w:rsidRPr="00CE79CC" w14:paraId="6E67B51C" w14:textId="77777777" w:rsidTr="00E644F1">
        <w:tc>
          <w:tcPr>
            <w:tcW w:w="997" w:type="pct"/>
            <w:tcBorders>
              <w:top w:val="single" w:sz="4" w:space="0" w:color="auto"/>
            </w:tcBorders>
            <w:tcMar>
              <w:top w:w="160" w:type="nil"/>
              <w:left w:w="160" w:type="nil"/>
              <w:bottom w:w="160" w:type="nil"/>
              <w:right w:w="160" w:type="nil"/>
            </w:tcMar>
          </w:tcPr>
          <w:p w14:paraId="144C89FC"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Avoiding crowds of &gt;25 people</w:t>
            </w:r>
          </w:p>
        </w:tc>
        <w:tc>
          <w:tcPr>
            <w:tcW w:w="998" w:type="pct"/>
            <w:tcBorders>
              <w:top w:val="single" w:sz="4" w:space="0" w:color="auto"/>
            </w:tcBorders>
            <w:tcMar>
              <w:top w:w="160" w:type="nil"/>
              <w:left w:w="160" w:type="nil"/>
              <w:bottom w:w="160" w:type="nil"/>
              <w:right w:w="160" w:type="nil"/>
            </w:tcMar>
          </w:tcPr>
          <w:p w14:paraId="57563401"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Always</w:t>
            </w:r>
          </w:p>
        </w:tc>
        <w:tc>
          <w:tcPr>
            <w:tcW w:w="1328" w:type="pct"/>
            <w:tcBorders>
              <w:top w:val="single" w:sz="4" w:space="0" w:color="auto"/>
            </w:tcBorders>
            <w:tcMar>
              <w:top w:w="160" w:type="nil"/>
              <w:left w:w="160" w:type="nil"/>
              <w:bottom w:w="160" w:type="nil"/>
              <w:right w:w="160" w:type="nil"/>
            </w:tcMar>
          </w:tcPr>
          <w:p w14:paraId="2115F1B1"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549 (65.8%)</w:t>
            </w:r>
          </w:p>
        </w:tc>
        <w:tc>
          <w:tcPr>
            <w:tcW w:w="1328" w:type="pct"/>
            <w:tcBorders>
              <w:top w:val="single" w:sz="4" w:space="0" w:color="auto"/>
            </w:tcBorders>
            <w:tcMar>
              <w:top w:w="160" w:type="nil"/>
              <w:left w:w="160" w:type="nil"/>
              <w:bottom w:w="160" w:type="nil"/>
              <w:right w:w="160" w:type="nil"/>
            </w:tcMar>
          </w:tcPr>
          <w:p w14:paraId="61E5D948"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293 (43.0%)</w:t>
            </w:r>
          </w:p>
        </w:tc>
        <w:tc>
          <w:tcPr>
            <w:tcW w:w="348" w:type="pct"/>
            <w:tcBorders>
              <w:top w:val="single" w:sz="4" w:space="0" w:color="auto"/>
            </w:tcBorders>
            <w:tcMar>
              <w:top w:w="160" w:type="nil"/>
              <w:left w:w="160" w:type="nil"/>
              <w:bottom w:w="160" w:type="nil"/>
              <w:right w:w="160" w:type="nil"/>
            </w:tcMar>
          </w:tcPr>
          <w:p w14:paraId="49CD9205"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&lt;0.001</w:t>
            </w:r>
          </w:p>
        </w:tc>
      </w:tr>
      <w:tr w:rsidR="008C0C68" w:rsidRPr="00CE79CC" w14:paraId="1BB63F03" w14:textId="77777777" w:rsidTr="00E644F1">
        <w:tc>
          <w:tcPr>
            <w:tcW w:w="997" w:type="pct"/>
            <w:tcBorders>
              <w:bottom w:val="single" w:sz="4" w:space="0" w:color="auto"/>
            </w:tcBorders>
            <w:tcMar>
              <w:top w:w="160" w:type="nil"/>
              <w:left w:w="160" w:type="nil"/>
              <w:bottom w:w="160" w:type="nil"/>
              <w:right w:w="160" w:type="nil"/>
            </w:tcMar>
          </w:tcPr>
          <w:p w14:paraId="1B9BF793" w14:textId="77777777" w:rsidR="008C0C68" w:rsidRPr="00CE79CC" w:rsidRDefault="008C0C68" w:rsidP="008C0C68">
            <w:pPr>
              <w:autoSpaceDE w:val="0"/>
              <w:autoSpaceDN w:val="0"/>
              <w:adjustRightInd w:val="0"/>
              <w:spacing w:after="0" w:line="240" w:lineRule="auto"/>
              <w:rPr>
                <w:rFonts w:cs="Times New Roman"/>
                <w:color w:val="262626"/>
              </w:rPr>
            </w:pPr>
          </w:p>
        </w:tc>
        <w:tc>
          <w:tcPr>
            <w:tcW w:w="998" w:type="pct"/>
            <w:tcBorders>
              <w:bottom w:val="single" w:sz="4" w:space="0" w:color="auto"/>
            </w:tcBorders>
            <w:tcMar>
              <w:top w:w="160" w:type="nil"/>
              <w:left w:w="160" w:type="nil"/>
              <w:bottom w:w="160" w:type="nil"/>
              <w:right w:w="160" w:type="nil"/>
            </w:tcMar>
          </w:tcPr>
          <w:p w14:paraId="49757461"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Not Always</w:t>
            </w:r>
          </w:p>
        </w:tc>
        <w:tc>
          <w:tcPr>
            <w:tcW w:w="1328" w:type="pct"/>
            <w:tcBorders>
              <w:bottom w:val="single" w:sz="4" w:space="0" w:color="auto"/>
            </w:tcBorders>
            <w:tcMar>
              <w:top w:w="160" w:type="nil"/>
              <w:left w:w="160" w:type="nil"/>
              <w:bottom w:w="160" w:type="nil"/>
              <w:right w:w="160" w:type="nil"/>
            </w:tcMar>
          </w:tcPr>
          <w:p w14:paraId="39FE8CFF"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285 (34.2%)</w:t>
            </w:r>
          </w:p>
        </w:tc>
        <w:tc>
          <w:tcPr>
            <w:tcW w:w="1328" w:type="pct"/>
            <w:tcBorders>
              <w:bottom w:val="single" w:sz="4" w:space="0" w:color="auto"/>
            </w:tcBorders>
            <w:tcMar>
              <w:top w:w="160" w:type="nil"/>
              <w:left w:w="160" w:type="nil"/>
              <w:bottom w:w="160" w:type="nil"/>
              <w:right w:w="160" w:type="nil"/>
            </w:tcMar>
          </w:tcPr>
          <w:p w14:paraId="7573F1B8" w14:textId="77777777" w:rsidR="008C0C68" w:rsidRPr="00CE79CC" w:rsidRDefault="008C0C68" w:rsidP="008C0C68">
            <w:pPr>
              <w:autoSpaceDE w:val="0"/>
              <w:autoSpaceDN w:val="0"/>
              <w:adjustRightInd w:val="0"/>
              <w:spacing w:after="0" w:line="240" w:lineRule="auto"/>
              <w:rPr>
                <w:rFonts w:cs="Times New Roman"/>
                <w:color w:val="262626"/>
              </w:rPr>
            </w:pPr>
            <w:r w:rsidRPr="00CE79CC">
              <w:rPr>
                <w:rFonts w:cs="Times New Roman"/>
                <w:color w:val="262626"/>
              </w:rPr>
              <w:t>389 (57.0%)</w:t>
            </w:r>
          </w:p>
        </w:tc>
        <w:tc>
          <w:tcPr>
            <w:tcW w:w="348" w:type="pct"/>
            <w:tcBorders>
              <w:bottom w:val="single" w:sz="4" w:space="0" w:color="auto"/>
            </w:tcBorders>
            <w:tcMar>
              <w:top w:w="160" w:type="nil"/>
              <w:left w:w="160" w:type="nil"/>
              <w:bottom w:w="160" w:type="nil"/>
              <w:right w:w="160" w:type="nil"/>
            </w:tcMar>
          </w:tcPr>
          <w:p w14:paraId="7C0D0CF0" w14:textId="77777777" w:rsidR="008C0C68" w:rsidRPr="00CE79CC" w:rsidRDefault="008C0C68" w:rsidP="008C0C68">
            <w:pPr>
              <w:autoSpaceDE w:val="0"/>
              <w:autoSpaceDN w:val="0"/>
              <w:adjustRightInd w:val="0"/>
              <w:spacing w:after="0" w:line="240" w:lineRule="auto"/>
              <w:rPr>
                <w:rFonts w:cs="Times New Roman"/>
                <w:color w:val="262626"/>
              </w:rPr>
            </w:pPr>
          </w:p>
        </w:tc>
      </w:tr>
    </w:tbl>
    <w:p w14:paraId="399C1841" w14:textId="77777777" w:rsidR="008C0C68" w:rsidRPr="00A636A0" w:rsidRDefault="008C0C68" w:rsidP="008C0C68">
      <w:pPr>
        <w:pStyle w:val="BodyText"/>
      </w:pPr>
    </w:p>
    <w:p w14:paraId="345B3800" w14:textId="77777777" w:rsidR="008C0C68" w:rsidRDefault="008C0C68" w:rsidP="008C0C68">
      <w:pPr>
        <w:spacing w:line="240" w:lineRule="auto"/>
      </w:pPr>
      <w:r>
        <w:br w:type="page"/>
      </w:r>
    </w:p>
    <w:p w14:paraId="2A802F4B" w14:textId="02AD6A65" w:rsidR="008C0C68" w:rsidRDefault="008C0C68" w:rsidP="008C0C68">
      <w:pPr>
        <w:pStyle w:val="BodyText"/>
      </w:pPr>
      <w:r>
        <w:lastRenderedPageBreak/>
        <w:t>Supplemental Table 2: Raw prevalence in each subgroup by adherence to public health measures</w:t>
      </w:r>
    </w:p>
    <w:tbl>
      <w:tblPr>
        <w:tblW w:w="5000" w:type="pct"/>
        <w:tblLook w:val="0000" w:firstRow="0" w:lastRow="0" w:firstColumn="0" w:lastColumn="0" w:noHBand="0" w:noVBand="0"/>
      </w:tblPr>
      <w:tblGrid>
        <w:gridCol w:w="1972"/>
        <w:gridCol w:w="1846"/>
        <w:gridCol w:w="1848"/>
        <w:gridCol w:w="1846"/>
        <w:gridCol w:w="1848"/>
      </w:tblGrid>
      <w:tr w:rsidR="008C0C68" w:rsidRPr="00CE79CC" w14:paraId="540DE5AE" w14:textId="77777777" w:rsidTr="00E644F1">
        <w:tc>
          <w:tcPr>
            <w:tcW w:w="1054" w:type="pct"/>
            <w:tcBorders>
              <w:top w:val="single" w:sz="4" w:space="0" w:color="auto"/>
            </w:tcBorders>
            <w:tcMar>
              <w:top w:w="160" w:type="nil"/>
              <w:left w:w="160" w:type="nil"/>
              <w:bottom w:w="160" w:type="nil"/>
              <w:right w:w="160" w:type="nil"/>
            </w:tcMar>
            <w:vAlign w:val="bottom"/>
          </w:tcPr>
          <w:p w14:paraId="12A31B2D" w14:textId="77777777" w:rsidR="008C0C68" w:rsidRPr="00CE79CC" w:rsidRDefault="008C0C68" w:rsidP="00E644F1">
            <w:pPr>
              <w:autoSpaceDE w:val="0"/>
              <w:autoSpaceDN w:val="0"/>
              <w:adjustRightInd w:val="0"/>
              <w:spacing w:after="0" w:line="240" w:lineRule="auto"/>
              <w:rPr>
                <w:rFonts w:cs="Times New Roman"/>
                <w:b/>
                <w:bCs w:val="0"/>
                <w:color w:val="262626"/>
              </w:rPr>
            </w:pPr>
          </w:p>
        </w:tc>
        <w:tc>
          <w:tcPr>
            <w:tcW w:w="1973" w:type="pct"/>
            <w:gridSpan w:val="2"/>
            <w:tcBorders>
              <w:top w:val="single" w:sz="4" w:space="0" w:color="auto"/>
            </w:tcBorders>
            <w:tcMar>
              <w:top w:w="60" w:type="nil"/>
              <w:left w:w="160" w:type="nil"/>
              <w:right w:w="60" w:type="nil"/>
            </w:tcMar>
            <w:vAlign w:val="bottom"/>
          </w:tcPr>
          <w:p w14:paraId="16565967" w14:textId="77777777" w:rsidR="008C0C68" w:rsidRPr="00CE79CC" w:rsidRDefault="008C0C68" w:rsidP="00E644F1">
            <w:pPr>
              <w:autoSpaceDE w:val="0"/>
              <w:autoSpaceDN w:val="0"/>
              <w:adjustRightInd w:val="0"/>
              <w:spacing w:after="0" w:line="240" w:lineRule="auto"/>
              <w:jc w:val="center"/>
              <w:rPr>
                <w:rFonts w:cs="Times New Roman"/>
                <w:b/>
                <w:bCs w:val="0"/>
                <w:color w:val="262626"/>
              </w:rPr>
            </w:pPr>
            <w:r w:rsidRPr="00CE79CC">
              <w:rPr>
                <w:rFonts w:cs="Times New Roman"/>
                <w:b/>
                <w:color w:val="262626"/>
              </w:rPr>
              <w:t>Community - Health Messaging</w:t>
            </w:r>
          </w:p>
        </w:tc>
        <w:tc>
          <w:tcPr>
            <w:tcW w:w="1973" w:type="pct"/>
            <w:gridSpan w:val="2"/>
            <w:tcBorders>
              <w:top w:val="single" w:sz="4" w:space="0" w:color="auto"/>
            </w:tcBorders>
            <w:tcMar>
              <w:top w:w="60" w:type="nil"/>
              <w:left w:w="160" w:type="nil"/>
              <w:right w:w="60" w:type="nil"/>
            </w:tcMar>
            <w:vAlign w:val="bottom"/>
          </w:tcPr>
          <w:p w14:paraId="09B085E9" w14:textId="77777777" w:rsidR="008C0C68" w:rsidRPr="00CE79CC" w:rsidRDefault="008C0C68" w:rsidP="00E644F1">
            <w:pPr>
              <w:autoSpaceDE w:val="0"/>
              <w:autoSpaceDN w:val="0"/>
              <w:adjustRightInd w:val="0"/>
              <w:spacing w:after="0" w:line="240" w:lineRule="auto"/>
              <w:jc w:val="center"/>
              <w:rPr>
                <w:rFonts w:cs="Times New Roman"/>
                <w:b/>
                <w:bCs w:val="0"/>
                <w:color w:val="262626"/>
              </w:rPr>
            </w:pPr>
            <w:r w:rsidRPr="00CE79CC">
              <w:rPr>
                <w:rFonts w:cs="Times New Roman"/>
                <w:b/>
                <w:color w:val="262626"/>
              </w:rPr>
              <w:t>Returning Students</w:t>
            </w:r>
          </w:p>
        </w:tc>
      </w:tr>
      <w:tr w:rsidR="008C0C68" w:rsidRPr="00CE79CC" w14:paraId="0E5CFED1" w14:textId="77777777" w:rsidTr="00E644F1">
        <w:tc>
          <w:tcPr>
            <w:tcW w:w="1054" w:type="pct"/>
            <w:tcBorders>
              <w:bottom w:val="single" w:sz="4" w:space="0" w:color="auto"/>
            </w:tcBorders>
            <w:tcMar>
              <w:top w:w="160" w:type="nil"/>
              <w:left w:w="160" w:type="nil"/>
              <w:bottom w:w="160" w:type="nil"/>
              <w:right w:w="160" w:type="nil"/>
            </w:tcMar>
            <w:vAlign w:val="bottom"/>
          </w:tcPr>
          <w:p w14:paraId="34311A3B" w14:textId="77777777" w:rsidR="008C0C68" w:rsidRPr="00CE79CC" w:rsidRDefault="008C0C68" w:rsidP="00E644F1">
            <w:pPr>
              <w:autoSpaceDE w:val="0"/>
              <w:autoSpaceDN w:val="0"/>
              <w:adjustRightInd w:val="0"/>
              <w:spacing w:after="0" w:line="240" w:lineRule="auto"/>
              <w:rPr>
                <w:rFonts w:cs="Times New Roman"/>
                <w:b/>
                <w:bCs w:val="0"/>
                <w:color w:val="262626"/>
              </w:rPr>
            </w:pPr>
            <w:r w:rsidRPr="00CE79CC">
              <w:rPr>
                <w:rFonts w:cs="Times New Roman"/>
                <w:b/>
                <w:color w:val="262626"/>
              </w:rPr>
              <w:t> </w:t>
            </w:r>
          </w:p>
        </w:tc>
        <w:tc>
          <w:tcPr>
            <w:tcW w:w="986" w:type="pct"/>
            <w:tcBorders>
              <w:bottom w:val="single" w:sz="4" w:space="0" w:color="auto"/>
            </w:tcBorders>
            <w:tcMar>
              <w:top w:w="160" w:type="nil"/>
              <w:left w:w="160" w:type="nil"/>
              <w:bottom w:w="160" w:type="nil"/>
              <w:right w:w="160" w:type="nil"/>
            </w:tcMar>
            <w:vAlign w:val="bottom"/>
          </w:tcPr>
          <w:p w14:paraId="5AC810FD" w14:textId="77777777" w:rsidR="008C0C68" w:rsidRPr="00CE79CC" w:rsidRDefault="008C0C68" w:rsidP="00E644F1">
            <w:pPr>
              <w:autoSpaceDE w:val="0"/>
              <w:autoSpaceDN w:val="0"/>
              <w:adjustRightInd w:val="0"/>
              <w:spacing w:after="0" w:line="240" w:lineRule="auto"/>
              <w:rPr>
                <w:rFonts w:cs="Times New Roman"/>
                <w:b/>
                <w:bCs w:val="0"/>
                <w:color w:val="262626"/>
              </w:rPr>
            </w:pPr>
            <w:r w:rsidRPr="00CE79CC">
              <w:rPr>
                <w:rFonts w:cs="Times New Roman"/>
                <w:b/>
                <w:color w:val="262626"/>
              </w:rPr>
              <w:t>Negative</w:t>
            </w:r>
          </w:p>
        </w:tc>
        <w:tc>
          <w:tcPr>
            <w:tcW w:w="986" w:type="pct"/>
            <w:tcBorders>
              <w:bottom w:val="single" w:sz="4" w:space="0" w:color="auto"/>
            </w:tcBorders>
            <w:tcMar>
              <w:top w:w="160" w:type="nil"/>
              <w:left w:w="160" w:type="nil"/>
              <w:bottom w:w="160" w:type="nil"/>
              <w:right w:w="160" w:type="nil"/>
            </w:tcMar>
            <w:vAlign w:val="bottom"/>
          </w:tcPr>
          <w:p w14:paraId="4840A5A8" w14:textId="77777777" w:rsidR="008C0C68" w:rsidRPr="00CE79CC" w:rsidRDefault="008C0C68" w:rsidP="00E644F1">
            <w:pPr>
              <w:autoSpaceDE w:val="0"/>
              <w:autoSpaceDN w:val="0"/>
              <w:adjustRightInd w:val="0"/>
              <w:spacing w:after="0" w:line="240" w:lineRule="auto"/>
              <w:rPr>
                <w:rFonts w:cs="Times New Roman"/>
                <w:b/>
                <w:bCs w:val="0"/>
                <w:color w:val="262626"/>
              </w:rPr>
            </w:pPr>
            <w:r w:rsidRPr="00CE79CC">
              <w:rPr>
                <w:rFonts w:cs="Times New Roman"/>
                <w:b/>
                <w:color w:val="262626"/>
              </w:rPr>
              <w:t>Positive</w:t>
            </w:r>
          </w:p>
        </w:tc>
        <w:tc>
          <w:tcPr>
            <w:tcW w:w="986" w:type="pct"/>
            <w:tcBorders>
              <w:bottom w:val="single" w:sz="4" w:space="0" w:color="auto"/>
            </w:tcBorders>
            <w:tcMar>
              <w:top w:w="160" w:type="nil"/>
              <w:left w:w="160" w:type="nil"/>
              <w:bottom w:w="160" w:type="nil"/>
              <w:right w:w="160" w:type="nil"/>
            </w:tcMar>
            <w:vAlign w:val="bottom"/>
          </w:tcPr>
          <w:p w14:paraId="731FFF83" w14:textId="77777777" w:rsidR="008C0C68" w:rsidRPr="00CE79CC" w:rsidRDefault="008C0C68" w:rsidP="00E644F1">
            <w:pPr>
              <w:autoSpaceDE w:val="0"/>
              <w:autoSpaceDN w:val="0"/>
              <w:adjustRightInd w:val="0"/>
              <w:spacing w:after="0" w:line="240" w:lineRule="auto"/>
              <w:rPr>
                <w:rFonts w:cs="Times New Roman"/>
                <w:b/>
                <w:bCs w:val="0"/>
                <w:color w:val="262626"/>
              </w:rPr>
            </w:pPr>
            <w:r w:rsidRPr="00CE79CC">
              <w:rPr>
                <w:rFonts w:cs="Times New Roman"/>
                <w:b/>
                <w:color w:val="262626"/>
              </w:rPr>
              <w:t>Negative</w:t>
            </w:r>
          </w:p>
        </w:tc>
        <w:tc>
          <w:tcPr>
            <w:tcW w:w="987" w:type="pct"/>
            <w:tcBorders>
              <w:bottom w:val="single" w:sz="4" w:space="0" w:color="auto"/>
            </w:tcBorders>
            <w:tcMar>
              <w:top w:w="160" w:type="nil"/>
              <w:left w:w="160" w:type="nil"/>
              <w:bottom w:w="160" w:type="nil"/>
              <w:right w:w="160" w:type="nil"/>
            </w:tcMar>
            <w:vAlign w:val="bottom"/>
          </w:tcPr>
          <w:p w14:paraId="2D9A2A7E" w14:textId="77777777" w:rsidR="008C0C68" w:rsidRPr="00CE79CC" w:rsidRDefault="008C0C68" w:rsidP="00E644F1">
            <w:pPr>
              <w:autoSpaceDE w:val="0"/>
              <w:autoSpaceDN w:val="0"/>
              <w:adjustRightInd w:val="0"/>
              <w:spacing w:after="0" w:line="240" w:lineRule="auto"/>
              <w:rPr>
                <w:rFonts w:cs="Times New Roman"/>
                <w:b/>
                <w:bCs w:val="0"/>
                <w:color w:val="262626"/>
              </w:rPr>
            </w:pPr>
            <w:r w:rsidRPr="00CE79CC">
              <w:rPr>
                <w:rFonts w:cs="Times New Roman"/>
                <w:b/>
                <w:color w:val="262626"/>
              </w:rPr>
              <w:t>Positive</w:t>
            </w:r>
          </w:p>
        </w:tc>
      </w:tr>
      <w:tr w:rsidR="008C0C68" w:rsidRPr="00CE79CC" w14:paraId="30D45F0D" w14:textId="77777777" w:rsidTr="00E644F1">
        <w:tc>
          <w:tcPr>
            <w:tcW w:w="1054" w:type="pct"/>
            <w:tcBorders>
              <w:top w:val="single" w:sz="4" w:space="0" w:color="auto"/>
              <w:bottom w:val="single" w:sz="4" w:space="0" w:color="auto"/>
            </w:tcBorders>
            <w:tcMar>
              <w:top w:w="160" w:type="nil"/>
              <w:left w:w="160" w:type="nil"/>
              <w:bottom w:w="160" w:type="nil"/>
              <w:right w:w="160" w:type="nil"/>
            </w:tcMar>
          </w:tcPr>
          <w:p w14:paraId="20A83FA4" w14:textId="77777777" w:rsidR="008C0C68" w:rsidRPr="00CE79CC" w:rsidRDefault="008C0C68" w:rsidP="00E644F1">
            <w:pPr>
              <w:autoSpaceDE w:val="0"/>
              <w:autoSpaceDN w:val="0"/>
              <w:adjustRightInd w:val="0"/>
              <w:spacing w:after="0" w:line="240" w:lineRule="auto"/>
              <w:rPr>
                <w:rFonts w:cs="Times New Roman"/>
                <w:color w:val="262626"/>
              </w:rPr>
            </w:pPr>
          </w:p>
        </w:tc>
        <w:tc>
          <w:tcPr>
            <w:tcW w:w="986" w:type="pct"/>
            <w:tcBorders>
              <w:top w:val="single" w:sz="4" w:space="0" w:color="auto"/>
              <w:bottom w:val="single" w:sz="4" w:space="0" w:color="auto"/>
            </w:tcBorders>
            <w:tcMar>
              <w:top w:w="160" w:type="nil"/>
              <w:left w:w="160" w:type="nil"/>
              <w:bottom w:w="160" w:type="nil"/>
              <w:right w:w="160" w:type="nil"/>
            </w:tcMar>
          </w:tcPr>
          <w:p w14:paraId="719E3464"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(N=804)</w:t>
            </w:r>
          </w:p>
        </w:tc>
        <w:tc>
          <w:tcPr>
            <w:tcW w:w="986" w:type="pct"/>
            <w:tcBorders>
              <w:top w:val="single" w:sz="4" w:space="0" w:color="auto"/>
              <w:bottom w:val="single" w:sz="4" w:space="0" w:color="auto"/>
            </w:tcBorders>
            <w:tcMar>
              <w:top w:w="160" w:type="nil"/>
              <w:left w:w="160" w:type="nil"/>
              <w:bottom w:w="160" w:type="nil"/>
              <w:right w:w="160" w:type="nil"/>
            </w:tcMar>
          </w:tcPr>
          <w:p w14:paraId="5D4CDAE9"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(N=31)</w:t>
            </w:r>
          </w:p>
        </w:tc>
        <w:tc>
          <w:tcPr>
            <w:tcW w:w="986" w:type="pct"/>
            <w:tcBorders>
              <w:top w:val="single" w:sz="4" w:space="0" w:color="auto"/>
              <w:bottom w:val="single" w:sz="4" w:space="0" w:color="auto"/>
            </w:tcBorders>
            <w:tcMar>
              <w:top w:w="160" w:type="nil"/>
              <w:left w:w="160" w:type="nil"/>
              <w:bottom w:w="160" w:type="nil"/>
              <w:right w:w="160" w:type="nil"/>
            </w:tcMar>
          </w:tcPr>
          <w:p w14:paraId="6876FCC6"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(N=476)</w:t>
            </w:r>
          </w:p>
        </w:tc>
        <w:tc>
          <w:tcPr>
            <w:tcW w:w="987" w:type="pct"/>
            <w:tcBorders>
              <w:top w:val="single" w:sz="4" w:space="0" w:color="auto"/>
              <w:bottom w:val="single" w:sz="4" w:space="0" w:color="auto"/>
            </w:tcBorders>
            <w:tcMar>
              <w:top w:w="160" w:type="nil"/>
              <w:left w:w="160" w:type="nil"/>
              <w:bottom w:w="160" w:type="nil"/>
              <w:right w:w="160" w:type="nil"/>
            </w:tcMar>
          </w:tcPr>
          <w:p w14:paraId="37CC39DB"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(N=208)</w:t>
            </w:r>
          </w:p>
        </w:tc>
      </w:tr>
      <w:tr w:rsidR="008C0C68" w:rsidRPr="00CE79CC" w14:paraId="20E618EE" w14:textId="77777777" w:rsidTr="00E644F1">
        <w:tc>
          <w:tcPr>
            <w:tcW w:w="5000" w:type="pct"/>
            <w:gridSpan w:val="5"/>
            <w:tcBorders>
              <w:top w:val="single" w:sz="4" w:space="0" w:color="auto"/>
            </w:tcBorders>
            <w:tcMar>
              <w:top w:w="160" w:type="nil"/>
              <w:left w:w="160" w:type="nil"/>
              <w:bottom w:w="160" w:type="nil"/>
              <w:right w:w="160" w:type="nil"/>
            </w:tcMar>
          </w:tcPr>
          <w:p w14:paraId="5E4F3D0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b/>
                <w:color w:val="262626"/>
              </w:rPr>
              <w:t>Mask Wearing</w:t>
            </w:r>
          </w:p>
        </w:tc>
      </w:tr>
      <w:tr w:rsidR="008C0C68" w:rsidRPr="00CE79CC" w14:paraId="7BDF4C35" w14:textId="77777777" w:rsidTr="00E644F1">
        <w:tc>
          <w:tcPr>
            <w:tcW w:w="1054" w:type="pct"/>
            <w:tcMar>
              <w:top w:w="560" w:type="nil"/>
              <w:left w:w="160" w:type="nil"/>
              <w:bottom w:w="160" w:type="nil"/>
              <w:right w:w="160" w:type="nil"/>
            </w:tcMar>
          </w:tcPr>
          <w:p w14:paraId="365729F2"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Always</w:t>
            </w:r>
          </w:p>
        </w:tc>
        <w:tc>
          <w:tcPr>
            <w:tcW w:w="986" w:type="pct"/>
            <w:tcMar>
              <w:top w:w="160" w:type="nil"/>
              <w:left w:w="160" w:type="nil"/>
              <w:bottom w:w="160" w:type="nil"/>
              <w:right w:w="160" w:type="nil"/>
            </w:tcMar>
          </w:tcPr>
          <w:p w14:paraId="48F0E754"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610 (75.9%)</w:t>
            </w:r>
          </w:p>
        </w:tc>
        <w:tc>
          <w:tcPr>
            <w:tcW w:w="986" w:type="pct"/>
            <w:tcMar>
              <w:top w:w="160" w:type="nil"/>
              <w:left w:w="160" w:type="nil"/>
              <w:bottom w:w="160" w:type="nil"/>
              <w:right w:w="160" w:type="nil"/>
            </w:tcMar>
          </w:tcPr>
          <w:p w14:paraId="5CE7671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23 (74.2%)</w:t>
            </w:r>
          </w:p>
        </w:tc>
        <w:tc>
          <w:tcPr>
            <w:tcW w:w="986" w:type="pct"/>
            <w:tcMar>
              <w:top w:w="160" w:type="nil"/>
              <w:left w:w="160" w:type="nil"/>
              <w:bottom w:w="160" w:type="nil"/>
              <w:right w:w="160" w:type="nil"/>
            </w:tcMar>
          </w:tcPr>
          <w:p w14:paraId="346BCF6D"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410 (86.1%)</w:t>
            </w:r>
          </w:p>
        </w:tc>
        <w:tc>
          <w:tcPr>
            <w:tcW w:w="987" w:type="pct"/>
            <w:tcMar>
              <w:top w:w="160" w:type="nil"/>
              <w:left w:w="160" w:type="nil"/>
              <w:bottom w:w="160" w:type="nil"/>
              <w:right w:w="160" w:type="nil"/>
            </w:tcMar>
          </w:tcPr>
          <w:p w14:paraId="27016729"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183 (88.0%)</w:t>
            </w:r>
          </w:p>
        </w:tc>
      </w:tr>
      <w:tr w:rsidR="008C0C68" w:rsidRPr="00CE79CC" w14:paraId="1B495EC0" w14:textId="77777777" w:rsidTr="00E644F1">
        <w:tc>
          <w:tcPr>
            <w:tcW w:w="1054" w:type="pct"/>
            <w:tcMar>
              <w:top w:w="560" w:type="nil"/>
              <w:left w:w="160" w:type="nil"/>
              <w:bottom w:w="160" w:type="nil"/>
              <w:right w:w="160" w:type="nil"/>
            </w:tcMar>
          </w:tcPr>
          <w:p w14:paraId="407B95EC"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Not Always</w:t>
            </w:r>
          </w:p>
        </w:tc>
        <w:tc>
          <w:tcPr>
            <w:tcW w:w="986" w:type="pct"/>
            <w:tcMar>
              <w:top w:w="160" w:type="nil"/>
              <w:left w:w="160" w:type="nil"/>
              <w:bottom w:w="160" w:type="nil"/>
              <w:right w:w="160" w:type="nil"/>
            </w:tcMar>
          </w:tcPr>
          <w:p w14:paraId="6033648F"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191 (23.8%)</w:t>
            </w:r>
          </w:p>
        </w:tc>
        <w:tc>
          <w:tcPr>
            <w:tcW w:w="986" w:type="pct"/>
            <w:tcMar>
              <w:top w:w="160" w:type="nil"/>
              <w:left w:w="160" w:type="nil"/>
              <w:bottom w:w="160" w:type="nil"/>
              <w:right w:w="160" w:type="nil"/>
            </w:tcMar>
          </w:tcPr>
          <w:p w14:paraId="2EA5BC62"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8 (25.8%)</w:t>
            </w:r>
          </w:p>
        </w:tc>
        <w:tc>
          <w:tcPr>
            <w:tcW w:w="986" w:type="pct"/>
            <w:tcMar>
              <w:top w:w="160" w:type="nil"/>
              <w:left w:w="160" w:type="nil"/>
              <w:bottom w:w="160" w:type="nil"/>
              <w:right w:w="160" w:type="nil"/>
            </w:tcMar>
          </w:tcPr>
          <w:p w14:paraId="2738CDCD"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65 (13.7%)</w:t>
            </w:r>
          </w:p>
        </w:tc>
        <w:tc>
          <w:tcPr>
            <w:tcW w:w="987" w:type="pct"/>
            <w:tcMar>
              <w:top w:w="160" w:type="nil"/>
              <w:left w:w="160" w:type="nil"/>
              <w:bottom w:w="160" w:type="nil"/>
              <w:right w:w="160" w:type="nil"/>
            </w:tcMar>
          </w:tcPr>
          <w:p w14:paraId="493BEEEA"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24 (11.5%)</w:t>
            </w:r>
          </w:p>
        </w:tc>
      </w:tr>
      <w:tr w:rsidR="008C0C68" w:rsidRPr="00CE79CC" w14:paraId="3B25C91D" w14:textId="77777777" w:rsidTr="00E644F1">
        <w:tc>
          <w:tcPr>
            <w:tcW w:w="1054" w:type="pct"/>
            <w:tcBorders>
              <w:bottom w:val="single" w:sz="4" w:space="0" w:color="auto"/>
            </w:tcBorders>
            <w:tcMar>
              <w:top w:w="560" w:type="nil"/>
              <w:left w:w="160" w:type="nil"/>
              <w:bottom w:w="160" w:type="nil"/>
              <w:right w:w="160" w:type="nil"/>
            </w:tcMar>
          </w:tcPr>
          <w:p w14:paraId="68C4BA1F"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Missing</w:t>
            </w:r>
          </w:p>
        </w:tc>
        <w:tc>
          <w:tcPr>
            <w:tcW w:w="986" w:type="pct"/>
            <w:tcBorders>
              <w:bottom w:val="single" w:sz="4" w:space="0" w:color="auto"/>
            </w:tcBorders>
            <w:tcMar>
              <w:top w:w="160" w:type="nil"/>
              <w:left w:w="160" w:type="nil"/>
              <w:bottom w:w="160" w:type="nil"/>
              <w:right w:w="160" w:type="nil"/>
            </w:tcMar>
          </w:tcPr>
          <w:p w14:paraId="5E253750"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3 (0.4%)</w:t>
            </w:r>
          </w:p>
        </w:tc>
        <w:tc>
          <w:tcPr>
            <w:tcW w:w="986" w:type="pct"/>
            <w:tcBorders>
              <w:bottom w:val="single" w:sz="4" w:space="0" w:color="auto"/>
            </w:tcBorders>
            <w:tcMar>
              <w:top w:w="160" w:type="nil"/>
              <w:left w:w="160" w:type="nil"/>
              <w:bottom w:w="160" w:type="nil"/>
              <w:right w:w="160" w:type="nil"/>
            </w:tcMar>
          </w:tcPr>
          <w:p w14:paraId="54C7E229"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0 (0%)</w:t>
            </w:r>
          </w:p>
        </w:tc>
        <w:tc>
          <w:tcPr>
            <w:tcW w:w="986" w:type="pct"/>
            <w:tcBorders>
              <w:bottom w:val="single" w:sz="4" w:space="0" w:color="auto"/>
            </w:tcBorders>
            <w:tcMar>
              <w:top w:w="160" w:type="nil"/>
              <w:left w:w="160" w:type="nil"/>
              <w:bottom w:w="160" w:type="nil"/>
              <w:right w:w="160" w:type="nil"/>
            </w:tcMar>
          </w:tcPr>
          <w:p w14:paraId="133C2087"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(0.2%)</w:t>
            </w:r>
          </w:p>
        </w:tc>
        <w:tc>
          <w:tcPr>
            <w:tcW w:w="987" w:type="pct"/>
            <w:tcBorders>
              <w:bottom w:val="single" w:sz="4" w:space="0" w:color="auto"/>
            </w:tcBorders>
            <w:tcMar>
              <w:top w:w="160" w:type="nil"/>
              <w:left w:w="160" w:type="nil"/>
              <w:bottom w:w="160" w:type="nil"/>
              <w:right w:w="160" w:type="nil"/>
            </w:tcMar>
          </w:tcPr>
          <w:p w14:paraId="04B8A886"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(0.5%)</w:t>
            </w:r>
          </w:p>
        </w:tc>
      </w:tr>
      <w:tr w:rsidR="008C0C68" w:rsidRPr="00CE79CC" w14:paraId="492FA28F" w14:textId="77777777" w:rsidTr="00E644F1">
        <w:tc>
          <w:tcPr>
            <w:tcW w:w="5000" w:type="pct"/>
            <w:gridSpan w:val="5"/>
            <w:tcBorders>
              <w:top w:val="single" w:sz="4" w:space="0" w:color="auto"/>
            </w:tcBorders>
            <w:tcMar>
              <w:top w:w="160" w:type="nil"/>
              <w:left w:w="160" w:type="nil"/>
              <w:bottom w:w="160" w:type="nil"/>
              <w:right w:w="160" w:type="nil"/>
            </w:tcMar>
          </w:tcPr>
          <w:p w14:paraId="33A12C5C"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b/>
                <w:color w:val="262626"/>
              </w:rPr>
              <w:t>Distancing in Public</w:t>
            </w:r>
          </w:p>
        </w:tc>
      </w:tr>
      <w:tr w:rsidR="008C0C68" w:rsidRPr="00CE79CC" w14:paraId="4C42EC88" w14:textId="77777777" w:rsidTr="00E644F1">
        <w:tc>
          <w:tcPr>
            <w:tcW w:w="1054" w:type="pct"/>
            <w:tcMar>
              <w:top w:w="560" w:type="nil"/>
              <w:left w:w="160" w:type="nil"/>
              <w:bottom w:w="160" w:type="nil"/>
              <w:right w:w="160" w:type="nil"/>
            </w:tcMar>
          </w:tcPr>
          <w:p w14:paraId="437C1952"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Always</w:t>
            </w:r>
          </w:p>
        </w:tc>
        <w:tc>
          <w:tcPr>
            <w:tcW w:w="986" w:type="pct"/>
            <w:tcMar>
              <w:top w:w="160" w:type="nil"/>
              <w:left w:w="160" w:type="nil"/>
              <w:bottom w:w="160" w:type="nil"/>
              <w:right w:w="160" w:type="nil"/>
            </w:tcMar>
          </w:tcPr>
          <w:p w14:paraId="0AE442AC"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242 (30.1%)</w:t>
            </w:r>
          </w:p>
        </w:tc>
        <w:tc>
          <w:tcPr>
            <w:tcW w:w="986" w:type="pct"/>
            <w:tcMar>
              <w:top w:w="160" w:type="nil"/>
              <w:left w:w="160" w:type="nil"/>
              <w:bottom w:w="160" w:type="nil"/>
              <w:right w:w="160" w:type="nil"/>
            </w:tcMar>
          </w:tcPr>
          <w:p w14:paraId="71DE78D4"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7 (22.6%)</w:t>
            </w:r>
          </w:p>
        </w:tc>
        <w:tc>
          <w:tcPr>
            <w:tcW w:w="986" w:type="pct"/>
            <w:tcMar>
              <w:top w:w="160" w:type="nil"/>
              <w:left w:w="160" w:type="nil"/>
              <w:bottom w:w="160" w:type="nil"/>
              <w:right w:w="160" w:type="nil"/>
            </w:tcMar>
          </w:tcPr>
          <w:p w14:paraId="7ECE4DA1"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150 (31.5%)</w:t>
            </w:r>
          </w:p>
        </w:tc>
        <w:tc>
          <w:tcPr>
            <w:tcW w:w="987" w:type="pct"/>
            <w:tcMar>
              <w:top w:w="160" w:type="nil"/>
              <w:left w:w="160" w:type="nil"/>
              <w:bottom w:w="160" w:type="nil"/>
              <w:right w:w="160" w:type="nil"/>
            </w:tcMar>
          </w:tcPr>
          <w:p w14:paraId="4B8519FD"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48 (23.1%)</w:t>
            </w:r>
          </w:p>
        </w:tc>
      </w:tr>
      <w:tr w:rsidR="008C0C68" w:rsidRPr="00CE79CC" w14:paraId="779C5BC5" w14:textId="77777777" w:rsidTr="00E644F1">
        <w:tc>
          <w:tcPr>
            <w:tcW w:w="1054" w:type="pct"/>
            <w:tcMar>
              <w:top w:w="560" w:type="nil"/>
              <w:left w:w="160" w:type="nil"/>
              <w:bottom w:w="160" w:type="nil"/>
              <w:right w:w="160" w:type="nil"/>
            </w:tcMar>
          </w:tcPr>
          <w:p w14:paraId="3E78ED48"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Not Always</w:t>
            </w:r>
          </w:p>
        </w:tc>
        <w:tc>
          <w:tcPr>
            <w:tcW w:w="986" w:type="pct"/>
            <w:tcMar>
              <w:top w:w="160" w:type="nil"/>
              <w:left w:w="160" w:type="nil"/>
              <w:bottom w:w="160" w:type="nil"/>
              <w:right w:w="160" w:type="nil"/>
            </w:tcMar>
          </w:tcPr>
          <w:p w14:paraId="4033AEC2"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558 (69.4%)</w:t>
            </w:r>
          </w:p>
        </w:tc>
        <w:tc>
          <w:tcPr>
            <w:tcW w:w="986" w:type="pct"/>
            <w:tcMar>
              <w:top w:w="160" w:type="nil"/>
              <w:left w:w="160" w:type="nil"/>
              <w:bottom w:w="160" w:type="nil"/>
              <w:right w:w="160" w:type="nil"/>
            </w:tcMar>
          </w:tcPr>
          <w:p w14:paraId="19C42CE2"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24 (77.4%)</w:t>
            </w:r>
          </w:p>
        </w:tc>
        <w:tc>
          <w:tcPr>
            <w:tcW w:w="986" w:type="pct"/>
            <w:tcMar>
              <w:top w:w="160" w:type="nil"/>
              <w:left w:w="160" w:type="nil"/>
              <w:bottom w:w="160" w:type="nil"/>
              <w:right w:w="160" w:type="nil"/>
            </w:tcMar>
          </w:tcPr>
          <w:p w14:paraId="15FA9CD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324 (68.1%)</w:t>
            </w:r>
          </w:p>
        </w:tc>
        <w:tc>
          <w:tcPr>
            <w:tcW w:w="987" w:type="pct"/>
            <w:tcMar>
              <w:top w:w="160" w:type="nil"/>
              <w:left w:w="160" w:type="nil"/>
              <w:bottom w:w="160" w:type="nil"/>
              <w:right w:w="160" w:type="nil"/>
            </w:tcMar>
          </w:tcPr>
          <w:p w14:paraId="4A609E0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159 (76.4%)</w:t>
            </w:r>
          </w:p>
        </w:tc>
      </w:tr>
      <w:tr w:rsidR="008C0C68" w:rsidRPr="00CE79CC" w14:paraId="368DCD43" w14:textId="77777777" w:rsidTr="00E644F1">
        <w:tc>
          <w:tcPr>
            <w:tcW w:w="1054" w:type="pct"/>
            <w:tcBorders>
              <w:bottom w:val="single" w:sz="4" w:space="0" w:color="auto"/>
            </w:tcBorders>
            <w:tcMar>
              <w:top w:w="560" w:type="nil"/>
              <w:left w:w="160" w:type="nil"/>
              <w:bottom w:w="160" w:type="nil"/>
              <w:right w:w="160" w:type="nil"/>
            </w:tcMar>
          </w:tcPr>
          <w:p w14:paraId="447988DB"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Missing</w:t>
            </w:r>
          </w:p>
        </w:tc>
        <w:tc>
          <w:tcPr>
            <w:tcW w:w="986" w:type="pct"/>
            <w:tcBorders>
              <w:bottom w:val="single" w:sz="4" w:space="0" w:color="auto"/>
            </w:tcBorders>
            <w:tcMar>
              <w:top w:w="160" w:type="nil"/>
              <w:left w:w="160" w:type="nil"/>
              <w:bottom w:w="160" w:type="nil"/>
              <w:right w:w="160" w:type="nil"/>
            </w:tcMar>
          </w:tcPr>
          <w:p w14:paraId="05840FC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4 (0.5%)</w:t>
            </w:r>
          </w:p>
        </w:tc>
        <w:tc>
          <w:tcPr>
            <w:tcW w:w="986" w:type="pct"/>
            <w:tcBorders>
              <w:bottom w:val="single" w:sz="4" w:space="0" w:color="auto"/>
            </w:tcBorders>
            <w:tcMar>
              <w:top w:w="160" w:type="nil"/>
              <w:left w:w="160" w:type="nil"/>
              <w:bottom w:w="160" w:type="nil"/>
              <w:right w:w="160" w:type="nil"/>
            </w:tcMar>
          </w:tcPr>
          <w:p w14:paraId="365F07EF"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0 (0%)</w:t>
            </w:r>
          </w:p>
        </w:tc>
        <w:tc>
          <w:tcPr>
            <w:tcW w:w="986" w:type="pct"/>
            <w:tcBorders>
              <w:bottom w:val="single" w:sz="4" w:space="0" w:color="auto"/>
            </w:tcBorders>
            <w:tcMar>
              <w:top w:w="160" w:type="nil"/>
              <w:left w:w="160" w:type="nil"/>
              <w:bottom w:w="160" w:type="nil"/>
              <w:right w:w="160" w:type="nil"/>
            </w:tcMar>
          </w:tcPr>
          <w:p w14:paraId="76C03B34"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 (0.4%)</w:t>
            </w:r>
          </w:p>
        </w:tc>
        <w:tc>
          <w:tcPr>
            <w:tcW w:w="987" w:type="pct"/>
            <w:tcBorders>
              <w:bottom w:val="single" w:sz="4" w:space="0" w:color="auto"/>
            </w:tcBorders>
            <w:tcMar>
              <w:top w:w="160" w:type="nil"/>
              <w:left w:w="160" w:type="nil"/>
              <w:bottom w:w="160" w:type="nil"/>
              <w:right w:w="160" w:type="nil"/>
            </w:tcMar>
          </w:tcPr>
          <w:p w14:paraId="47AC42DC"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(0.5%)</w:t>
            </w:r>
          </w:p>
        </w:tc>
      </w:tr>
      <w:tr w:rsidR="008C0C68" w:rsidRPr="00CE79CC" w14:paraId="4D95C5CB" w14:textId="77777777" w:rsidTr="00E644F1">
        <w:tc>
          <w:tcPr>
            <w:tcW w:w="5000" w:type="pct"/>
            <w:gridSpan w:val="5"/>
            <w:tcBorders>
              <w:top w:val="single" w:sz="4" w:space="0" w:color="auto"/>
            </w:tcBorders>
            <w:tcMar>
              <w:top w:w="160" w:type="nil"/>
              <w:left w:w="160" w:type="nil"/>
              <w:bottom w:w="160" w:type="nil"/>
              <w:right w:w="160" w:type="nil"/>
            </w:tcMar>
          </w:tcPr>
          <w:p w14:paraId="790846EC"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b/>
                <w:color w:val="262626"/>
              </w:rPr>
              <w:t>Avoiding crowds of &gt;25 people</w:t>
            </w:r>
          </w:p>
        </w:tc>
      </w:tr>
      <w:tr w:rsidR="008C0C68" w:rsidRPr="00CE79CC" w14:paraId="0497A8EE" w14:textId="77777777" w:rsidTr="00E644F1">
        <w:tc>
          <w:tcPr>
            <w:tcW w:w="1054" w:type="pct"/>
            <w:tcMar>
              <w:top w:w="560" w:type="nil"/>
              <w:left w:w="160" w:type="nil"/>
              <w:bottom w:w="160" w:type="nil"/>
              <w:right w:w="160" w:type="nil"/>
            </w:tcMar>
          </w:tcPr>
          <w:p w14:paraId="05D1D28B"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Always</w:t>
            </w:r>
          </w:p>
        </w:tc>
        <w:tc>
          <w:tcPr>
            <w:tcW w:w="986" w:type="pct"/>
            <w:tcMar>
              <w:top w:w="160" w:type="nil"/>
              <w:left w:w="160" w:type="nil"/>
              <w:bottom w:w="160" w:type="nil"/>
              <w:right w:w="160" w:type="nil"/>
            </w:tcMar>
          </w:tcPr>
          <w:p w14:paraId="5D86D125"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530 (65.9%)</w:t>
            </w:r>
          </w:p>
        </w:tc>
        <w:tc>
          <w:tcPr>
            <w:tcW w:w="986" w:type="pct"/>
            <w:tcMar>
              <w:top w:w="160" w:type="nil"/>
              <w:left w:w="160" w:type="nil"/>
              <w:bottom w:w="160" w:type="nil"/>
              <w:right w:w="160" w:type="nil"/>
            </w:tcMar>
          </w:tcPr>
          <w:p w14:paraId="1812708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19 (61.3%)</w:t>
            </w:r>
          </w:p>
        </w:tc>
        <w:tc>
          <w:tcPr>
            <w:tcW w:w="986" w:type="pct"/>
            <w:tcMar>
              <w:top w:w="160" w:type="nil"/>
              <w:left w:w="160" w:type="nil"/>
              <w:bottom w:w="160" w:type="nil"/>
              <w:right w:w="160" w:type="nil"/>
            </w:tcMar>
          </w:tcPr>
          <w:p w14:paraId="1674B195"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219 (46.0%)</w:t>
            </w:r>
          </w:p>
        </w:tc>
        <w:tc>
          <w:tcPr>
            <w:tcW w:w="987" w:type="pct"/>
            <w:tcMar>
              <w:top w:w="160" w:type="nil"/>
              <w:left w:w="160" w:type="nil"/>
              <w:bottom w:w="160" w:type="nil"/>
              <w:right w:w="160" w:type="nil"/>
            </w:tcMar>
          </w:tcPr>
          <w:p w14:paraId="15CD6B3C"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74 (35.6%)</w:t>
            </w:r>
          </w:p>
        </w:tc>
      </w:tr>
      <w:tr w:rsidR="008C0C68" w:rsidRPr="00CE79CC" w14:paraId="2DE1F1E6" w14:textId="77777777" w:rsidTr="00E644F1">
        <w:tc>
          <w:tcPr>
            <w:tcW w:w="1054" w:type="pct"/>
            <w:tcMar>
              <w:top w:w="560" w:type="nil"/>
              <w:left w:w="160" w:type="nil"/>
              <w:bottom w:w="160" w:type="nil"/>
              <w:right w:w="160" w:type="nil"/>
            </w:tcMar>
          </w:tcPr>
          <w:p w14:paraId="4938548E"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Not Always</w:t>
            </w:r>
          </w:p>
        </w:tc>
        <w:tc>
          <w:tcPr>
            <w:tcW w:w="986" w:type="pct"/>
            <w:tcMar>
              <w:top w:w="160" w:type="nil"/>
              <w:left w:w="160" w:type="nil"/>
              <w:bottom w:w="160" w:type="nil"/>
              <w:right w:w="160" w:type="nil"/>
            </w:tcMar>
          </w:tcPr>
          <w:p w14:paraId="111097DE"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273 (34.0%)</w:t>
            </w:r>
          </w:p>
        </w:tc>
        <w:tc>
          <w:tcPr>
            <w:tcW w:w="986" w:type="pct"/>
            <w:tcMar>
              <w:top w:w="160" w:type="nil"/>
              <w:left w:w="160" w:type="nil"/>
              <w:bottom w:w="160" w:type="nil"/>
              <w:right w:w="160" w:type="nil"/>
            </w:tcMar>
          </w:tcPr>
          <w:p w14:paraId="449ECFAD"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12 (38.7%)</w:t>
            </w:r>
          </w:p>
        </w:tc>
        <w:tc>
          <w:tcPr>
            <w:tcW w:w="986" w:type="pct"/>
            <w:tcMar>
              <w:top w:w="160" w:type="nil"/>
              <w:left w:w="160" w:type="nil"/>
              <w:bottom w:w="160" w:type="nil"/>
              <w:right w:w="160" w:type="nil"/>
            </w:tcMar>
          </w:tcPr>
          <w:p w14:paraId="1B920A40"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256 (53.8%)</w:t>
            </w:r>
          </w:p>
        </w:tc>
        <w:tc>
          <w:tcPr>
            <w:tcW w:w="987" w:type="pct"/>
            <w:tcMar>
              <w:top w:w="160" w:type="nil"/>
              <w:left w:w="160" w:type="nil"/>
              <w:bottom w:w="160" w:type="nil"/>
              <w:right w:w="160" w:type="nil"/>
            </w:tcMar>
          </w:tcPr>
          <w:p w14:paraId="4C9FEA07"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133 (63.9%)</w:t>
            </w:r>
          </w:p>
        </w:tc>
      </w:tr>
      <w:tr w:rsidR="008C0C68" w:rsidRPr="00CE79CC" w14:paraId="15ED6D2D" w14:textId="77777777" w:rsidTr="00E644F1">
        <w:tc>
          <w:tcPr>
            <w:tcW w:w="1054" w:type="pct"/>
            <w:tcBorders>
              <w:bottom w:val="single" w:sz="4" w:space="0" w:color="auto"/>
            </w:tcBorders>
            <w:tcMar>
              <w:top w:w="560" w:type="nil"/>
              <w:left w:w="160" w:type="nil"/>
              <w:bottom w:w="160" w:type="nil"/>
              <w:right w:w="160" w:type="nil"/>
            </w:tcMar>
          </w:tcPr>
          <w:p w14:paraId="5009D8D9" w14:textId="77777777" w:rsidR="008C0C68" w:rsidRPr="00CE79CC" w:rsidRDefault="008C0C68" w:rsidP="00E644F1">
            <w:pPr>
              <w:autoSpaceDE w:val="0"/>
              <w:autoSpaceDN w:val="0"/>
              <w:adjustRightInd w:val="0"/>
              <w:spacing w:after="0" w:line="240" w:lineRule="auto"/>
              <w:jc w:val="right"/>
              <w:rPr>
                <w:rFonts w:cs="Times New Roman"/>
                <w:color w:val="262626"/>
              </w:rPr>
            </w:pPr>
            <w:r w:rsidRPr="00CE79CC">
              <w:rPr>
                <w:rFonts w:cs="Times New Roman"/>
                <w:color w:val="262626"/>
              </w:rPr>
              <w:t>Missing</w:t>
            </w:r>
          </w:p>
        </w:tc>
        <w:tc>
          <w:tcPr>
            <w:tcW w:w="986" w:type="pct"/>
            <w:tcBorders>
              <w:bottom w:val="single" w:sz="4" w:space="0" w:color="auto"/>
            </w:tcBorders>
            <w:tcMar>
              <w:top w:w="160" w:type="nil"/>
              <w:left w:w="160" w:type="nil"/>
              <w:bottom w:w="160" w:type="nil"/>
              <w:right w:w="160" w:type="nil"/>
            </w:tcMar>
          </w:tcPr>
          <w:p w14:paraId="24D0E3EF"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(0.1%)</w:t>
            </w:r>
          </w:p>
        </w:tc>
        <w:tc>
          <w:tcPr>
            <w:tcW w:w="986" w:type="pct"/>
            <w:tcBorders>
              <w:bottom w:val="single" w:sz="4" w:space="0" w:color="auto"/>
            </w:tcBorders>
            <w:tcMar>
              <w:top w:w="160" w:type="nil"/>
              <w:left w:w="160" w:type="nil"/>
              <w:bottom w:w="160" w:type="nil"/>
              <w:right w:w="160" w:type="nil"/>
            </w:tcMar>
          </w:tcPr>
          <w:p w14:paraId="7CC51F43"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0 (0%)</w:t>
            </w:r>
          </w:p>
        </w:tc>
        <w:tc>
          <w:tcPr>
            <w:tcW w:w="986" w:type="pct"/>
            <w:tcBorders>
              <w:bottom w:val="single" w:sz="4" w:space="0" w:color="auto"/>
            </w:tcBorders>
            <w:tcMar>
              <w:top w:w="160" w:type="nil"/>
              <w:left w:w="160" w:type="nil"/>
              <w:bottom w:w="160" w:type="nil"/>
              <w:right w:w="160" w:type="nil"/>
            </w:tcMar>
          </w:tcPr>
          <w:p w14:paraId="314D4C92"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(0.2%)</w:t>
            </w:r>
          </w:p>
        </w:tc>
        <w:tc>
          <w:tcPr>
            <w:tcW w:w="987" w:type="pct"/>
            <w:tcBorders>
              <w:bottom w:val="single" w:sz="4" w:space="0" w:color="auto"/>
            </w:tcBorders>
            <w:tcMar>
              <w:top w:w="160" w:type="nil"/>
              <w:left w:w="160" w:type="nil"/>
              <w:bottom w:w="160" w:type="nil"/>
              <w:right w:w="160" w:type="nil"/>
            </w:tcMar>
          </w:tcPr>
          <w:p w14:paraId="7D7F40FF" w14:textId="77777777" w:rsidR="008C0C68" w:rsidRPr="00CE79CC" w:rsidRDefault="008C0C68" w:rsidP="00E644F1">
            <w:pPr>
              <w:autoSpaceDE w:val="0"/>
              <w:autoSpaceDN w:val="0"/>
              <w:adjustRightInd w:val="0"/>
              <w:spacing w:after="0" w:line="240" w:lineRule="auto"/>
              <w:rPr>
                <w:rFonts w:cs="Times New Roman"/>
                <w:color w:val="262626"/>
              </w:rPr>
            </w:pPr>
            <w:r w:rsidRPr="00CE79CC">
              <w:rPr>
                <w:rFonts w:cs="Times New Roman"/>
                <w:color w:val="262626"/>
              </w:rPr>
              <w:t>1 (0.5%)</w:t>
            </w:r>
          </w:p>
        </w:tc>
      </w:tr>
    </w:tbl>
    <w:p w14:paraId="74E7E374" w14:textId="77777777" w:rsidR="008C0C68" w:rsidRDefault="008C0C68">
      <w:pPr>
        <w:spacing w:before="0" w:after="200" w:line="240" w:lineRule="auto"/>
      </w:pPr>
      <w:r>
        <w:br w:type="page"/>
      </w:r>
    </w:p>
    <w:p w14:paraId="2F336201" w14:textId="7C5B3E88" w:rsidR="008C0C68" w:rsidRDefault="00AB3086" w:rsidP="008C0C68">
      <w:pPr>
        <w:pStyle w:val="BodyText"/>
      </w:pPr>
      <w:r>
        <w:lastRenderedPageBreak/>
        <w:t xml:space="preserve">Supplement </w:t>
      </w:r>
      <w:r w:rsidRPr="00AB3086">
        <w:t>Table 3: Wave 1 seroprevalence among community cohort members that are similar/not similar in age (&lt;= 30) and household income (&lt;= 50k USD p.a.) to returning students.</w:t>
      </w:r>
    </w:p>
    <w:tbl>
      <w:tblPr>
        <w:tblW w:w="3957" w:type="pct"/>
        <w:jc w:val="center"/>
        <w:tblLook w:val="0000" w:firstRow="0" w:lastRow="0" w:firstColumn="0" w:lastColumn="0" w:noHBand="0" w:noVBand="0"/>
      </w:tblPr>
      <w:tblGrid>
        <w:gridCol w:w="1978"/>
        <w:gridCol w:w="2714"/>
        <w:gridCol w:w="2716"/>
      </w:tblGrid>
      <w:tr w:rsidR="00903FB2" w:rsidRPr="00CE79CC" w14:paraId="6E10D378" w14:textId="77777777" w:rsidTr="00D94092">
        <w:trPr>
          <w:trHeight w:val="456"/>
          <w:jc w:val="center"/>
        </w:trPr>
        <w:tc>
          <w:tcPr>
            <w:tcW w:w="1335" w:type="pct"/>
            <w:tcBorders>
              <w:top w:val="single" w:sz="4" w:space="0" w:color="auto"/>
            </w:tcBorders>
            <w:tcMar>
              <w:top w:w="160" w:type="nil"/>
              <w:left w:w="160" w:type="nil"/>
              <w:bottom w:w="160" w:type="nil"/>
              <w:right w:w="160" w:type="nil"/>
            </w:tcMar>
            <w:vAlign w:val="bottom"/>
          </w:tcPr>
          <w:p w14:paraId="4794FECA" w14:textId="77777777" w:rsidR="00903FB2" w:rsidRPr="00CE79CC" w:rsidRDefault="00903FB2" w:rsidP="00E644F1">
            <w:pPr>
              <w:autoSpaceDE w:val="0"/>
              <w:autoSpaceDN w:val="0"/>
              <w:adjustRightInd w:val="0"/>
              <w:spacing w:after="0" w:line="240" w:lineRule="auto"/>
              <w:rPr>
                <w:rFonts w:cs="Times New Roman"/>
                <w:b/>
                <w:bCs w:val="0"/>
                <w:color w:val="262626"/>
              </w:rPr>
            </w:pPr>
          </w:p>
        </w:tc>
        <w:tc>
          <w:tcPr>
            <w:tcW w:w="1832" w:type="pct"/>
            <w:tcBorders>
              <w:top w:val="single" w:sz="4" w:space="0" w:color="auto"/>
            </w:tcBorders>
            <w:tcMar>
              <w:top w:w="60" w:type="nil"/>
              <w:left w:w="160" w:type="nil"/>
              <w:right w:w="60" w:type="nil"/>
            </w:tcMar>
            <w:vAlign w:val="bottom"/>
          </w:tcPr>
          <w:p w14:paraId="3CC1A016" w14:textId="0B708A9F" w:rsidR="00903FB2" w:rsidRPr="00D20D0D" w:rsidRDefault="00903FB2" w:rsidP="00E644F1">
            <w:pPr>
              <w:autoSpaceDE w:val="0"/>
              <w:autoSpaceDN w:val="0"/>
              <w:adjustRightInd w:val="0"/>
              <w:spacing w:after="0" w:line="240" w:lineRule="auto"/>
              <w:jc w:val="center"/>
              <w:rPr>
                <w:rFonts w:cs="Times New Roman"/>
                <w:b/>
                <w:color w:val="262626"/>
              </w:rPr>
            </w:pPr>
            <w:r w:rsidRPr="00A759B7">
              <w:rPr>
                <w:rFonts w:cs="Times New Roman"/>
                <w:b/>
                <w:bCs w:val="0"/>
                <w:color w:val="262626"/>
              </w:rPr>
              <w:t>No</w:t>
            </w:r>
            <w:r w:rsidRPr="00974CC2">
              <w:rPr>
                <w:rFonts w:cs="Times New Roman"/>
                <w:b/>
                <w:bCs w:val="0"/>
                <w:color w:val="262626"/>
              </w:rPr>
              <w:t>t</w:t>
            </w:r>
            <w:r w:rsidRPr="00D20D0D">
              <w:rPr>
                <w:rFonts w:cs="Times New Roman"/>
                <w:b/>
                <w:color w:val="262626"/>
              </w:rPr>
              <w:t xml:space="preserve"> Similar to Students</w:t>
            </w:r>
          </w:p>
        </w:tc>
        <w:tc>
          <w:tcPr>
            <w:tcW w:w="1833" w:type="pct"/>
            <w:tcBorders>
              <w:top w:val="single" w:sz="4" w:space="0" w:color="auto"/>
            </w:tcBorders>
            <w:vAlign w:val="bottom"/>
          </w:tcPr>
          <w:p w14:paraId="39FF6812" w14:textId="01039BCC" w:rsidR="00903FB2" w:rsidRPr="00D20D0D" w:rsidRDefault="00903FB2" w:rsidP="00E644F1">
            <w:pPr>
              <w:autoSpaceDE w:val="0"/>
              <w:autoSpaceDN w:val="0"/>
              <w:adjustRightInd w:val="0"/>
              <w:spacing w:after="0" w:line="240" w:lineRule="auto"/>
              <w:jc w:val="center"/>
              <w:rPr>
                <w:rFonts w:cs="Times New Roman"/>
                <w:b/>
                <w:color w:val="262626"/>
              </w:rPr>
            </w:pPr>
            <w:proofErr w:type="gramStart"/>
            <w:r w:rsidRPr="00D20D0D">
              <w:rPr>
                <w:rFonts w:cs="Times New Roman"/>
                <w:b/>
                <w:color w:val="262626"/>
              </w:rPr>
              <w:t>Similar to</w:t>
            </w:r>
            <w:proofErr w:type="gramEnd"/>
            <w:r w:rsidRPr="00D20D0D">
              <w:rPr>
                <w:rFonts w:cs="Times New Roman"/>
                <w:b/>
                <w:color w:val="262626"/>
              </w:rPr>
              <w:t xml:space="preserve"> Students</w:t>
            </w:r>
          </w:p>
        </w:tc>
      </w:tr>
      <w:tr w:rsidR="00903FB2" w:rsidRPr="00CE79CC" w14:paraId="68B19F27" w14:textId="77777777" w:rsidTr="00D94092">
        <w:trPr>
          <w:trHeight w:val="456"/>
          <w:jc w:val="center"/>
        </w:trPr>
        <w:tc>
          <w:tcPr>
            <w:tcW w:w="1335" w:type="pct"/>
            <w:tcBorders>
              <w:top w:val="single" w:sz="4" w:space="0" w:color="auto"/>
              <w:bottom w:val="single" w:sz="4" w:space="0" w:color="auto"/>
            </w:tcBorders>
            <w:tcMar>
              <w:top w:w="160" w:type="nil"/>
              <w:left w:w="160" w:type="nil"/>
              <w:bottom w:w="160" w:type="nil"/>
              <w:right w:w="160" w:type="nil"/>
            </w:tcMar>
          </w:tcPr>
          <w:p w14:paraId="7C8C7962" w14:textId="77777777" w:rsidR="00903FB2" w:rsidRPr="00CE79CC" w:rsidRDefault="00903FB2" w:rsidP="00E644F1">
            <w:pPr>
              <w:autoSpaceDE w:val="0"/>
              <w:autoSpaceDN w:val="0"/>
              <w:adjustRightInd w:val="0"/>
              <w:spacing w:after="0" w:line="240" w:lineRule="auto"/>
              <w:rPr>
                <w:rFonts w:cs="Times New Roman"/>
                <w:color w:val="262626"/>
              </w:rPr>
            </w:pPr>
          </w:p>
        </w:tc>
        <w:tc>
          <w:tcPr>
            <w:tcW w:w="1832" w:type="pct"/>
            <w:tcBorders>
              <w:top w:val="single" w:sz="4" w:space="0" w:color="auto"/>
              <w:bottom w:val="single" w:sz="4" w:space="0" w:color="auto"/>
            </w:tcBorders>
            <w:tcMar>
              <w:top w:w="160" w:type="nil"/>
              <w:left w:w="160" w:type="nil"/>
              <w:bottom w:w="160" w:type="nil"/>
              <w:right w:w="160" w:type="nil"/>
            </w:tcMar>
          </w:tcPr>
          <w:p w14:paraId="3419A0C2" w14:textId="1925769F" w:rsidR="00903FB2" w:rsidRPr="00CE79CC" w:rsidRDefault="00903FB2" w:rsidP="00D94092">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1209</w:t>
            </w:r>
            <w:r w:rsidRPr="00CE79CC">
              <w:rPr>
                <w:rFonts w:cs="Times New Roman"/>
                <w:color w:val="262626"/>
              </w:rPr>
              <w:t>)</w:t>
            </w:r>
          </w:p>
        </w:tc>
        <w:tc>
          <w:tcPr>
            <w:tcW w:w="1833" w:type="pct"/>
            <w:tcBorders>
              <w:top w:val="single" w:sz="4" w:space="0" w:color="auto"/>
              <w:bottom w:val="single" w:sz="4" w:space="0" w:color="auto"/>
            </w:tcBorders>
            <w:tcMar>
              <w:top w:w="160" w:type="nil"/>
              <w:left w:w="160" w:type="nil"/>
              <w:bottom w:w="160" w:type="nil"/>
              <w:right w:w="160" w:type="nil"/>
            </w:tcMar>
          </w:tcPr>
          <w:p w14:paraId="56390B91" w14:textId="44489D2F" w:rsidR="00903FB2" w:rsidRPr="00CE79CC" w:rsidRDefault="00903FB2" w:rsidP="00D94092">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=104</w:t>
            </w:r>
            <w:r w:rsidRPr="00CE79CC">
              <w:rPr>
                <w:rFonts w:cs="Times New Roman"/>
                <w:color w:val="262626"/>
              </w:rPr>
              <w:t>)</w:t>
            </w:r>
          </w:p>
        </w:tc>
      </w:tr>
      <w:tr w:rsidR="00903FB2" w:rsidRPr="00CE79CC" w14:paraId="0722F8B7" w14:textId="77777777" w:rsidTr="00D94092">
        <w:trPr>
          <w:trHeight w:val="456"/>
          <w:jc w:val="center"/>
        </w:trPr>
        <w:tc>
          <w:tcPr>
            <w:tcW w:w="5000" w:type="pct"/>
            <w:gridSpan w:val="3"/>
            <w:tcMar>
              <w:top w:w="560" w:type="nil"/>
              <w:left w:w="160" w:type="nil"/>
              <w:bottom w:w="160" w:type="nil"/>
              <w:right w:w="160" w:type="nil"/>
            </w:tcMar>
          </w:tcPr>
          <w:p w14:paraId="6F911D89" w14:textId="71639C62" w:rsidR="00903FB2" w:rsidRPr="00D94092" w:rsidRDefault="00903FB2" w:rsidP="00E644F1">
            <w:pPr>
              <w:autoSpaceDE w:val="0"/>
              <w:autoSpaceDN w:val="0"/>
              <w:adjustRightInd w:val="0"/>
              <w:spacing w:after="0" w:line="240" w:lineRule="auto"/>
              <w:rPr>
                <w:rFonts w:cs="Times New Roman"/>
                <w:b/>
                <w:bCs w:val="0"/>
                <w:color w:val="262626"/>
              </w:rPr>
            </w:pPr>
            <w:r>
              <w:rPr>
                <w:rFonts w:cs="Times New Roman"/>
                <w:b/>
                <w:bCs w:val="0"/>
                <w:color w:val="262626"/>
              </w:rPr>
              <w:t>Wave 1 Assay Result</w:t>
            </w:r>
          </w:p>
        </w:tc>
      </w:tr>
      <w:tr w:rsidR="00903FB2" w:rsidRPr="00CE79CC" w14:paraId="3E4C912D" w14:textId="77777777" w:rsidTr="00D94092">
        <w:trPr>
          <w:trHeight w:val="456"/>
          <w:jc w:val="center"/>
        </w:trPr>
        <w:tc>
          <w:tcPr>
            <w:tcW w:w="1335" w:type="pct"/>
            <w:tcMar>
              <w:top w:w="560" w:type="nil"/>
              <w:left w:w="160" w:type="nil"/>
              <w:bottom w:w="160" w:type="nil"/>
              <w:right w:w="160" w:type="nil"/>
            </w:tcMar>
          </w:tcPr>
          <w:p w14:paraId="63AC47B0" w14:textId="14542036"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Negative</w:t>
            </w:r>
          </w:p>
        </w:tc>
        <w:tc>
          <w:tcPr>
            <w:tcW w:w="1832" w:type="pct"/>
            <w:tcMar>
              <w:top w:w="160" w:type="nil"/>
              <w:left w:w="160" w:type="nil"/>
              <w:bottom w:w="160" w:type="nil"/>
              <w:right w:w="160" w:type="nil"/>
            </w:tcMar>
          </w:tcPr>
          <w:p w14:paraId="63472884" w14:textId="4310511C"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1173 (97.0%)</w:t>
            </w:r>
          </w:p>
        </w:tc>
        <w:tc>
          <w:tcPr>
            <w:tcW w:w="1833" w:type="pct"/>
            <w:tcMar>
              <w:top w:w="160" w:type="nil"/>
              <w:left w:w="160" w:type="nil"/>
              <w:bottom w:w="160" w:type="nil"/>
              <w:right w:w="160" w:type="nil"/>
            </w:tcMar>
          </w:tcPr>
          <w:p w14:paraId="3BEA3A47" w14:textId="34DB9986"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98 (94.2%)</w:t>
            </w:r>
          </w:p>
        </w:tc>
      </w:tr>
      <w:tr w:rsidR="00903FB2" w:rsidRPr="00CE79CC" w14:paraId="0E686748" w14:textId="77777777" w:rsidTr="00D94092">
        <w:trPr>
          <w:trHeight w:val="456"/>
          <w:jc w:val="center"/>
        </w:trPr>
        <w:tc>
          <w:tcPr>
            <w:tcW w:w="1335" w:type="pct"/>
            <w:tcBorders>
              <w:bottom w:val="single" w:sz="4" w:space="0" w:color="auto"/>
            </w:tcBorders>
            <w:tcMar>
              <w:top w:w="560" w:type="nil"/>
              <w:left w:w="160" w:type="nil"/>
              <w:bottom w:w="160" w:type="nil"/>
              <w:right w:w="160" w:type="nil"/>
            </w:tcMar>
          </w:tcPr>
          <w:p w14:paraId="1A6A2F9C" w14:textId="582346E0"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Positive</w:t>
            </w:r>
          </w:p>
        </w:tc>
        <w:tc>
          <w:tcPr>
            <w:tcW w:w="1832" w:type="pct"/>
            <w:tcBorders>
              <w:bottom w:val="single" w:sz="4" w:space="0" w:color="auto"/>
            </w:tcBorders>
            <w:tcMar>
              <w:top w:w="160" w:type="nil"/>
              <w:left w:w="160" w:type="nil"/>
              <w:bottom w:w="160" w:type="nil"/>
              <w:right w:w="160" w:type="nil"/>
            </w:tcMar>
          </w:tcPr>
          <w:p w14:paraId="76B1395A" w14:textId="6B7765F0"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36 (3.0%)</w:t>
            </w:r>
          </w:p>
        </w:tc>
        <w:tc>
          <w:tcPr>
            <w:tcW w:w="1833" w:type="pct"/>
            <w:tcBorders>
              <w:bottom w:val="single" w:sz="4" w:space="0" w:color="auto"/>
            </w:tcBorders>
            <w:tcMar>
              <w:top w:w="160" w:type="nil"/>
              <w:left w:w="160" w:type="nil"/>
              <w:bottom w:w="160" w:type="nil"/>
              <w:right w:w="160" w:type="nil"/>
            </w:tcMar>
          </w:tcPr>
          <w:p w14:paraId="07F22F0E" w14:textId="11BC3240"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6 (5.8%)</w:t>
            </w:r>
          </w:p>
        </w:tc>
      </w:tr>
    </w:tbl>
    <w:p w14:paraId="35AAD769" w14:textId="77777777" w:rsidR="00DC79BF" w:rsidRDefault="00DC79BF">
      <w:pPr>
        <w:spacing w:before="0" w:after="200" w:line="240" w:lineRule="auto"/>
      </w:pPr>
      <w:r>
        <w:br w:type="page"/>
      </w:r>
    </w:p>
    <w:p w14:paraId="5C158880" w14:textId="03F3A919" w:rsidR="00903FB2" w:rsidRDefault="00903FB2" w:rsidP="00903FB2">
      <w:pPr>
        <w:pStyle w:val="BodyText"/>
      </w:pPr>
      <w:r>
        <w:lastRenderedPageBreak/>
        <w:t xml:space="preserve">Supplement </w:t>
      </w:r>
      <w:r w:rsidRPr="00AB3086">
        <w:t xml:space="preserve">Table </w:t>
      </w:r>
      <w:r>
        <w:t>4</w:t>
      </w:r>
      <w:r w:rsidRPr="00AB3086">
        <w:t xml:space="preserve">: Wave </w:t>
      </w:r>
      <w:r>
        <w:t>2</w:t>
      </w:r>
      <w:r w:rsidRPr="00AB3086">
        <w:t xml:space="preserve"> seroprevalence among community cohort members that are similar/not similar in age (&lt;= 30) and household income (&lt;= 50k USD p.a.) to returning students.</w:t>
      </w:r>
    </w:p>
    <w:tbl>
      <w:tblPr>
        <w:tblW w:w="3957" w:type="pct"/>
        <w:jc w:val="center"/>
        <w:tblLook w:val="0000" w:firstRow="0" w:lastRow="0" w:firstColumn="0" w:lastColumn="0" w:noHBand="0" w:noVBand="0"/>
      </w:tblPr>
      <w:tblGrid>
        <w:gridCol w:w="1978"/>
        <w:gridCol w:w="2714"/>
        <w:gridCol w:w="2716"/>
      </w:tblGrid>
      <w:tr w:rsidR="00903FB2" w:rsidRPr="00CE79CC" w14:paraId="208A4359" w14:textId="77777777" w:rsidTr="00D20D0D">
        <w:trPr>
          <w:trHeight w:val="456"/>
          <w:jc w:val="center"/>
        </w:trPr>
        <w:tc>
          <w:tcPr>
            <w:tcW w:w="1335" w:type="pct"/>
            <w:tcBorders>
              <w:top w:val="single" w:sz="4" w:space="0" w:color="auto"/>
            </w:tcBorders>
            <w:tcMar>
              <w:top w:w="160" w:type="nil"/>
              <w:left w:w="160" w:type="nil"/>
              <w:bottom w:w="160" w:type="nil"/>
              <w:right w:w="160" w:type="nil"/>
            </w:tcMar>
            <w:vAlign w:val="bottom"/>
          </w:tcPr>
          <w:p w14:paraId="41228744" w14:textId="77777777" w:rsidR="00903FB2" w:rsidRPr="00CE79CC" w:rsidRDefault="00903FB2" w:rsidP="00E644F1">
            <w:pPr>
              <w:autoSpaceDE w:val="0"/>
              <w:autoSpaceDN w:val="0"/>
              <w:adjustRightInd w:val="0"/>
              <w:spacing w:after="0" w:line="240" w:lineRule="auto"/>
              <w:rPr>
                <w:rFonts w:cs="Times New Roman"/>
                <w:b/>
                <w:bCs w:val="0"/>
                <w:color w:val="262626"/>
              </w:rPr>
            </w:pPr>
          </w:p>
        </w:tc>
        <w:tc>
          <w:tcPr>
            <w:tcW w:w="1832" w:type="pct"/>
            <w:tcBorders>
              <w:top w:val="single" w:sz="4" w:space="0" w:color="auto"/>
            </w:tcBorders>
            <w:tcMar>
              <w:top w:w="60" w:type="nil"/>
              <w:left w:w="160" w:type="nil"/>
              <w:right w:w="60" w:type="nil"/>
            </w:tcMar>
            <w:vAlign w:val="bottom"/>
          </w:tcPr>
          <w:p w14:paraId="64AC23B4" w14:textId="77777777" w:rsidR="00903FB2" w:rsidRPr="00D20D0D" w:rsidRDefault="00903FB2" w:rsidP="00E644F1">
            <w:pPr>
              <w:autoSpaceDE w:val="0"/>
              <w:autoSpaceDN w:val="0"/>
              <w:adjustRightInd w:val="0"/>
              <w:spacing w:after="0" w:line="240" w:lineRule="auto"/>
              <w:jc w:val="center"/>
              <w:rPr>
                <w:rFonts w:cs="Times New Roman"/>
                <w:b/>
                <w:bCs w:val="0"/>
                <w:color w:val="262626"/>
              </w:rPr>
            </w:pPr>
            <w:r w:rsidRPr="00D20D0D">
              <w:rPr>
                <w:rFonts w:cs="Times New Roman"/>
                <w:b/>
                <w:bCs w:val="0"/>
                <w:color w:val="262626"/>
              </w:rPr>
              <w:t>Not Similar to Students</w:t>
            </w:r>
          </w:p>
        </w:tc>
        <w:tc>
          <w:tcPr>
            <w:tcW w:w="1833" w:type="pct"/>
            <w:tcBorders>
              <w:top w:val="single" w:sz="4" w:space="0" w:color="auto"/>
            </w:tcBorders>
            <w:vAlign w:val="bottom"/>
          </w:tcPr>
          <w:p w14:paraId="3AE28EBA" w14:textId="77777777" w:rsidR="00903FB2" w:rsidRPr="00D20D0D" w:rsidRDefault="00903FB2" w:rsidP="00E644F1">
            <w:pPr>
              <w:autoSpaceDE w:val="0"/>
              <w:autoSpaceDN w:val="0"/>
              <w:adjustRightInd w:val="0"/>
              <w:spacing w:after="0" w:line="240" w:lineRule="auto"/>
              <w:jc w:val="center"/>
              <w:rPr>
                <w:rFonts w:cs="Times New Roman"/>
                <w:b/>
                <w:bCs w:val="0"/>
                <w:color w:val="262626"/>
              </w:rPr>
            </w:pPr>
            <w:proofErr w:type="gramStart"/>
            <w:r w:rsidRPr="00D20D0D">
              <w:rPr>
                <w:rFonts w:cs="Times New Roman"/>
                <w:b/>
                <w:bCs w:val="0"/>
                <w:color w:val="262626"/>
              </w:rPr>
              <w:t>Similar to</w:t>
            </w:r>
            <w:proofErr w:type="gramEnd"/>
            <w:r w:rsidRPr="00D20D0D">
              <w:rPr>
                <w:rFonts w:cs="Times New Roman"/>
                <w:b/>
                <w:bCs w:val="0"/>
                <w:color w:val="262626"/>
              </w:rPr>
              <w:t xml:space="preserve"> Students</w:t>
            </w:r>
          </w:p>
        </w:tc>
      </w:tr>
      <w:tr w:rsidR="00903FB2" w:rsidRPr="00CE79CC" w14:paraId="25AAF017" w14:textId="77777777" w:rsidTr="00D20D0D">
        <w:trPr>
          <w:trHeight w:val="456"/>
          <w:jc w:val="center"/>
        </w:trPr>
        <w:tc>
          <w:tcPr>
            <w:tcW w:w="1335" w:type="pct"/>
            <w:tcBorders>
              <w:top w:val="single" w:sz="4" w:space="0" w:color="auto"/>
              <w:bottom w:val="single" w:sz="4" w:space="0" w:color="auto"/>
            </w:tcBorders>
            <w:tcMar>
              <w:top w:w="160" w:type="nil"/>
              <w:left w:w="160" w:type="nil"/>
              <w:bottom w:w="160" w:type="nil"/>
              <w:right w:w="160" w:type="nil"/>
            </w:tcMar>
          </w:tcPr>
          <w:p w14:paraId="734675A3" w14:textId="77777777" w:rsidR="00903FB2" w:rsidRPr="00CE79CC" w:rsidRDefault="00903FB2" w:rsidP="00E644F1">
            <w:pPr>
              <w:autoSpaceDE w:val="0"/>
              <w:autoSpaceDN w:val="0"/>
              <w:adjustRightInd w:val="0"/>
              <w:spacing w:after="0" w:line="240" w:lineRule="auto"/>
              <w:rPr>
                <w:rFonts w:cs="Times New Roman"/>
                <w:color w:val="262626"/>
              </w:rPr>
            </w:pPr>
          </w:p>
        </w:tc>
        <w:tc>
          <w:tcPr>
            <w:tcW w:w="1832" w:type="pct"/>
            <w:tcBorders>
              <w:top w:val="single" w:sz="4" w:space="0" w:color="auto"/>
              <w:bottom w:val="single" w:sz="4" w:space="0" w:color="auto"/>
            </w:tcBorders>
            <w:tcMar>
              <w:top w:w="160" w:type="nil"/>
              <w:left w:w="160" w:type="nil"/>
              <w:bottom w:w="160" w:type="nil"/>
              <w:right w:w="160" w:type="nil"/>
            </w:tcMar>
          </w:tcPr>
          <w:p w14:paraId="711BD2EA" w14:textId="77777777" w:rsidR="00903FB2" w:rsidRPr="00CE79CC" w:rsidRDefault="00903FB2" w:rsidP="00E644F1">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1209</w:t>
            </w:r>
            <w:r w:rsidRPr="00CE79CC">
              <w:rPr>
                <w:rFonts w:cs="Times New Roman"/>
                <w:color w:val="262626"/>
              </w:rPr>
              <w:t>)</w:t>
            </w:r>
          </w:p>
        </w:tc>
        <w:tc>
          <w:tcPr>
            <w:tcW w:w="1833" w:type="pct"/>
            <w:tcBorders>
              <w:top w:val="single" w:sz="4" w:space="0" w:color="auto"/>
              <w:bottom w:val="single" w:sz="4" w:space="0" w:color="auto"/>
            </w:tcBorders>
            <w:tcMar>
              <w:top w:w="160" w:type="nil"/>
              <w:left w:w="160" w:type="nil"/>
              <w:bottom w:w="160" w:type="nil"/>
              <w:right w:w="160" w:type="nil"/>
            </w:tcMar>
          </w:tcPr>
          <w:p w14:paraId="53776001" w14:textId="77777777" w:rsidR="00903FB2" w:rsidRPr="00CE79CC" w:rsidRDefault="00903FB2" w:rsidP="00E644F1">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=104</w:t>
            </w:r>
            <w:r w:rsidRPr="00CE79CC">
              <w:rPr>
                <w:rFonts w:cs="Times New Roman"/>
                <w:color w:val="262626"/>
              </w:rPr>
              <w:t>)</w:t>
            </w:r>
          </w:p>
        </w:tc>
      </w:tr>
      <w:tr w:rsidR="00903FB2" w:rsidRPr="00CE79CC" w14:paraId="2DA0AA86" w14:textId="77777777" w:rsidTr="00D20D0D">
        <w:trPr>
          <w:trHeight w:val="456"/>
          <w:jc w:val="center"/>
        </w:trPr>
        <w:tc>
          <w:tcPr>
            <w:tcW w:w="5000" w:type="pct"/>
            <w:gridSpan w:val="3"/>
            <w:tcMar>
              <w:top w:w="560" w:type="nil"/>
              <w:left w:w="160" w:type="nil"/>
              <w:bottom w:w="160" w:type="nil"/>
              <w:right w:w="160" w:type="nil"/>
            </w:tcMar>
          </w:tcPr>
          <w:p w14:paraId="29C96126" w14:textId="44C364F4" w:rsidR="00903FB2" w:rsidRPr="00E644F1" w:rsidRDefault="00903FB2" w:rsidP="00E644F1">
            <w:pPr>
              <w:autoSpaceDE w:val="0"/>
              <w:autoSpaceDN w:val="0"/>
              <w:adjustRightInd w:val="0"/>
              <w:spacing w:after="0" w:line="240" w:lineRule="auto"/>
              <w:rPr>
                <w:rFonts w:cs="Times New Roman"/>
                <w:b/>
                <w:bCs w:val="0"/>
                <w:color w:val="262626"/>
              </w:rPr>
            </w:pPr>
            <w:r>
              <w:rPr>
                <w:rFonts w:cs="Times New Roman"/>
                <w:b/>
                <w:bCs w:val="0"/>
                <w:color w:val="262626"/>
              </w:rPr>
              <w:t>Wave 2 Assay Result</w:t>
            </w:r>
          </w:p>
        </w:tc>
      </w:tr>
      <w:tr w:rsidR="00903FB2" w:rsidRPr="00CE79CC" w14:paraId="07E04E13" w14:textId="77777777" w:rsidTr="00D20D0D">
        <w:trPr>
          <w:trHeight w:val="456"/>
          <w:jc w:val="center"/>
        </w:trPr>
        <w:tc>
          <w:tcPr>
            <w:tcW w:w="1335" w:type="pct"/>
            <w:tcMar>
              <w:top w:w="560" w:type="nil"/>
              <w:left w:w="160" w:type="nil"/>
              <w:bottom w:w="160" w:type="nil"/>
              <w:right w:w="160" w:type="nil"/>
            </w:tcMar>
          </w:tcPr>
          <w:p w14:paraId="07BAA79B" w14:textId="77777777"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Negative</w:t>
            </w:r>
          </w:p>
        </w:tc>
        <w:tc>
          <w:tcPr>
            <w:tcW w:w="1832" w:type="pct"/>
            <w:tcMar>
              <w:top w:w="160" w:type="nil"/>
              <w:left w:w="160" w:type="nil"/>
              <w:bottom w:w="160" w:type="nil"/>
              <w:right w:w="160" w:type="nil"/>
            </w:tcMar>
          </w:tcPr>
          <w:p w14:paraId="1EBC9F61" w14:textId="3F9E3432"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1138 (94.1%)</w:t>
            </w:r>
          </w:p>
        </w:tc>
        <w:tc>
          <w:tcPr>
            <w:tcW w:w="1833" w:type="pct"/>
            <w:tcMar>
              <w:top w:w="160" w:type="nil"/>
              <w:left w:w="160" w:type="nil"/>
              <w:bottom w:w="160" w:type="nil"/>
              <w:right w:w="160" w:type="nil"/>
            </w:tcMar>
          </w:tcPr>
          <w:p w14:paraId="453B1D50" w14:textId="77777777"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98 (94.2%)</w:t>
            </w:r>
          </w:p>
        </w:tc>
      </w:tr>
      <w:tr w:rsidR="00903FB2" w:rsidRPr="00CE79CC" w14:paraId="43F05177" w14:textId="77777777" w:rsidTr="00D20D0D">
        <w:trPr>
          <w:trHeight w:val="456"/>
          <w:jc w:val="center"/>
        </w:trPr>
        <w:tc>
          <w:tcPr>
            <w:tcW w:w="1335" w:type="pct"/>
            <w:tcBorders>
              <w:bottom w:val="single" w:sz="4" w:space="0" w:color="auto"/>
            </w:tcBorders>
            <w:tcMar>
              <w:top w:w="560" w:type="nil"/>
              <w:left w:w="160" w:type="nil"/>
              <w:bottom w:w="160" w:type="nil"/>
              <w:right w:w="160" w:type="nil"/>
            </w:tcMar>
          </w:tcPr>
          <w:p w14:paraId="431FD15F" w14:textId="77777777"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Positive</w:t>
            </w:r>
          </w:p>
        </w:tc>
        <w:tc>
          <w:tcPr>
            <w:tcW w:w="1832" w:type="pct"/>
            <w:tcBorders>
              <w:bottom w:val="single" w:sz="4" w:space="0" w:color="auto"/>
            </w:tcBorders>
            <w:tcMar>
              <w:top w:w="160" w:type="nil"/>
              <w:left w:w="160" w:type="nil"/>
              <w:bottom w:w="160" w:type="nil"/>
              <w:right w:w="160" w:type="nil"/>
            </w:tcMar>
          </w:tcPr>
          <w:p w14:paraId="36AFF245" w14:textId="37D45991"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71 (5.9%)</w:t>
            </w:r>
          </w:p>
        </w:tc>
        <w:tc>
          <w:tcPr>
            <w:tcW w:w="1833" w:type="pct"/>
            <w:tcBorders>
              <w:bottom w:val="single" w:sz="4" w:space="0" w:color="auto"/>
            </w:tcBorders>
            <w:tcMar>
              <w:top w:w="160" w:type="nil"/>
              <w:left w:w="160" w:type="nil"/>
              <w:bottom w:w="160" w:type="nil"/>
              <w:right w:w="160" w:type="nil"/>
            </w:tcMar>
          </w:tcPr>
          <w:p w14:paraId="16EE02DB" w14:textId="77777777"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6 (5.8%)</w:t>
            </w:r>
          </w:p>
        </w:tc>
      </w:tr>
    </w:tbl>
    <w:p w14:paraId="75722E20" w14:textId="77777777" w:rsidR="00903FB2" w:rsidRDefault="00903FB2" w:rsidP="00903FB2">
      <w:r>
        <w:br w:type="page"/>
      </w:r>
    </w:p>
    <w:p w14:paraId="0D9F9B6C" w14:textId="42150454" w:rsidR="00903FB2" w:rsidRDefault="00903FB2" w:rsidP="00903FB2">
      <w:pPr>
        <w:pStyle w:val="BodyText"/>
      </w:pPr>
      <w:r>
        <w:lastRenderedPageBreak/>
        <w:t xml:space="preserve">Supplement </w:t>
      </w:r>
      <w:r w:rsidRPr="00AB3086">
        <w:t xml:space="preserve">Table </w:t>
      </w:r>
      <w:r>
        <w:t>5</w:t>
      </w:r>
      <w:r w:rsidRPr="00AB3086">
        <w:t xml:space="preserve">: Wave </w:t>
      </w:r>
      <w:r>
        <w:t>2 cumulative</w:t>
      </w:r>
      <w:r w:rsidRPr="00AB3086">
        <w:t xml:space="preserve"> seroprevalence among community cohort members that are similar/not similar in age (&lt;= 30) and household income (&lt;= 50k USD p.a.) to returning students.</w:t>
      </w:r>
    </w:p>
    <w:tbl>
      <w:tblPr>
        <w:tblW w:w="3957" w:type="pct"/>
        <w:jc w:val="center"/>
        <w:tblLook w:val="0000" w:firstRow="0" w:lastRow="0" w:firstColumn="0" w:lastColumn="0" w:noHBand="0" w:noVBand="0"/>
      </w:tblPr>
      <w:tblGrid>
        <w:gridCol w:w="1978"/>
        <w:gridCol w:w="2714"/>
        <w:gridCol w:w="2716"/>
      </w:tblGrid>
      <w:tr w:rsidR="00903FB2" w:rsidRPr="00CE79CC" w14:paraId="455B070D" w14:textId="77777777" w:rsidTr="00D20D0D">
        <w:trPr>
          <w:trHeight w:val="456"/>
          <w:jc w:val="center"/>
        </w:trPr>
        <w:tc>
          <w:tcPr>
            <w:tcW w:w="1335" w:type="pct"/>
            <w:tcBorders>
              <w:top w:val="single" w:sz="4" w:space="0" w:color="auto"/>
            </w:tcBorders>
            <w:tcMar>
              <w:top w:w="160" w:type="nil"/>
              <w:left w:w="160" w:type="nil"/>
              <w:bottom w:w="160" w:type="nil"/>
              <w:right w:w="160" w:type="nil"/>
            </w:tcMar>
            <w:vAlign w:val="bottom"/>
          </w:tcPr>
          <w:p w14:paraId="3F1A4484" w14:textId="77777777" w:rsidR="00903FB2" w:rsidRPr="00CE79CC" w:rsidRDefault="00903FB2" w:rsidP="00E644F1">
            <w:pPr>
              <w:autoSpaceDE w:val="0"/>
              <w:autoSpaceDN w:val="0"/>
              <w:adjustRightInd w:val="0"/>
              <w:spacing w:after="0" w:line="240" w:lineRule="auto"/>
              <w:rPr>
                <w:rFonts w:cs="Times New Roman"/>
                <w:b/>
                <w:bCs w:val="0"/>
                <w:color w:val="262626"/>
              </w:rPr>
            </w:pPr>
          </w:p>
        </w:tc>
        <w:tc>
          <w:tcPr>
            <w:tcW w:w="1832" w:type="pct"/>
            <w:tcBorders>
              <w:top w:val="single" w:sz="4" w:space="0" w:color="auto"/>
            </w:tcBorders>
            <w:tcMar>
              <w:top w:w="60" w:type="nil"/>
              <w:left w:w="160" w:type="nil"/>
              <w:right w:w="60" w:type="nil"/>
            </w:tcMar>
            <w:vAlign w:val="bottom"/>
          </w:tcPr>
          <w:p w14:paraId="6DC36453" w14:textId="77777777" w:rsidR="00903FB2" w:rsidRPr="00D20D0D" w:rsidRDefault="00903FB2" w:rsidP="00E644F1">
            <w:pPr>
              <w:autoSpaceDE w:val="0"/>
              <w:autoSpaceDN w:val="0"/>
              <w:adjustRightInd w:val="0"/>
              <w:spacing w:after="0" w:line="240" w:lineRule="auto"/>
              <w:jc w:val="center"/>
              <w:rPr>
                <w:rFonts w:cs="Times New Roman"/>
                <w:b/>
                <w:bCs w:val="0"/>
                <w:color w:val="262626"/>
              </w:rPr>
            </w:pPr>
            <w:r w:rsidRPr="00D20D0D">
              <w:rPr>
                <w:rFonts w:cs="Times New Roman"/>
                <w:b/>
                <w:bCs w:val="0"/>
                <w:color w:val="262626"/>
              </w:rPr>
              <w:t>Not Similar to Students</w:t>
            </w:r>
          </w:p>
        </w:tc>
        <w:tc>
          <w:tcPr>
            <w:tcW w:w="1833" w:type="pct"/>
            <w:tcBorders>
              <w:top w:val="single" w:sz="4" w:space="0" w:color="auto"/>
            </w:tcBorders>
            <w:vAlign w:val="bottom"/>
          </w:tcPr>
          <w:p w14:paraId="7BECC553" w14:textId="77777777" w:rsidR="00903FB2" w:rsidRPr="00D20D0D" w:rsidRDefault="00903FB2" w:rsidP="00E644F1">
            <w:pPr>
              <w:autoSpaceDE w:val="0"/>
              <w:autoSpaceDN w:val="0"/>
              <w:adjustRightInd w:val="0"/>
              <w:spacing w:after="0" w:line="240" w:lineRule="auto"/>
              <w:jc w:val="center"/>
              <w:rPr>
                <w:rFonts w:cs="Times New Roman"/>
                <w:b/>
                <w:bCs w:val="0"/>
                <w:color w:val="262626"/>
              </w:rPr>
            </w:pPr>
            <w:proofErr w:type="gramStart"/>
            <w:r w:rsidRPr="00D20D0D">
              <w:rPr>
                <w:rFonts w:cs="Times New Roman"/>
                <w:b/>
                <w:bCs w:val="0"/>
                <w:color w:val="262626"/>
              </w:rPr>
              <w:t>Similar to</w:t>
            </w:r>
            <w:proofErr w:type="gramEnd"/>
            <w:r w:rsidRPr="00D20D0D">
              <w:rPr>
                <w:rFonts w:cs="Times New Roman"/>
                <w:b/>
                <w:bCs w:val="0"/>
                <w:color w:val="262626"/>
              </w:rPr>
              <w:t xml:space="preserve"> Students</w:t>
            </w:r>
          </w:p>
        </w:tc>
      </w:tr>
      <w:tr w:rsidR="00903FB2" w:rsidRPr="00CE79CC" w14:paraId="3918473D" w14:textId="77777777" w:rsidTr="00D20D0D">
        <w:trPr>
          <w:trHeight w:val="456"/>
          <w:jc w:val="center"/>
        </w:trPr>
        <w:tc>
          <w:tcPr>
            <w:tcW w:w="1335" w:type="pct"/>
            <w:tcBorders>
              <w:top w:val="single" w:sz="4" w:space="0" w:color="auto"/>
              <w:bottom w:val="single" w:sz="4" w:space="0" w:color="auto"/>
            </w:tcBorders>
            <w:tcMar>
              <w:top w:w="160" w:type="nil"/>
              <w:left w:w="160" w:type="nil"/>
              <w:bottom w:w="160" w:type="nil"/>
              <w:right w:w="160" w:type="nil"/>
            </w:tcMar>
          </w:tcPr>
          <w:p w14:paraId="502A47FA" w14:textId="77777777" w:rsidR="00903FB2" w:rsidRPr="00CE79CC" w:rsidRDefault="00903FB2" w:rsidP="00E644F1">
            <w:pPr>
              <w:autoSpaceDE w:val="0"/>
              <w:autoSpaceDN w:val="0"/>
              <w:adjustRightInd w:val="0"/>
              <w:spacing w:after="0" w:line="240" w:lineRule="auto"/>
              <w:rPr>
                <w:rFonts w:cs="Times New Roman"/>
                <w:color w:val="262626"/>
              </w:rPr>
            </w:pPr>
          </w:p>
        </w:tc>
        <w:tc>
          <w:tcPr>
            <w:tcW w:w="1832" w:type="pct"/>
            <w:tcBorders>
              <w:top w:val="single" w:sz="4" w:space="0" w:color="auto"/>
              <w:bottom w:val="single" w:sz="4" w:space="0" w:color="auto"/>
            </w:tcBorders>
            <w:tcMar>
              <w:top w:w="160" w:type="nil"/>
              <w:left w:w="160" w:type="nil"/>
              <w:bottom w:w="160" w:type="nil"/>
              <w:right w:w="160" w:type="nil"/>
            </w:tcMar>
          </w:tcPr>
          <w:p w14:paraId="01181BE3" w14:textId="77777777" w:rsidR="00903FB2" w:rsidRPr="00CE79CC" w:rsidRDefault="00903FB2" w:rsidP="00E644F1">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1209</w:t>
            </w:r>
            <w:r w:rsidRPr="00CE79CC">
              <w:rPr>
                <w:rFonts w:cs="Times New Roman"/>
                <w:color w:val="262626"/>
              </w:rPr>
              <w:t>)</w:t>
            </w:r>
          </w:p>
        </w:tc>
        <w:tc>
          <w:tcPr>
            <w:tcW w:w="1833" w:type="pct"/>
            <w:tcBorders>
              <w:top w:val="single" w:sz="4" w:space="0" w:color="auto"/>
              <w:bottom w:val="single" w:sz="4" w:space="0" w:color="auto"/>
            </w:tcBorders>
            <w:tcMar>
              <w:top w:w="160" w:type="nil"/>
              <w:left w:w="160" w:type="nil"/>
              <w:bottom w:w="160" w:type="nil"/>
              <w:right w:w="160" w:type="nil"/>
            </w:tcMar>
          </w:tcPr>
          <w:p w14:paraId="14F293AE" w14:textId="77777777" w:rsidR="00903FB2" w:rsidRPr="00CE79CC" w:rsidRDefault="00903FB2" w:rsidP="00E644F1">
            <w:pPr>
              <w:autoSpaceDE w:val="0"/>
              <w:autoSpaceDN w:val="0"/>
              <w:adjustRightInd w:val="0"/>
              <w:spacing w:after="0" w:line="240" w:lineRule="auto"/>
              <w:jc w:val="center"/>
              <w:rPr>
                <w:rFonts w:cs="Times New Roman"/>
                <w:color w:val="262626"/>
              </w:rPr>
            </w:pPr>
            <w:r w:rsidRPr="00CE79CC">
              <w:rPr>
                <w:rFonts w:cs="Times New Roman"/>
                <w:color w:val="262626"/>
              </w:rPr>
              <w:t>(N</w:t>
            </w:r>
            <w:r>
              <w:rPr>
                <w:rFonts w:cs="Times New Roman"/>
                <w:color w:val="262626"/>
              </w:rPr>
              <w:t>=104</w:t>
            </w:r>
            <w:r w:rsidRPr="00CE79CC">
              <w:rPr>
                <w:rFonts w:cs="Times New Roman"/>
                <w:color w:val="262626"/>
              </w:rPr>
              <w:t>)</w:t>
            </w:r>
          </w:p>
        </w:tc>
      </w:tr>
      <w:tr w:rsidR="00903FB2" w:rsidRPr="00CE79CC" w14:paraId="6F5FA4F6" w14:textId="77777777" w:rsidTr="00D20D0D">
        <w:trPr>
          <w:trHeight w:val="456"/>
          <w:jc w:val="center"/>
        </w:trPr>
        <w:tc>
          <w:tcPr>
            <w:tcW w:w="5000" w:type="pct"/>
            <w:gridSpan w:val="3"/>
            <w:tcMar>
              <w:top w:w="560" w:type="nil"/>
              <w:left w:w="160" w:type="nil"/>
              <w:bottom w:w="160" w:type="nil"/>
              <w:right w:w="160" w:type="nil"/>
            </w:tcMar>
          </w:tcPr>
          <w:p w14:paraId="7371CA02" w14:textId="0D351AB4" w:rsidR="00903FB2" w:rsidRPr="00E644F1" w:rsidRDefault="00903FB2" w:rsidP="00E644F1">
            <w:pPr>
              <w:autoSpaceDE w:val="0"/>
              <w:autoSpaceDN w:val="0"/>
              <w:adjustRightInd w:val="0"/>
              <w:spacing w:after="0" w:line="240" w:lineRule="auto"/>
              <w:rPr>
                <w:rFonts w:cs="Times New Roman"/>
                <w:b/>
                <w:bCs w:val="0"/>
                <w:color w:val="262626"/>
              </w:rPr>
            </w:pPr>
            <w:r>
              <w:rPr>
                <w:rFonts w:cs="Times New Roman"/>
                <w:b/>
                <w:bCs w:val="0"/>
                <w:color w:val="262626"/>
              </w:rPr>
              <w:t>Wave 2 Cumulative Assay Result</w:t>
            </w:r>
          </w:p>
        </w:tc>
      </w:tr>
      <w:tr w:rsidR="00903FB2" w:rsidRPr="00CE79CC" w14:paraId="34E30739" w14:textId="77777777" w:rsidTr="00D20D0D">
        <w:trPr>
          <w:trHeight w:val="456"/>
          <w:jc w:val="center"/>
        </w:trPr>
        <w:tc>
          <w:tcPr>
            <w:tcW w:w="1335" w:type="pct"/>
            <w:tcMar>
              <w:top w:w="560" w:type="nil"/>
              <w:left w:w="160" w:type="nil"/>
              <w:bottom w:w="160" w:type="nil"/>
              <w:right w:w="160" w:type="nil"/>
            </w:tcMar>
          </w:tcPr>
          <w:p w14:paraId="4348637C" w14:textId="77777777"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Negative</w:t>
            </w:r>
          </w:p>
        </w:tc>
        <w:tc>
          <w:tcPr>
            <w:tcW w:w="1832" w:type="pct"/>
            <w:tcMar>
              <w:top w:w="160" w:type="nil"/>
              <w:left w:w="160" w:type="nil"/>
              <w:bottom w:w="160" w:type="nil"/>
              <w:right w:w="160" w:type="nil"/>
            </w:tcMar>
          </w:tcPr>
          <w:p w14:paraId="4B1D5819" w14:textId="0F19F97B" w:rsidR="00903FB2" w:rsidRPr="00CE79CC" w:rsidRDefault="00903FB2" w:rsidP="00E644F1">
            <w:pPr>
              <w:autoSpaceDE w:val="0"/>
              <w:autoSpaceDN w:val="0"/>
              <w:adjustRightInd w:val="0"/>
              <w:spacing w:after="0" w:line="240" w:lineRule="auto"/>
              <w:rPr>
                <w:rFonts w:cs="Times New Roman"/>
                <w:color w:val="262626"/>
              </w:rPr>
            </w:pPr>
            <w:r w:rsidRPr="00903FB2">
              <w:rPr>
                <w:rFonts w:cs="Times New Roman"/>
                <w:color w:val="262626"/>
              </w:rPr>
              <w:t>1122 (92.8%)</w:t>
            </w:r>
          </w:p>
        </w:tc>
        <w:tc>
          <w:tcPr>
            <w:tcW w:w="1833" w:type="pct"/>
            <w:tcMar>
              <w:top w:w="160" w:type="nil"/>
              <w:left w:w="160" w:type="nil"/>
              <w:bottom w:w="160" w:type="nil"/>
              <w:right w:w="160" w:type="nil"/>
            </w:tcMar>
          </w:tcPr>
          <w:p w14:paraId="3FC99EEF" w14:textId="38A5140C" w:rsidR="00903FB2" w:rsidRPr="00CE79CC" w:rsidRDefault="00DC79BF" w:rsidP="00E644F1">
            <w:pPr>
              <w:autoSpaceDE w:val="0"/>
              <w:autoSpaceDN w:val="0"/>
              <w:adjustRightInd w:val="0"/>
              <w:spacing w:after="0" w:line="240" w:lineRule="auto"/>
              <w:rPr>
                <w:rFonts w:cs="Times New Roman"/>
                <w:color w:val="262626"/>
              </w:rPr>
            </w:pPr>
            <w:r w:rsidRPr="00DC79BF">
              <w:rPr>
                <w:rFonts w:cs="Times New Roman"/>
                <w:color w:val="262626"/>
              </w:rPr>
              <w:t>95 (91.3%)</w:t>
            </w:r>
          </w:p>
        </w:tc>
      </w:tr>
      <w:tr w:rsidR="00903FB2" w:rsidRPr="00CE79CC" w14:paraId="407F4F25" w14:textId="77777777" w:rsidTr="00D20D0D">
        <w:trPr>
          <w:trHeight w:val="456"/>
          <w:jc w:val="center"/>
        </w:trPr>
        <w:tc>
          <w:tcPr>
            <w:tcW w:w="1335" w:type="pct"/>
            <w:tcBorders>
              <w:bottom w:val="single" w:sz="4" w:space="0" w:color="auto"/>
            </w:tcBorders>
            <w:tcMar>
              <w:top w:w="560" w:type="nil"/>
              <w:left w:w="160" w:type="nil"/>
              <w:bottom w:w="160" w:type="nil"/>
              <w:right w:w="160" w:type="nil"/>
            </w:tcMar>
          </w:tcPr>
          <w:p w14:paraId="0498EBBB" w14:textId="77777777" w:rsidR="00903FB2" w:rsidRPr="00CE79CC" w:rsidRDefault="00903FB2" w:rsidP="00E644F1">
            <w:pPr>
              <w:autoSpaceDE w:val="0"/>
              <w:autoSpaceDN w:val="0"/>
              <w:adjustRightInd w:val="0"/>
              <w:spacing w:after="0" w:line="240" w:lineRule="auto"/>
              <w:jc w:val="right"/>
              <w:rPr>
                <w:rFonts w:cs="Times New Roman"/>
                <w:color w:val="262626"/>
              </w:rPr>
            </w:pPr>
            <w:r>
              <w:rPr>
                <w:rFonts w:cs="Times New Roman"/>
                <w:color w:val="262626"/>
              </w:rPr>
              <w:t>Positive</w:t>
            </w:r>
          </w:p>
        </w:tc>
        <w:tc>
          <w:tcPr>
            <w:tcW w:w="1832" w:type="pct"/>
            <w:tcBorders>
              <w:bottom w:val="single" w:sz="4" w:space="0" w:color="auto"/>
            </w:tcBorders>
            <w:tcMar>
              <w:top w:w="160" w:type="nil"/>
              <w:left w:w="160" w:type="nil"/>
              <w:bottom w:w="160" w:type="nil"/>
              <w:right w:w="160" w:type="nil"/>
            </w:tcMar>
          </w:tcPr>
          <w:p w14:paraId="79980620" w14:textId="6165F4AD" w:rsidR="00903FB2" w:rsidRPr="00CE79CC" w:rsidRDefault="00DC79BF" w:rsidP="00E644F1">
            <w:pPr>
              <w:autoSpaceDE w:val="0"/>
              <w:autoSpaceDN w:val="0"/>
              <w:adjustRightInd w:val="0"/>
              <w:spacing w:after="0" w:line="240" w:lineRule="auto"/>
              <w:rPr>
                <w:rFonts w:cs="Times New Roman"/>
                <w:color w:val="262626"/>
              </w:rPr>
            </w:pPr>
            <w:r w:rsidRPr="00DC79BF">
              <w:rPr>
                <w:rFonts w:cs="Times New Roman"/>
                <w:color w:val="262626"/>
              </w:rPr>
              <w:t>87 (7.2%)</w:t>
            </w:r>
          </w:p>
        </w:tc>
        <w:tc>
          <w:tcPr>
            <w:tcW w:w="1833" w:type="pct"/>
            <w:tcBorders>
              <w:bottom w:val="single" w:sz="4" w:space="0" w:color="auto"/>
            </w:tcBorders>
            <w:tcMar>
              <w:top w:w="160" w:type="nil"/>
              <w:left w:w="160" w:type="nil"/>
              <w:bottom w:w="160" w:type="nil"/>
              <w:right w:w="160" w:type="nil"/>
            </w:tcMar>
          </w:tcPr>
          <w:p w14:paraId="582FE55F" w14:textId="46B29957" w:rsidR="00903FB2" w:rsidRPr="00CE79CC" w:rsidRDefault="00DC79BF" w:rsidP="00E644F1">
            <w:pPr>
              <w:autoSpaceDE w:val="0"/>
              <w:autoSpaceDN w:val="0"/>
              <w:adjustRightInd w:val="0"/>
              <w:spacing w:after="0" w:line="240" w:lineRule="auto"/>
              <w:rPr>
                <w:rFonts w:cs="Times New Roman"/>
                <w:color w:val="262626"/>
              </w:rPr>
            </w:pPr>
            <w:r w:rsidRPr="00DC79BF">
              <w:rPr>
                <w:rFonts w:cs="Times New Roman"/>
                <w:color w:val="262626"/>
              </w:rPr>
              <w:t>9 (8.7%)</w:t>
            </w:r>
          </w:p>
        </w:tc>
      </w:tr>
    </w:tbl>
    <w:p w14:paraId="0565DDF3" w14:textId="6BCC9485" w:rsidR="00512E15" w:rsidRDefault="00C374A0">
      <w:r>
        <w:br w:type="page"/>
      </w:r>
    </w:p>
    <w:p w14:paraId="300069C0" w14:textId="77777777" w:rsidR="00512E15" w:rsidRDefault="00C374A0" w:rsidP="00F13CEA">
      <w:pPr>
        <w:pStyle w:val="Heading1"/>
      </w:pPr>
      <w:bookmarkStart w:id="17" w:name="figures"/>
      <w:bookmarkEnd w:id="16"/>
      <w:r>
        <w:lastRenderedPageBreak/>
        <w:t>Figures</w:t>
      </w:r>
    </w:p>
    <w:p w14:paraId="1AE5C69D" w14:textId="0BDD7EE6" w:rsidR="00512E15" w:rsidRDefault="00AB3086">
      <w:pPr>
        <w:pStyle w:val="CaptionedFigure"/>
      </w:pPr>
      <w:r>
        <w:rPr>
          <w:noProof/>
        </w:rPr>
        <w:drawing>
          <wp:inline distT="0" distB="0" distL="0" distR="0" wp14:anchorId="3A16ACA9" wp14:editId="12EAAAE3">
            <wp:extent cx="5334000" cy="4267200"/>
            <wp:effectExtent l="0" t="0" r="0" b="0"/>
            <wp:docPr id="3" name="Picture" descr="Imputation method comparison among returning students"/>
            <wp:cNvGraphicFramePr/>
            <a:graphic xmlns:a="http://schemas.openxmlformats.org/drawingml/2006/main">
              <a:graphicData uri="http://schemas.openxmlformats.org/drawingml/2006/picture">
                <pic:pic xmlns:pic="http://schemas.openxmlformats.org/drawingml/2006/picture">
                  <pic:nvPicPr>
                    <pic:cNvPr id="0" name="Picture" descr="supplemental-appendix_files/figure-docx/imputation-log-ors-1.png"/>
                    <pic:cNvPicPr>
                      <a:picLocks noChangeAspect="1" noChangeArrowheads="1"/>
                    </pic:cNvPicPr>
                  </pic:nvPicPr>
                  <pic:blipFill>
                    <a:blip r:embed="rId15"/>
                    <a:stretch>
                      <a:fillRect/>
                    </a:stretch>
                  </pic:blipFill>
                  <pic:spPr bwMode="auto">
                    <a:xfrm>
                      <a:off x="0" y="0"/>
                      <a:ext cx="5334000" cy="4267200"/>
                    </a:xfrm>
                    <a:prstGeom prst="rect">
                      <a:avLst/>
                    </a:prstGeom>
                    <a:noFill/>
                    <a:ln w="9525">
                      <a:noFill/>
                      <a:headEnd/>
                      <a:tailEnd/>
                    </a:ln>
                  </pic:spPr>
                </pic:pic>
              </a:graphicData>
            </a:graphic>
          </wp:inline>
        </w:drawing>
      </w:r>
    </w:p>
    <w:p w14:paraId="7C014308" w14:textId="5F331C37" w:rsidR="00512E15" w:rsidRPr="00AB3086" w:rsidRDefault="00AB3086" w:rsidP="00F13CEA">
      <w:pPr>
        <w:pStyle w:val="ImageCaption"/>
        <w:rPr>
          <w:i w:val="0"/>
          <w:iCs/>
        </w:rPr>
      </w:pPr>
      <w:r>
        <w:rPr>
          <w:i w:val="0"/>
          <w:iCs/>
        </w:rPr>
        <w:t xml:space="preserve">Supplemental </w:t>
      </w:r>
      <w:r w:rsidR="00C374A0" w:rsidRPr="00AB3086">
        <w:rPr>
          <w:i w:val="0"/>
          <w:iCs/>
        </w:rPr>
        <w:t xml:space="preserve">Figure 1: </w:t>
      </w:r>
      <w:r w:rsidR="00E90E52">
        <w:rPr>
          <w:i w:val="0"/>
          <w:iCs/>
        </w:rPr>
        <w:t>Missing data treatment</w:t>
      </w:r>
      <w:r w:rsidR="00C374A0" w:rsidRPr="00AB3086">
        <w:rPr>
          <w:i w:val="0"/>
          <w:iCs/>
        </w:rPr>
        <w:t xml:space="preserve"> method comparison among returning students</w:t>
      </w:r>
    </w:p>
    <w:p w14:paraId="57758D7B" w14:textId="7CA741D9" w:rsidR="00512E15" w:rsidRDefault="00AB3086">
      <w:pPr>
        <w:pStyle w:val="CaptionedFigure"/>
      </w:pPr>
      <w:r>
        <w:rPr>
          <w:noProof/>
        </w:rPr>
        <w:lastRenderedPageBreak/>
        <w:drawing>
          <wp:inline distT="0" distB="0" distL="0" distR="0" wp14:anchorId="756B6953" wp14:editId="34B49428">
            <wp:extent cx="5334000" cy="4267200"/>
            <wp:effectExtent l="0" t="0" r="0" b="0"/>
            <wp:docPr id="4" name="Picture" descr="Sensitivity analysis of true prevalence amongst returning student and community subgroups, using pooled estimate of IgG test sensitivity against self-reported prior positive test"/>
            <wp:cNvGraphicFramePr/>
            <a:graphic xmlns:a="http://schemas.openxmlformats.org/drawingml/2006/main">
              <a:graphicData uri="http://schemas.openxmlformats.org/drawingml/2006/picture">
                <pic:pic xmlns:pic="http://schemas.openxmlformats.org/drawingml/2006/picture">
                  <pic:nvPicPr>
                    <pic:cNvPr id="0" name="Picture" descr="supplemental-appendix_files/figure-docx/true-prev-pooled-1.png"/>
                    <pic:cNvPicPr>
                      <a:picLocks noChangeAspect="1" noChangeArrowheads="1"/>
                    </pic:cNvPicPr>
                  </pic:nvPicPr>
                  <pic:blipFill>
                    <a:blip r:embed="rId16"/>
                    <a:stretch>
                      <a:fillRect/>
                    </a:stretch>
                  </pic:blipFill>
                  <pic:spPr bwMode="auto">
                    <a:xfrm>
                      <a:off x="0" y="0"/>
                      <a:ext cx="5334000" cy="4267200"/>
                    </a:xfrm>
                    <a:prstGeom prst="rect">
                      <a:avLst/>
                    </a:prstGeom>
                    <a:noFill/>
                    <a:ln w="9525">
                      <a:noFill/>
                      <a:headEnd/>
                      <a:tailEnd/>
                    </a:ln>
                  </pic:spPr>
                </pic:pic>
              </a:graphicData>
            </a:graphic>
          </wp:inline>
        </w:drawing>
      </w:r>
    </w:p>
    <w:p w14:paraId="53C18006" w14:textId="462002B8" w:rsidR="00512E15" w:rsidRPr="00AB3086" w:rsidRDefault="00AB3086" w:rsidP="00F13CEA">
      <w:pPr>
        <w:pStyle w:val="ImageCaption"/>
        <w:rPr>
          <w:i w:val="0"/>
          <w:iCs/>
        </w:rPr>
      </w:pPr>
      <w:r>
        <w:rPr>
          <w:i w:val="0"/>
          <w:iCs/>
        </w:rPr>
        <w:t xml:space="preserve">Supplemental </w:t>
      </w:r>
      <w:r w:rsidR="00C374A0" w:rsidRPr="00AB3086">
        <w:rPr>
          <w:i w:val="0"/>
          <w:iCs/>
        </w:rPr>
        <w:t>Figure 2: Sensitivity analysis of true prevalence amongst returning student and community subgroups, using pooled estimate of IgG test sensitivity against self-reported prior positive test</w:t>
      </w:r>
      <w:bookmarkEnd w:id="17"/>
    </w:p>
    <w:sectPr w:rsidR="00512E15" w:rsidRPr="00AB3086" w:rsidSect="00F13CEA">
      <w:footerReference w:type="even" r:id="rId17"/>
      <w:footerReference w:type="default" r:id="rId18"/>
      <w:pgSz w:w="12240" w:h="15840"/>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FB1D1" w14:textId="77777777" w:rsidR="00AF0C05" w:rsidRDefault="00AF0C05" w:rsidP="00F13CEA">
      <w:pPr>
        <w:spacing w:before="0" w:after="0" w:line="240" w:lineRule="auto"/>
      </w:pPr>
      <w:r>
        <w:separator/>
      </w:r>
    </w:p>
  </w:endnote>
  <w:endnote w:type="continuationSeparator" w:id="0">
    <w:p w14:paraId="4805689E" w14:textId="77777777" w:rsidR="00AF0C05" w:rsidRDefault="00AF0C05" w:rsidP="00F13CEA">
      <w:pPr>
        <w:spacing w:before="0" w:after="0" w:line="240" w:lineRule="auto"/>
      </w:pPr>
      <w:r>
        <w:continuationSeparator/>
      </w:r>
    </w:p>
  </w:endnote>
  <w:endnote w:type="continuationNotice" w:id="1">
    <w:p w14:paraId="073A7404" w14:textId="77777777" w:rsidR="00AF0C05" w:rsidRDefault="00AF0C05" w:rsidP="00F13C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355F" w14:textId="77777777" w:rsidR="00582734" w:rsidRDefault="00C374A0" w:rsidP="006A0A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B242F8" w14:textId="77777777" w:rsidR="00582734" w:rsidRDefault="00E8685C" w:rsidP="00D940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648813"/>
      <w:docPartObj>
        <w:docPartGallery w:val="Page Numbers (Bottom of Page)"/>
        <w:docPartUnique/>
      </w:docPartObj>
    </w:sdtPr>
    <w:sdtEndPr>
      <w:rPr>
        <w:rStyle w:val="PageNumber"/>
      </w:rPr>
    </w:sdtEndPr>
    <w:sdtContent>
      <w:p w14:paraId="3FAE126D" w14:textId="77777777" w:rsidR="00582734" w:rsidRDefault="00C374A0" w:rsidP="006A0A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05C8F4" w14:textId="77777777" w:rsidR="00582734" w:rsidRDefault="00E8685C" w:rsidP="00F13C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9D7FB" w14:textId="77777777" w:rsidR="00AF0C05" w:rsidRDefault="00AF0C05">
      <w:r>
        <w:separator/>
      </w:r>
    </w:p>
  </w:footnote>
  <w:footnote w:type="continuationSeparator" w:id="0">
    <w:p w14:paraId="33104691" w14:textId="77777777" w:rsidR="00AF0C05" w:rsidRDefault="00AF0C05">
      <w:r>
        <w:continuationSeparator/>
      </w:r>
    </w:p>
  </w:footnote>
  <w:footnote w:type="continuationNotice" w:id="1">
    <w:p w14:paraId="6A37E080" w14:textId="77777777" w:rsidR="00AF0C05" w:rsidRDefault="00AF0C05" w:rsidP="00F13CE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88F44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6023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8F6BF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54CD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F816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8E58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789B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74B3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225D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FEB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C5E6B2C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2C1AE401"/>
    <w:multiLevelType w:val="multilevel"/>
    <w:tmpl w:val="4DB6A65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465974207">
    <w:abstractNumId w:val="10"/>
  </w:num>
  <w:num w:numId="2" w16cid:durableId="121659268">
    <w:abstractNumId w:val="0"/>
  </w:num>
  <w:num w:numId="3" w16cid:durableId="1363899938">
    <w:abstractNumId w:val="1"/>
  </w:num>
  <w:num w:numId="4" w16cid:durableId="558244647">
    <w:abstractNumId w:val="2"/>
  </w:num>
  <w:num w:numId="5" w16cid:durableId="1144855015">
    <w:abstractNumId w:val="3"/>
  </w:num>
  <w:num w:numId="6" w16cid:durableId="445544831">
    <w:abstractNumId w:val="8"/>
  </w:num>
  <w:num w:numId="7" w16cid:durableId="876234388">
    <w:abstractNumId w:val="4"/>
  </w:num>
  <w:num w:numId="8" w16cid:durableId="963265541">
    <w:abstractNumId w:val="5"/>
  </w:num>
  <w:num w:numId="9" w16cid:durableId="626472037">
    <w:abstractNumId w:val="6"/>
  </w:num>
  <w:num w:numId="10" w16cid:durableId="57213416">
    <w:abstractNumId w:val="7"/>
  </w:num>
  <w:num w:numId="11" w16cid:durableId="630133560">
    <w:abstractNumId w:val="9"/>
  </w:num>
  <w:num w:numId="12" w16cid:durableId="305815392">
    <w:abstractNumId w:val="10"/>
  </w:num>
  <w:num w:numId="13" w16cid:durableId="8131102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15"/>
    <w:rsid w:val="00011C8B"/>
    <w:rsid w:val="00022C9F"/>
    <w:rsid w:val="000644F5"/>
    <w:rsid w:val="000B7A24"/>
    <w:rsid w:val="00280E97"/>
    <w:rsid w:val="002B7795"/>
    <w:rsid w:val="00372312"/>
    <w:rsid w:val="00390133"/>
    <w:rsid w:val="004C797B"/>
    <w:rsid w:val="004E29B3"/>
    <w:rsid w:val="00512E15"/>
    <w:rsid w:val="00540235"/>
    <w:rsid w:val="005502F3"/>
    <w:rsid w:val="00590D07"/>
    <w:rsid w:val="005A290B"/>
    <w:rsid w:val="005B1263"/>
    <w:rsid w:val="007058E8"/>
    <w:rsid w:val="00782771"/>
    <w:rsid w:val="00784D58"/>
    <w:rsid w:val="0078660F"/>
    <w:rsid w:val="008406E5"/>
    <w:rsid w:val="008A4231"/>
    <w:rsid w:val="008A4855"/>
    <w:rsid w:val="008C0C68"/>
    <w:rsid w:val="008D6863"/>
    <w:rsid w:val="00903FB2"/>
    <w:rsid w:val="00936AFC"/>
    <w:rsid w:val="00974CC2"/>
    <w:rsid w:val="009C3EF3"/>
    <w:rsid w:val="009E1D4E"/>
    <w:rsid w:val="00A11439"/>
    <w:rsid w:val="00A636A0"/>
    <w:rsid w:val="00A759B7"/>
    <w:rsid w:val="00AB3086"/>
    <w:rsid w:val="00AF0C05"/>
    <w:rsid w:val="00B86B75"/>
    <w:rsid w:val="00BC48D5"/>
    <w:rsid w:val="00C20530"/>
    <w:rsid w:val="00C23816"/>
    <w:rsid w:val="00C36279"/>
    <w:rsid w:val="00C374A0"/>
    <w:rsid w:val="00CD2AFF"/>
    <w:rsid w:val="00CE35B4"/>
    <w:rsid w:val="00CE79CC"/>
    <w:rsid w:val="00CF2084"/>
    <w:rsid w:val="00D20D0D"/>
    <w:rsid w:val="00D94092"/>
    <w:rsid w:val="00DC79BF"/>
    <w:rsid w:val="00E315A3"/>
    <w:rsid w:val="00E8685C"/>
    <w:rsid w:val="00E90E52"/>
    <w:rsid w:val="00E97FBD"/>
    <w:rsid w:val="00F12E1A"/>
    <w:rsid w:val="00F13CEA"/>
    <w:rsid w:val="00F70E9D"/>
    <w:rsid w:val="00FD36AA"/>
    <w:rsid w:val="07899587"/>
    <w:rsid w:val="088CFFBA"/>
    <w:rsid w:val="0FBCE860"/>
    <w:rsid w:val="12B647FA"/>
    <w:rsid w:val="1A7535FB"/>
    <w:rsid w:val="1D03A417"/>
    <w:rsid w:val="22F0B272"/>
    <w:rsid w:val="2D2EFEC7"/>
    <w:rsid w:val="2FA794CD"/>
    <w:rsid w:val="33581A6C"/>
    <w:rsid w:val="33884017"/>
    <w:rsid w:val="39276DDE"/>
    <w:rsid w:val="3DF3571D"/>
    <w:rsid w:val="40E56978"/>
    <w:rsid w:val="480B965C"/>
    <w:rsid w:val="4B3BAF3A"/>
    <w:rsid w:val="4C121BEB"/>
    <w:rsid w:val="50C60BBD"/>
    <w:rsid w:val="510B02AC"/>
    <w:rsid w:val="51A97282"/>
    <w:rsid w:val="52E377CF"/>
    <w:rsid w:val="53B81E18"/>
    <w:rsid w:val="56AA3073"/>
    <w:rsid w:val="56DA561E"/>
    <w:rsid w:val="595A7408"/>
    <w:rsid w:val="59CC6879"/>
    <w:rsid w:val="5B96654C"/>
    <w:rsid w:val="5C7983E5"/>
    <w:rsid w:val="63F28890"/>
    <w:rsid w:val="653AE9B2"/>
    <w:rsid w:val="66115663"/>
    <w:rsid w:val="6CE41408"/>
    <w:rsid w:val="6F6431F2"/>
    <w:rsid w:val="70679C25"/>
    <w:rsid w:val="745D18B3"/>
    <w:rsid w:val="774F2B0E"/>
    <w:rsid w:val="7B44A79C"/>
    <w:rsid w:val="7FCB99E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16C4"/>
  <w15:docId w15:val="{E3FE94A5-B8A4-2D48-B6A2-874A5C6B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Headings CS)"/>
        <w:bCs/>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CEA"/>
    <w:pPr>
      <w:spacing w:before="180" w:after="180" w:line="480" w:lineRule="auto"/>
    </w:pPr>
  </w:style>
  <w:style w:type="paragraph" w:styleId="Heading1">
    <w:name w:val="heading 1"/>
    <w:basedOn w:val="Normal"/>
    <w:next w:val="BodyText"/>
    <w:uiPriority w:val="9"/>
    <w:qFormat/>
    <w:rsid w:val="00F13CEA"/>
    <w:pPr>
      <w:keepNext/>
      <w:keepLines/>
      <w:spacing w:before="480" w:after="0"/>
      <w:outlineLvl w:val="0"/>
    </w:pPr>
    <w:rPr>
      <w:rFonts w:eastAsiaTheme="majorEastAsia" w:cstheme="majorBidi"/>
      <w:b/>
      <w:bCs w:val="0"/>
      <w:sz w:val="28"/>
      <w:szCs w:val="32"/>
    </w:rPr>
  </w:style>
  <w:style w:type="paragraph" w:styleId="Heading2">
    <w:name w:val="heading 2"/>
    <w:basedOn w:val="Normal"/>
    <w:next w:val="BodyText"/>
    <w:uiPriority w:val="9"/>
    <w:unhideWhenUsed/>
    <w:qFormat/>
    <w:rsid w:val="00F13CEA"/>
    <w:pPr>
      <w:keepNext/>
      <w:keepLines/>
      <w:spacing w:before="200" w:after="0"/>
      <w:outlineLvl w:val="1"/>
    </w:pPr>
    <w:rPr>
      <w:rFonts w:eastAsiaTheme="majorEastAsia" w:cstheme="majorBidi"/>
      <w:b/>
      <w:bCs w:val="0"/>
      <w:i/>
      <w:color w:val="000000" w:themeColor="text1"/>
      <w:szCs w:val="28"/>
    </w:rPr>
  </w:style>
  <w:style w:type="paragraph" w:styleId="Heading3">
    <w:name w:val="heading 3"/>
    <w:basedOn w:val="Normal"/>
    <w:next w:val="BodyText"/>
    <w:uiPriority w:val="9"/>
    <w:unhideWhenUsed/>
    <w:qFormat/>
    <w:rsid w:val="00F13CEA"/>
    <w:pPr>
      <w:keepNext/>
      <w:keepLines/>
      <w:spacing w:before="200" w:after="0"/>
      <w:outlineLvl w:val="2"/>
    </w:pPr>
    <w:rPr>
      <w:rFonts w:eastAsiaTheme="majorEastAsia" w:cstheme="majorBidi"/>
      <w:bCs w:val="0"/>
      <w:i/>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val="0"/>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13CEA"/>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F13CEA"/>
    <w:pPr>
      <w:keepNext/>
      <w:keepLines/>
      <w:spacing w:before="480" w:after="240" w:line="240" w:lineRule="auto"/>
      <w:jc w:val="center"/>
    </w:pPr>
    <w:rPr>
      <w:rFonts w:eastAsiaTheme="majorEastAsia" w:cstheme="majorBidi"/>
      <w:b/>
      <w:bCs w:val="0"/>
      <w:color w:val="000000" w:themeColor="text1"/>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582734"/>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sid w:val="00F13CEA"/>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Pr>
      <w:i/>
    </w:rPr>
  </w:style>
  <w:style w:type="character" w:customStyle="1" w:styleId="VerbatimChar">
    <w:name w:val="Verbatim Char"/>
    <w:basedOn w:val="CaptionChar"/>
    <w:link w:val="SourceCode"/>
    <w:rPr>
      <w:rFonts w:ascii="Consolas" w:hAnsi="Consolas"/>
      <w:i/>
      <w:sz w:val="22"/>
    </w:rPr>
  </w:style>
  <w:style w:type="character" w:customStyle="1" w:styleId="SectionNumber">
    <w:name w:val="Section Number"/>
    <w:basedOn w:val="CaptionChar"/>
    <w:rsid w:val="00F13CEA"/>
    <w:rPr>
      <w:i w:val="0"/>
    </w:rPr>
  </w:style>
  <w:style w:type="character" w:styleId="FootnoteReference">
    <w:name w:val="footnote reference"/>
    <w:basedOn w:val="CaptionChar"/>
    <w:rsid w:val="00F13CEA"/>
    <w:rPr>
      <w:i w:val="0"/>
      <w:vertAlign w:val="superscript"/>
    </w:rPr>
  </w:style>
  <w:style w:type="character" w:styleId="Hyperlink">
    <w:name w:val="Hyperlink"/>
    <w:basedOn w:val="CaptionChar"/>
    <w:rsid w:val="00F13CEA"/>
    <w:rPr>
      <w:i w:val="0"/>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sid w:val="00F13CEA"/>
    <w:rPr>
      <w:rFonts w:ascii="Consolas" w:hAnsi="Consolas"/>
      <w:b/>
      <w:i w:val="0"/>
      <w:color w:val="204A87"/>
      <w:sz w:val="22"/>
      <w:shd w:val="clear" w:color="auto" w:fill="F8F8F8"/>
    </w:rPr>
  </w:style>
  <w:style w:type="character" w:customStyle="1" w:styleId="DataTypeTok">
    <w:name w:val="DataTypeTok"/>
    <w:basedOn w:val="VerbatimChar"/>
    <w:rsid w:val="00F13CEA"/>
    <w:rPr>
      <w:rFonts w:ascii="Consolas" w:hAnsi="Consolas"/>
      <w:i w:val="0"/>
      <w:color w:val="204A87"/>
      <w:sz w:val="22"/>
      <w:shd w:val="clear" w:color="auto" w:fill="F8F8F8"/>
    </w:rPr>
  </w:style>
  <w:style w:type="character" w:customStyle="1" w:styleId="DecValTok">
    <w:name w:val="DecValTok"/>
    <w:basedOn w:val="VerbatimChar"/>
    <w:rsid w:val="00F13CEA"/>
    <w:rPr>
      <w:rFonts w:ascii="Consolas" w:hAnsi="Consolas"/>
      <w:i w:val="0"/>
      <w:color w:val="0000CF"/>
      <w:sz w:val="22"/>
      <w:shd w:val="clear" w:color="auto" w:fill="F8F8F8"/>
    </w:rPr>
  </w:style>
  <w:style w:type="character" w:customStyle="1" w:styleId="BaseNTok">
    <w:name w:val="BaseNTok"/>
    <w:basedOn w:val="VerbatimChar"/>
    <w:rsid w:val="00F13CEA"/>
    <w:rPr>
      <w:rFonts w:ascii="Consolas" w:hAnsi="Consolas"/>
      <w:i w:val="0"/>
      <w:color w:val="0000CF"/>
      <w:sz w:val="22"/>
      <w:shd w:val="clear" w:color="auto" w:fill="F8F8F8"/>
    </w:rPr>
  </w:style>
  <w:style w:type="character" w:customStyle="1" w:styleId="FloatTok">
    <w:name w:val="FloatTok"/>
    <w:basedOn w:val="VerbatimChar"/>
    <w:rsid w:val="00F13CEA"/>
    <w:rPr>
      <w:rFonts w:ascii="Consolas" w:hAnsi="Consolas"/>
      <w:i w:val="0"/>
      <w:color w:val="0000CF"/>
      <w:sz w:val="22"/>
      <w:shd w:val="clear" w:color="auto" w:fill="F8F8F8"/>
    </w:rPr>
  </w:style>
  <w:style w:type="character" w:customStyle="1" w:styleId="ConstantTok">
    <w:name w:val="ConstantTok"/>
    <w:basedOn w:val="VerbatimChar"/>
    <w:rsid w:val="00F13CEA"/>
    <w:rPr>
      <w:rFonts w:ascii="Consolas" w:hAnsi="Consolas"/>
      <w:i w:val="0"/>
      <w:color w:val="000000"/>
      <w:sz w:val="22"/>
      <w:shd w:val="clear" w:color="auto" w:fill="F8F8F8"/>
    </w:rPr>
  </w:style>
  <w:style w:type="character" w:customStyle="1" w:styleId="CharTok">
    <w:name w:val="CharTok"/>
    <w:basedOn w:val="VerbatimChar"/>
    <w:rsid w:val="00F13CEA"/>
    <w:rPr>
      <w:rFonts w:ascii="Consolas" w:hAnsi="Consolas"/>
      <w:i w:val="0"/>
      <w:color w:val="4E9A06"/>
      <w:sz w:val="22"/>
      <w:shd w:val="clear" w:color="auto" w:fill="F8F8F8"/>
    </w:rPr>
  </w:style>
  <w:style w:type="character" w:customStyle="1" w:styleId="SpecialCharTok">
    <w:name w:val="SpecialCharTok"/>
    <w:basedOn w:val="VerbatimChar"/>
    <w:rsid w:val="00F13CEA"/>
    <w:rPr>
      <w:rFonts w:ascii="Consolas" w:hAnsi="Consolas"/>
      <w:i w:val="0"/>
      <w:color w:val="000000"/>
      <w:sz w:val="22"/>
      <w:shd w:val="clear" w:color="auto" w:fill="F8F8F8"/>
    </w:rPr>
  </w:style>
  <w:style w:type="character" w:customStyle="1" w:styleId="StringTok">
    <w:name w:val="StringTok"/>
    <w:basedOn w:val="VerbatimChar"/>
    <w:rsid w:val="00F13CEA"/>
    <w:rPr>
      <w:rFonts w:ascii="Consolas" w:hAnsi="Consolas"/>
      <w:i w:val="0"/>
      <w:color w:val="4E9A06"/>
      <w:sz w:val="22"/>
      <w:shd w:val="clear" w:color="auto" w:fill="F8F8F8"/>
    </w:rPr>
  </w:style>
  <w:style w:type="character" w:customStyle="1" w:styleId="VerbatimStringTok">
    <w:name w:val="VerbatimStringTok"/>
    <w:basedOn w:val="VerbatimChar"/>
    <w:rsid w:val="00F13CEA"/>
    <w:rPr>
      <w:rFonts w:ascii="Consolas" w:hAnsi="Consolas"/>
      <w:i w:val="0"/>
      <w:color w:val="4E9A06"/>
      <w:sz w:val="22"/>
      <w:shd w:val="clear" w:color="auto" w:fill="F8F8F8"/>
    </w:rPr>
  </w:style>
  <w:style w:type="character" w:customStyle="1" w:styleId="SpecialStringTok">
    <w:name w:val="SpecialStringTok"/>
    <w:basedOn w:val="VerbatimChar"/>
    <w:rsid w:val="00F13CEA"/>
    <w:rPr>
      <w:rFonts w:ascii="Consolas" w:hAnsi="Consolas"/>
      <w:i w:val="0"/>
      <w:color w:val="4E9A06"/>
      <w:sz w:val="22"/>
      <w:shd w:val="clear" w:color="auto" w:fill="F8F8F8"/>
    </w:rPr>
  </w:style>
  <w:style w:type="character" w:customStyle="1" w:styleId="ImportTok">
    <w:name w:val="ImportTok"/>
    <w:basedOn w:val="VerbatimChar"/>
    <w:rsid w:val="00F13CEA"/>
    <w:rPr>
      <w:rFonts w:ascii="Consolas" w:hAnsi="Consolas"/>
      <w:i w:val="0"/>
      <w:sz w:val="22"/>
      <w:shd w:val="clear" w:color="auto" w:fill="F8F8F8"/>
    </w:rPr>
  </w:style>
  <w:style w:type="character" w:customStyle="1" w:styleId="CommentTok">
    <w:name w:val="CommentTok"/>
    <w:basedOn w:val="VerbatimChar"/>
    <w:rsid w:val="00F13CEA"/>
    <w:rPr>
      <w:rFonts w:ascii="Consolas" w:hAnsi="Consolas"/>
      <w:i/>
      <w:color w:val="8F5902"/>
      <w:sz w:val="22"/>
      <w:shd w:val="clear" w:color="auto" w:fill="F8F8F8"/>
    </w:rPr>
  </w:style>
  <w:style w:type="character" w:customStyle="1" w:styleId="DocumentationTok">
    <w:name w:val="DocumentationTok"/>
    <w:basedOn w:val="VerbatimChar"/>
    <w:rsid w:val="00F13CEA"/>
    <w:rPr>
      <w:rFonts w:ascii="Consolas" w:hAnsi="Consolas"/>
      <w:b/>
      <w:i/>
      <w:color w:val="8F5902"/>
      <w:sz w:val="22"/>
      <w:shd w:val="clear" w:color="auto" w:fill="F8F8F8"/>
    </w:rPr>
  </w:style>
  <w:style w:type="character" w:customStyle="1" w:styleId="AnnotationTok">
    <w:name w:val="AnnotationTok"/>
    <w:basedOn w:val="VerbatimChar"/>
    <w:rsid w:val="00F13CEA"/>
    <w:rPr>
      <w:rFonts w:ascii="Consolas" w:hAnsi="Consolas"/>
      <w:b/>
      <w:i/>
      <w:color w:val="8F5902"/>
      <w:sz w:val="22"/>
      <w:shd w:val="clear" w:color="auto" w:fill="F8F8F8"/>
    </w:rPr>
  </w:style>
  <w:style w:type="character" w:customStyle="1" w:styleId="CommentVarTok">
    <w:name w:val="CommentVarTok"/>
    <w:basedOn w:val="VerbatimChar"/>
    <w:rsid w:val="00F13CEA"/>
    <w:rPr>
      <w:rFonts w:ascii="Consolas" w:hAnsi="Consolas"/>
      <w:b/>
      <w:i/>
      <w:color w:val="8F5902"/>
      <w:sz w:val="22"/>
      <w:shd w:val="clear" w:color="auto" w:fill="F8F8F8"/>
    </w:rPr>
  </w:style>
  <w:style w:type="character" w:customStyle="1" w:styleId="OtherTok">
    <w:name w:val="OtherTok"/>
    <w:basedOn w:val="VerbatimChar"/>
    <w:rsid w:val="00F13CEA"/>
    <w:rPr>
      <w:rFonts w:ascii="Consolas" w:hAnsi="Consolas"/>
      <w:i w:val="0"/>
      <w:color w:val="8F5902"/>
      <w:sz w:val="22"/>
      <w:shd w:val="clear" w:color="auto" w:fill="F8F8F8"/>
    </w:rPr>
  </w:style>
  <w:style w:type="character" w:customStyle="1" w:styleId="FunctionTok">
    <w:name w:val="FunctionTok"/>
    <w:basedOn w:val="VerbatimChar"/>
    <w:rsid w:val="00F13CEA"/>
    <w:rPr>
      <w:rFonts w:ascii="Consolas" w:hAnsi="Consolas"/>
      <w:i w:val="0"/>
      <w:color w:val="000000"/>
      <w:sz w:val="22"/>
      <w:shd w:val="clear" w:color="auto" w:fill="F8F8F8"/>
    </w:rPr>
  </w:style>
  <w:style w:type="character" w:customStyle="1" w:styleId="VariableTok">
    <w:name w:val="VariableTok"/>
    <w:basedOn w:val="VerbatimChar"/>
    <w:rsid w:val="00F13CEA"/>
    <w:rPr>
      <w:rFonts w:ascii="Consolas" w:hAnsi="Consolas"/>
      <w:i w:val="0"/>
      <w:color w:val="000000"/>
      <w:sz w:val="22"/>
      <w:shd w:val="clear" w:color="auto" w:fill="F8F8F8"/>
    </w:rPr>
  </w:style>
  <w:style w:type="character" w:customStyle="1" w:styleId="ControlFlowTok">
    <w:name w:val="ControlFlowTok"/>
    <w:basedOn w:val="VerbatimChar"/>
    <w:rsid w:val="00F13CEA"/>
    <w:rPr>
      <w:rFonts w:ascii="Consolas" w:hAnsi="Consolas"/>
      <w:b/>
      <w:i w:val="0"/>
      <w:color w:val="204A87"/>
      <w:sz w:val="22"/>
      <w:shd w:val="clear" w:color="auto" w:fill="F8F8F8"/>
    </w:rPr>
  </w:style>
  <w:style w:type="character" w:customStyle="1" w:styleId="OperatorTok">
    <w:name w:val="OperatorTok"/>
    <w:basedOn w:val="VerbatimChar"/>
    <w:rsid w:val="00F13CEA"/>
    <w:rPr>
      <w:rFonts w:ascii="Consolas" w:hAnsi="Consolas"/>
      <w:b/>
      <w:i w:val="0"/>
      <w:color w:val="CE5C00"/>
      <w:sz w:val="22"/>
      <w:shd w:val="clear" w:color="auto" w:fill="F8F8F8"/>
    </w:rPr>
  </w:style>
  <w:style w:type="character" w:customStyle="1" w:styleId="BuiltInTok">
    <w:name w:val="BuiltInTok"/>
    <w:basedOn w:val="VerbatimChar"/>
    <w:rsid w:val="00F13CEA"/>
    <w:rPr>
      <w:rFonts w:ascii="Consolas" w:hAnsi="Consolas"/>
      <w:i w:val="0"/>
      <w:sz w:val="22"/>
      <w:shd w:val="clear" w:color="auto" w:fill="F8F8F8"/>
    </w:rPr>
  </w:style>
  <w:style w:type="character" w:customStyle="1" w:styleId="ExtensionTok">
    <w:name w:val="ExtensionTok"/>
    <w:basedOn w:val="VerbatimChar"/>
    <w:rsid w:val="00F13CEA"/>
    <w:rPr>
      <w:rFonts w:ascii="Consolas" w:hAnsi="Consolas"/>
      <w:i w:val="0"/>
      <w:sz w:val="22"/>
      <w:shd w:val="clear" w:color="auto" w:fill="F8F8F8"/>
    </w:rPr>
  </w:style>
  <w:style w:type="character" w:customStyle="1" w:styleId="PreprocessorTok">
    <w:name w:val="PreprocessorTok"/>
    <w:basedOn w:val="VerbatimChar"/>
    <w:rsid w:val="00F13CEA"/>
    <w:rPr>
      <w:rFonts w:ascii="Consolas" w:hAnsi="Consolas"/>
      <w:i/>
      <w:color w:val="8F5902"/>
      <w:sz w:val="22"/>
      <w:shd w:val="clear" w:color="auto" w:fill="F8F8F8"/>
    </w:rPr>
  </w:style>
  <w:style w:type="character" w:customStyle="1" w:styleId="AttributeTok">
    <w:name w:val="AttributeTok"/>
    <w:basedOn w:val="VerbatimChar"/>
    <w:rsid w:val="00F13CEA"/>
    <w:rPr>
      <w:rFonts w:ascii="Consolas" w:hAnsi="Consolas"/>
      <w:i w:val="0"/>
      <w:color w:val="C4A000"/>
      <w:sz w:val="22"/>
      <w:shd w:val="clear" w:color="auto" w:fill="F8F8F8"/>
    </w:rPr>
  </w:style>
  <w:style w:type="character" w:customStyle="1" w:styleId="RegionMarkerTok">
    <w:name w:val="RegionMarkerTok"/>
    <w:basedOn w:val="VerbatimChar"/>
    <w:rsid w:val="00F13CEA"/>
    <w:rPr>
      <w:rFonts w:ascii="Consolas" w:hAnsi="Consolas"/>
      <w:i w:val="0"/>
      <w:sz w:val="22"/>
      <w:shd w:val="clear" w:color="auto" w:fill="F8F8F8"/>
    </w:rPr>
  </w:style>
  <w:style w:type="character" w:customStyle="1" w:styleId="InformationTok">
    <w:name w:val="InformationTok"/>
    <w:basedOn w:val="VerbatimChar"/>
    <w:rsid w:val="00F13CEA"/>
    <w:rPr>
      <w:rFonts w:ascii="Consolas" w:hAnsi="Consolas"/>
      <w:b/>
      <w:i/>
      <w:color w:val="8F5902"/>
      <w:sz w:val="22"/>
      <w:shd w:val="clear" w:color="auto" w:fill="F8F8F8"/>
    </w:rPr>
  </w:style>
  <w:style w:type="character" w:customStyle="1" w:styleId="WarningTok">
    <w:name w:val="WarningTok"/>
    <w:basedOn w:val="VerbatimChar"/>
    <w:rsid w:val="00F13CEA"/>
    <w:rPr>
      <w:rFonts w:ascii="Consolas" w:hAnsi="Consolas"/>
      <w:b/>
      <w:i/>
      <w:color w:val="8F5902"/>
      <w:sz w:val="22"/>
      <w:shd w:val="clear" w:color="auto" w:fill="F8F8F8"/>
    </w:rPr>
  </w:style>
  <w:style w:type="character" w:customStyle="1" w:styleId="AlertTok">
    <w:name w:val="AlertTok"/>
    <w:basedOn w:val="VerbatimChar"/>
    <w:rsid w:val="00F13CEA"/>
    <w:rPr>
      <w:rFonts w:ascii="Consolas" w:hAnsi="Consolas"/>
      <w:i w:val="0"/>
      <w:color w:val="EF2929"/>
      <w:sz w:val="22"/>
      <w:shd w:val="clear" w:color="auto" w:fill="F8F8F8"/>
    </w:rPr>
  </w:style>
  <w:style w:type="character" w:customStyle="1" w:styleId="ErrorTok">
    <w:name w:val="ErrorTok"/>
    <w:basedOn w:val="VerbatimChar"/>
    <w:rsid w:val="00F13CEA"/>
    <w:rPr>
      <w:rFonts w:ascii="Consolas" w:hAnsi="Consolas"/>
      <w:b/>
      <w:i w:val="0"/>
      <w:color w:val="A40000"/>
      <w:sz w:val="22"/>
      <w:shd w:val="clear" w:color="auto" w:fill="F8F8F8"/>
    </w:rPr>
  </w:style>
  <w:style w:type="character" w:customStyle="1" w:styleId="NormalTok">
    <w:name w:val="NormalTok"/>
    <w:basedOn w:val="VerbatimChar"/>
    <w:rsid w:val="00F13CEA"/>
    <w:rPr>
      <w:rFonts w:ascii="Consolas" w:hAnsi="Consolas"/>
      <w:i w:val="0"/>
      <w:sz w:val="22"/>
      <w:shd w:val="clear" w:color="auto" w:fill="F8F8F8"/>
    </w:rPr>
  </w:style>
  <w:style w:type="paragraph" w:styleId="Header">
    <w:name w:val="header"/>
    <w:basedOn w:val="Normal"/>
    <w:link w:val="HeaderChar"/>
    <w:unhideWhenUsed/>
    <w:rsid w:val="00582734"/>
    <w:pPr>
      <w:tabs>
        <w:tab w:val="center" w:pos="4680"/>
        <w:tab w:val="right" w:pos="9360"/>
      </w:tabs>
      <w:spacing w:before="0" w:after="0" w:line="240" w:lineRule="auto"/>
    </w:pPr>
  </w:style>
  <w:style w:type="character" w:customStyle="1" w:styleId="BodyTextChar">
    <w:name w:val="Body Text Char"/>
    <w:basedOn w:val="DefaultParagraphFont"/>
    <w:link w:val="BodyText"/>
    <w:rsid w:val="004B67C7"/>
  </w:style>
  <w:style w:type="character" w:customStyle="1" w:styleId="HeaderChar">
    <w:name w:val="Header Char"/>
    <w:basedOn w:val="DefaultParagraphFont"/>
    <w:link w:val="Header"/>
    <w:rsid w:val="00582734"/>
  </w:style>
  <w:style w:type="paragraph" w:styleId="Footer">
    <w:name w:val="footer"/>
    <w:basedOn w:val="Normal"/>
    <w:link w:val="FooterChar"/>
    <w:unhideWhenUsed/>
    <w:rsid w:val="00582734"/>
    <w:pPr>
      <w:tabs>
        <w:tab w:val="center" w:pos="4680"/>
        <w:tab w:val="right" w:pos="9360"/>
      </w:tabs>
      <w:spacing w:before="0" w:after="0" w:line="240" w:lineRule="auto"/>
    </w:pPr>
  </w:style>
  <w:style w:type="character" w:customStyle="1" w:styleId="FooterChar">
    <w:name w:val="Footer Char"/>
    <w:basedOn w:val="DefaultParagraphFont"/>
    <w:link w:val="Footer"/>
    <w:rsid w:val="00582734"/>
  </w:style>
  <w:style w:type="character" w:styleId="PageNumber">
    <w:name w:val="page number"/>
    <w:basedOn w:val="DefaultParagraphFont"/>
    <w:semiHidden/>
    <w:unhideWhenUsed/>
    <w:rsid w:val="00582734"/>
  </w:style>
  <w:style w:type="character" w:styleId="LineNumber">
    <w:name w:val="line number"/>
    <w:basedOn w:val="DefaultParagraphFont"/>
    <w:semiHidden/>
    <w:unhideWhenUsed/>
    <w:rsid w:val="00F13CEA"/>
  </w:style>
  <w:style w:type="paragraph" w:styleId="NoSpacing">
    <w:name w:val="No Spacing"/>
    <w:qFormat/>
    <w:rsid w:val="00F12E1A"/>
    <w:pPr>
      <w:spacing w:after="0"/>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447941">
      <w:bodyDiv w:val="1"/>
      <w:marLeft w:val="0"/>
      <w:marRight w:val="0"/>
      <w:marTop w:val="0"/>
      <w:marBottom w:val="0"/>
      <w:divBdr>
        <w:top w:val="none" w:sz="0" w:space="0" w:color="auto"/>
        <w:left w:val="none" w:sz="0" w:space="0" w:color="auto"/>
        <w:bottom w:val="none" w:sz="0" w:space="0" w:color="auto"/>
        <w:right w:val="none" w:sz="0" w:space="0" w:color="auto"/>
      </w:divBdr>
      <w:divsChild>
        <w:div w:id="323435414">
          <w:marLeft w:val="0"/>
          <w:marRight w:val="0"/>
          <w:marTop w:val="0"/>
          <w:marBottom w:val="0"/>
          <w:divBdr>
            <w:top w:val="none" w:sz="0" w:space="0" w:color="auto"/>
            <w:left w:val="none" w:sz="0" w:space="0" w:color="auto"/>
            <w:bottom w:val="none" w:sz="0" w:space="0" w:color="auto"/>
            <w:right w:val="none" w:sz="0" w:space="0" w:color="auto"/>
          </w:divBdr>
          <w:divsChild>
            <w:div w:id="18960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a5228@psu.edu" TargetMode="External"/><Relationship Id="rId13" Type="http://schemas.openxmlformats.org/officeDocument/2006/relationships/hyperlink" Target="https://www.tidymodels.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jf283@psu.edu" TargetMode="External"/><Relationship Id="rId12" Type="http://schemas.openxmlformats.org/officeDocument/2006/relationships/hyperlink" Target="https://doi.org/10.18637/jss.v045.i0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1621459.1988.10478722"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doi.org/10.1038/s42003-021-01813-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dx.doi.org/10.17504/protocols.io.bivgke3w" TargetMode="External"/><Relationship Id="rId14" Type="http://schemas.openxmlformats.org/officeDocument/2006/relationships/hyperlink" Target="https://bookdown.org/max/F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SARS-CoV-2 Seroprevalence in a University Community: A Longitudinal Study of the Impact of Student Return to Campus on Infection Risk Among Community Members</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SARS-CoV-2 Seroprevalence in a University Community: A Longitudinal Study of the Impact of Student Return to Campus on Infection Risk Among Community Members</dc:title>
  <dc:creator>Callum Arnold</dc:creator>
  <cp:keywords/>
  <cp:lastModifiedBy>Callum Arnold</cp:lastModifiedBy>
  <cp:revision>9</cp:revision>
  <cp:lastPrinted>2022-04-08T20:00:00Z</cp:lastPrinted>
  <dcterms:created xsi:type="dcterms:W3CDTF">2022-04-11T14:52:00Z</dcterms:created>
  <dcterms:modified xsi:type="dcterms:W3CDTF">2022-05-13T21:23:00Z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ress">
    <vt:lpwstr/>
  </property>
  <property fmtid="{D5CDD505-2E9C-101B-9397-08002B2CF9AE}" pid="3" name="always_allow_html">
    <vt:lpwstr>True</vt:lpwstr>
  </property>
  <property fmtid="{D5CDD505-2E9C-101B-9397-08002B2CF9AE}" pid="4" name="bibliography">
    <vt:lpwstr>/Users/cfa5228/Documents/Repos/Data4Action//D4A.bib</vt:lpwstr>
  </property>
  <property fmtid="{D5CDD505-2E9C-101B-9397-08002B2CF9AE}" pid="5" name="csl">
    <vt:lpwstr>elsevier-vancouver.csl</vt:lpwstr>
  </property>
  <property fmtid="{D5CDD505-2E9C-101B-9397-08002B2CF9AE}" pid="6" name="date">
    <vt:lpwstr>2022-04-07</vt:lpwstr>
  </property>
  <property fmtid="{D5CDD505-2E9C-101B-9397-08002B2CF9AE}" pid="7" name="footnote">
    <vt:lpwstr/>
  </property>
  <property fmtid="{D5CDD505-2E9C-101B-9397-08002B2CF9AE}" pid="8" name="geometry">
    <vt:lpwstr>margin=1in</vt:lpwstr>
  </property>
  <property fmtid="{D5CDD505-2E9C-101B-9397-08002B2CF9AE}" pid="9" name="header-includes">
    <vt:lpwstr/>
  </property>
  <property fmtid="{D5CDD505-2E9C-101B-9397-08002B2CF9AE}" pid="10" name="journal">
    <vt:lpwstr>MedRxiv</vt:lpwstr>
  </property>
  <property fmtid="{D5CDD505-2E9C-101B-9397-08002B2CF9AE}" pid="11" name="linenumbers">
    <vt:lpwstr>False</vt:lpwstr>
  </property>
  <property fmtid="{D5CDD505-2E9C-101B-9397-08002B2CF9AE}" pid="12" name="numbersections">
    <vt:lpwstr>False</vt:lpwstr>
  </property>
  <property fmtid="{D5CDD505-2E9C-101B-9397-08002B2CF9AE}" pid="13" name="output">
    <vt:lpwstr/>
  </property>
  <property fmtid="{D5CDD505-2E9C-101B-9397-08002B2CF9AE}" pid="14" name="subtitle">
    <vt:lpwstr>Supplemental Appendix</vt:lpwstr>
  </property>
</Properties>
</file>