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22A5" w:rsidRDefault="00F022A5" w:rsidP="001A4174">
      <w:pPr>
        <w:rPr>
          <w:rFonts w:ascii="Arial" w:hAnsi="Arial" w:cs="Arial"/>
          <w:b/>
          <w:bCs/>
          <w:noProof/>
        </w:rPr>
      </w:pPr>
    </w:p>
    <w:p w:rsidR="00F022A5" w:rsidRPr="00E8442B" w:rsidRDefault="00F022A5" w:rsidP="00F022A5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Ultrasensitive detection of salivary SARS-CoV-2 IgG antibodies in individuals with natural and COVID-19 vaccine-induced immunity</w:t>
      </w:r>
    </w:p>
    <w:p w:rsidR="00F022A5" w:rsidRPr="00E8442B" w:rsidRDefault="00F022A5" w:rsidP="00F022A5">
      <w:pPr>
        <w:jc w:val="center"/>
        <w:rPr>
          <w:rFonts w:ascii="Arial" w:hAnsi="Arial" w:cs="Arial"/>
          <w:b/>
          <w:sz w:val="28"/>
          <w:szCs w:val="28"/>
        </w:rPr>
      </w:pPr>
    </w:p>
    <w:p w:rsidR="00F022A5" w:rsidRPr="00E8442B" w:rsidRDefault="00F022A5" w:rsidP="00F022A5">
      <w:pPr>
        <w:jc w:val="center"/>
        <w:rPr>
          <w:rFonts w:ascii="Arial" w:hAnsi="Arial" w:cs="Arial"/>
          <w:b/>
        </w:rPr>
      </w:pPr>
    </w:p>
    <w:p w:rsidR="00F022A5" w:rsidRPr="00E8442B" w:rsidRDefault="00F022A5" w:rsidP="00F022A5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Stefani N. Thomas</w:t>
      </w:r>
      <w:r w:rsidRPr="00E8442B">
        <w:rPr>
          <w:rFonts w:ascii="Arial" w:hAnsi="Arial" w:cs="Arial"/>
          <w:vertAlign w:val="superscript"/>
        </w:rPr>
        <w:t>1</w:t>
      </w:r>
      <w:r>
        <w:rPr>
          <w:rFonts w:ascii="Arial" w:hAnsi="Arial" w:cs="Arial"/>
          <w:vertAlign w:val="superscript"/>
        </w:rPr>
        <w:t>§</w:t>
      </w:r>
      <w:r w:rsidRPr="00E8442B">
        <w:rPr>
          <w:rFonts w:ascii="Arial" w:hAnsi="Arial" w:cs="Arial"/>
        </w:rPr>
        <w:t>;</w:t>
      </w:r>
      <w:r>
        <w:rPr>
          <w:rFonts w:ascii="Arial" w:hAnsi="Arial" w:cs="Arial"/>
        </w:rPr>
        <w:t xml:space="preserve"> Amy B. Karger</w:t>
      </w:r>
      <w:r w:rsidRPr="00E8442B">
        <w:rPr>
          <w:rFonts w:ascii="Arial" w:hAnsi="Arial" w:cs="Arial"/>
          <w:vertAlign w:val="superscript"/>
        </w:rPr>
        <w:t>1</w:t>
      </w:r>
      <w:r>
        <w:rPr>
          <w:rFonts w:ascii="Arial" w:hAnsi="Arial" w:cs="Arial"/>
          <w:vertAlign w:val="superscript"/>
        </w:rPr>
        <w:t>§</w:t>
      </w:r>
      <w:r>
        <w:rPr>
          <w:rFonts w:ascii="Arial" w:hAnsi="Arial" w:cs="Arial"/>
        </w:rPr>
        <w:t xml:space="preserve">; </w:t>
      </w:r>
      <w:proofErr w:type="spellStart"/>
      <w:r>
        <w:rPr>
          <w:rFonts w:ascii="Arial" w:hAnsi="Arial" w:cs="Arial"/>
        </w:rPr>
        <w:t>Ghaith</w:t>
      </w:r>
      <w:proofErr w:type="spellEnd"/>
      <w:r>
        <w:rPr>
          <w:rFonts w:ascii="Arial" w:hAnsi="Arial" w:cs="Arial"/>
        </w:rPr>
        <w:t xml:space="preserve"> Altawallbeh</w:t>
      </w:r>
      <w:r w:rsidRPr="00E8442B">
        <w:rPr>
          <w:rFonts w:ascii="Arial" w:hAnsi="Arial" w:cs="Arial"/>
          <w:vertAlign w:val="superscript"/>
        </w:rPr>
        <w:t>1</w:t>
      </w:r>
      <w:r>
        <w:rPr>
          <w:rFonts w:ascii="Arial" w:hAnsi="Arial" w:cs="Arial"/>
          <w:vertAlign w:val="superscript"/>
        </w:rPr>
        <w:t>§◊</w:t>
      </w:r>
      <w:r>
        <w:rPr>
          <w:rFonts w:ascii="Arial" w:hAnsi="Arial" w:cs="Arial"/>
        </w:rPr>
        <w:t>; Kathryn M. Nelson</w:t>
      </w:r>
      <w:r w:rsidRPr="006F175A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>; David R. Jacobs Jr.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>;</w:t>
      </w:r>
      <w:r w:rsidRPr="0089712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Jed Gorlin</w:t>
      </w:r>
      <w:r>
        <w:rPr>
          <w:rFonts w:ascii="Arial" w:hAnsi="Arial" w:cs="Arial"/>
          <w:vertAlign w:val="superscript"/>
        </w:rPr>
        <w:t>4</w:t>
      </w:r>
      <w:r>
        <w:rPr>
          <w:rFonts w:ascii="Arial" w:hAnsi="Arial" w:cs="Arial"/>
        </w:rPr>
        <w:t xml:space="preserve">, Helene </w:t>
      </w:r>
      <w:proofErr w:type="spellStart"/>
      <w:r>
        <w:rPr>
          <w:rFonts w:ascii="Arial" w:hAnsi="Arial" w:cs="Arial"/>
        </w:rPr>
        <w:t>Barcelo</w:t>
      </w:r>
      <w:proofErr w:type="spellEnd"/>
      <w:r>
        <w:rPr>
          <w:rFonts w:ascii="Arial" w:hAnsi="Arial" w:cs="Arial"/>
        </w:rPr>
        <w:t>, Bharat Thyagarajan</w:t>
      </w:r>
      <w:r w:rsidRPr="00E8442B">
        <w:rPr>
          <w:rFonts w:ascii="Arial" w:hAnsi="Arial" w:cs="Arial"/>
          <w:vertAlign w:val="superscript"/>
        </w:rPr>
        <w:t>1</w:t>
      </w:r>
      <w:r>
        <w:rPr>
          <w:rFonts w:ascii="Arial" w:hAnsi="Arial" w:cs="Arial"/>
          <w:vertAlign w:val="superscript"/>
        </w:rPr>
        <w:t>*</w:t>
      </w:r>
    </w:p>
    <w:p w:rsidR="00F022A5" w:rsidRPr="00E8442B" w:rsidRDefault="00F022A5" w:rsidP="00F022A5">
      <w:pPr>
        <w:jc w:val="center"/>
        <w:rPr>
          <w:rFonts w:ascii="Arial" w:hAnsi="Arial" w:cs="Arial"/>
        </w:rPr>
      </w:pPr>
    </w:p>
    <w:p w:rsidR="00F022A5" w:rsidRDefault="00F022A5" w:rsidP="00F022A5">
      <w:pPr>
        <w:rPr>
          <w:rFonts w:ascii="Arial" w:hAnsi="Arial" w:cs="Arial"/>
          <w:vertAlign w:val="superscript"/>
        </w:rPr>
      </w:pPr>
    </w:p>
    <w:p w:rsidR="00F022A5" w:rsidRDefault="00F022A5" w:rsidP="00F022A5">
      <w:pPr>
        <w:rPr>
          <w:rFonts w:ascii="Arial" w:hAnsi="Arial" w:cs="Arial"/>
          <w:vertAlign w:val="superscript"/>
        </w:rPr>
      </w:pPr>
    </w:p>
    <w:p w:rsidR="00F022A5" w:rsidRPr="00E8442B" w:rsidRDefault="00F022A5" w:rsidP="00F022A5">
      <w:pPr>
        <w:rPr>
          <w:rFonts w:ascii="Arial" w:hAnsi="Arial" w:cs="Arial"/>
        </w:rPr>
      </w:pPr>
      <w:r w:rsidRPr="00E8442B">
        <w:rPr>
          <w:rFonts w:ascii="Arial" w:hAnsi="Arial" w:cs="Arial"/>
          <w:vertAlign w:val="superscript"/>
        </w:rPr>
        <w:t>1</w:t>
      </w:r>
      <w:r w:rsidRPr="00E8442B">
        <w:rPr>
          <w:rFonts w:ascii="Arial" w:hAnsi="Arial" w:cs="Arial"/>
        </w:rPr>
        <w:t xml:space="preserve"> Department of Laboratory Medicine and Pathology, School of Medicine, University of Minnesota, Minneapolis</w:t>
      </w:r>
      <w:r>
        <w:rPr>
          <w:rFonts w:ascii="Arial" w:hAnsi="Arial" w:cs="Arial"/>
        </w:rPr>
        <w:t>,</w:t>
      </w:r>
      <w:r w:rsidRPr="00E8442B">
        <w:rPr>
          <w:rFonts w:ascii="Arial" w:hAnsi="Arial" w:cs="Arial"/>
        </w:rPr>
        <w:t xml:space="preserve"> MN</w:t>
      </w:r>
    </w:p>
    <w:p w:rsidR="00F022A5" w:rsidRPr="00E8442B" w:rsidRDefault="00F022A5" w:rsidP="00F022A5">
      <w:pPr>
        <w:rPr>
          <w:rFonts w:ascii="Arial" w:hAnsi="Arial" w:cs="Arial"/>
        </w:rPr>
      </w:pPr>
    </w:p>
    <w:p w:rsidR="00F022A5" w:rsidRDefault="00F022A5" w:rsidP="00F022A5">
      <w:pPr>
        <w:rPr>
          <w:rFonts w:ascii="Arial" w:hAnsi="Arial" w:cs="Arial"/>
          <w:bCs/>
        </w:rPr>
      </w:pPr>
      <w:proofErr w:type="gramStart"/>
      <w:r>
        <w:rPr>
          <w:rFonts w:ascii="Arial" w:hAnsi="Arial" w:cs="Arial"/>
          <w:bCs/>
          <w:vertAlign w:val="superscript"/>
        </w:rPr>
        <w:t>2</w:t>
      </w:r>
      <w:proofErr w:type="gramEnd"/>
      <w:r>
        <w:rPr>
          <w:rFonts w:ascii="Arial" w:hAnsi="Arial" w:cs="Arial"/>
          <w:bCs/>
          <w:vertAlign w:val="superscript"/>
        </w:rPr>
        <w:t xml:space="preserve"> </w:t>
      </w:r>
      <w:r>
        <w:rPr>
          <w:rFonts w:ascii="Arial" w:hAnsi="Arial" w:cs="Arial"/>
          <w:bCs/>
        </w:rPr>
        <w:t>Institute for Therapeutics Discovery and Development, College of Pharmacy, University of Minnesota, Minneapolis, MN</w:t>
      </w:r>
    </w:p>
    <w:p w:rsidR="00F022A5" w:rsidRPr="00E80CEA" w:rsidRDefault="00F022A5" w:rsidP="00F022A5">
      <w:pPr>
        <w:rPr>
          <w:rFonts w:ascii="Arial" w:hAnsi="Arial" w:cs="Arial"/>
          <w:bCs/>
        </w:rPr>
      </w:pPr>
    </w:p>
    <w:p w:rsidR="00F022A5" w:rsidRPr="00904577" w:rsidRDefault="00F022A5" w:rsidP="00F022A5">
      <w:pPr>
        <w:rPr>
          <w:rFonts w:ascii="Arial" w:hAnsi="Arial" w:cs="Arial"/>
          <w:bCs/>
        </w:rPr>
      </w:pPr>
      <w:proofErr w:type="gramStart"/>
      <w:r w:rsidRPr="00E80CEA">
        <w:rPr>
          <w:rFonts w:ascii="Arial" w:hAnsi="Arial" w:cs="Arial"/>
          <w:bCs/>
          <w:vertAlign w:val="superscript"/>
        </w:rPr>
        <w:t>3</w:t>
      </w:r>
      <w:proofErr w:type="gramEnd"/>
      <w:r w:rsidRPr="00904577">
        <w:rPr>
          <w:rFonts w:ascii="Arial" w:hAnsi="Arial" w:cs="Arial"/>
          <w:bCs/>
        </w:rPr>
        <w:t xml:space="preserve"> Division of Epidemiology and Community Health, School of Public Health, University of Minnesota, Minneapolis, MN</w:t>
      </w:r>
    </w:p>
    <w:p w:rsidR="00F022A5" w:rsidRDefault="00F022A5" w:rsidP="00F022A5">
      <w:pPr>
        <w:rPr>
          <w:rFonts w:ascii="Arial" w:hAnsi="Arial" w:cs="Arial"/>
          <w:vertAlign w:val="superscript"/>
        </w:rPr>
      </w:pPr>
    </w:p>
    <w:p w:rsidR="00F022A5" w:rsidRDefault="00F022A5" w:rsidP="00F022A5">
      <w:pPr>
        <w:rPr>
          <w:rFonts w:ascii="Arial" w:hAnsi="Arial" w:cs="Arial"/>
        </w:rPr>
      </w:pPr>
      <w:proofErr w:type="gramStart"/>
      <w:r>
        <w:rPr>
          <w:rFonts w:ascii="Arial" w:hAnsi="Arial" w:cs="Arial"/>
          <w:vertAlign w:val="superscript"/>
        </w:rPr>
        <w:t>4</w:t>
      </w:r>
      <w:proofErr w:type="gramEnd"/>
      <w:r>
        <w:rPr>
          <w:rFonts w:ascii="Arial" w:hAnsi="Arial" w:cs="Arial"/>
          <w:vertAlign w:val="superscript"/>
        </w:rPr>
        <w:t xml:space="preserve"> </w:t>
      </w:r>
      <w:r>
        <w:rPr>
          <w:rFonts w:ascii="Arial" w:hAnsi="Arial" w:cs="Arial"/>
        </w:rPr>
        <w:t>Memorial Blood Centers – a division of New York Blood Center Enterprises, St. Paul, MN</w:t>
      </w:r>
    </w:p>
    <w:p w:rsidR="00F022A5" w:rsidRPr="00904577" w:rsidRDefault="00F022A5" w:rsidP="00F022A5">
      <w:pPr>
        <w:rPr>
          <w:rFonts w:ascii="Arial" w:hAnsi="Arial" w:cs="Arial"/>
        </w:rPr>
      </w:pPr>
    </w:p>
    <w:p w:rsidR="00F022A5" w:rsidRDefault="00F022A5" w:rsidP="00F022A5">
      <w:pPr>
        <w:rPr>
          <w:rFonts w:ascii="Arial" w:hAnsi="Arial" w:cs="Arial"/>
          <w:vertAlign w:val="superscript"/>
        </w:rPr>
      </w:pPr>
    </w:p>
    <w:p w:rsidR="00F022A5" w:rsidRDefault="00F022A5" w:rsidP="00F022A5">
      <w:pPr>
        <w:rPr>
          <w:rFonts w:ascii="Arial" w:hAnsi="Arial" w:cs="Arial"/>
          <w:vertAlign w:val="superscript"/>
        </w:rPr>
      </w:pPr>
    </w:p>
    <w:p w:rsidR="00F022A5" w:rsidRDefault="00F022A5" w:rsidP="00F022A5">
      <w:pPr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 xml:space="preserve">§ </w:t>
      </w:r>
      <w:r>
        <w:rPr>
          <w:rFonts w:ascii="Arial" w:hAnsi="Arial" w:cs="Arial"/>
        </w:rPr>
        <w:t>These authors contributed equally</w:t>
      </w:r>
    </w:p>
    <w:p w:rsidR="00F022A5" w:rsidRDefault="00F022A5" w:rsidP="001A4174">
      <w:pPr>
        <w:rPr>
          <w:rFonts w:ascii="Arial" w:hAnsi="Arial" w:cs="Arial"/>
          <w:b/>
          <w:bCs/>
          <w:noProof/>
        </w:rPr>
      </w:pPr>
    </w:p>
    <w:p w:rsidR="00F022A5" w:rsidRDefault="00F022A5" w:rsidP="001A4174">
      <w:pPr>
        <w:rPr>
          <w:rFonts w:ascii="Arial" w:hAnsi="Arial" w:cs="Arial"/>
          <w:b/>
          <w:bCs/>
          <w:noProof/>
        </w:rPr>
      </w:pPr>
    </w:p>
    <w:p w:rsidR="00F022A5" w:rsidRDefault="00F022A5" w:rsidP="001A4174">
      <w:pPr>
        <w:rPr>
          <w:rFonts w:ascii="Arial" w:hAnsi="Arial" w:cs="Arial"/>
          <w:b/>
          <w:bCs/>
          <w:noProof/>
        </w:rPr>
      </w:pPr>
    </w:p>
    <w:p w:rsidR="00F022A5" w:rsidRDefault="00F022A5" w:rsidP="001A4174">
      <w:pPr>
        <w:rPr>
          <w:rFonts w:ascii="Arial" w:hAnsi="Arial" w:cs="Arial"/>
          <w:b/>
          <w:bCs/>
          <w:noProof/>
        </w:rPr>
      </w:pPr>
    </w:p>
    <w:p w:rsidR="00F022A5" w:rsidRDefault="00F022A5" w:rsidP="001A4174">
      <w:pPr>
        <w:rPr>
          <w:rFonts w:ascii="Arial" w:hAnsi="Arial" w:cs="Arial"/>
          <w:b/>
          <w:bCs/>
          <w:noProof/>
        </w:rPr>
      </w:pPr>
    </w:p>
    <w:p w:rsidR="00F022A5" w:rsidRDefault="00F022A5" w:rsidP="001A4174">
      <w:pPr>
        <w:rPr>
          <w:rFonts w:ascii="Arial" w:hAnsi="Arial" w:cs="Arial"/>
          <w:b/>
          <w:bCs/>
          <w:noProof/>
        </w:rPr>
      </w:pPr>
    </w:p>
    <w:p w:rsidR="00F022A5" w:rsidRDefault="00F022A5" w:rsidP="001A4174">
      <w:pPr>
        <w:rPr>
          <w:rFonts w:ascii="Arial" w:hAnsi="Arial" w:cs="Arial"/>
          <w:b/>
          <w:bCs/>
          <w:noProof/>
        </w:rPr>
      </w:pPr>
    </w:p>
    <w:p w:rsidR="00F022A5" w:rsidRDefault="00F022A5" w:rsidP="001A4174">
      <w:pPr>
        <w:rPr>
          <w:rFonts w:ascii="Arial" w:hAnsi="Arial" w:cs="Arial"/>
          <w:b/>
          <w:bCs/>
          <w:noProof/>
        </w:rPr>
      </w:pPr>
    </w:p>
    <w:p w:rsidR="00F022A5" w:rsidRDefault="00F022A5" w:rsidP="001A4174">
      <w:pPr>
        <w:rPr>
          <w:rFonts w:ascii="Arial" w:hAnsi="Arial" w:cs="Arial"/>
          <w:b/>
          <w:bCs/>
          <w:noProof/>
        </w:rPr>
      </w:pPr>
    </w:p>
    <w:p w:rsidR="00F022A5" w:rsidRDefault="00F022A5" w:rsidP="001A4174">
      <w:pPr>
        <w:rPr>
          <w:rFonts w:ascii="Arial" w:hAnsi="Arial" w:cs="Arial"/>
          <w:b/>
          <w:bCs/>
          <w:noProof/>
        </w:rPr>
      </w:pPr>
    </w:p>
    <w:p w:rsidR="00F022A5" w:rsidRDefault="00F022A5" w:rsidP="001A4174">
      <w:pPr>
        <w:rPr>
          <w:rFonts w:ascii="Arial" w:hAnsi="Arial" w:cs="Arial"/>
          <w:b/>
          <w:bCs/>
          <w:noProof/>
        </w:rPr>
      </w:pPr>
    </w:p>
    <w:p w:rsidR="00F022A5" w:rsidRDefault="00F022A5" w:rsidP="001A4174">
      <w:pPr>
        <w:rPr>
          <w:rFonts w:ascii="Arial" w:hAnsi="Arial" w:cs="Arial"/>
          <w:b/>
          <w:bCs/>
          <w:noProof/>
        </w:rPr>
      </w:pPr>
    </w:p>
    <w:p w:rsidR="001A4174" w:rsidRPr="00B25D6C" w:rsidRDefault="001A4174" w:rsidP="001A4174">
      <w:pPr>
        <w:rPr>
          <w:rFonts w:ascii="Arial" w:hAnsi="Arial" w:cs="Arial"/>
          <w:b/>
          <w:bCs/>
          <w:noProof/>
        </w:rPr>
      </w:pPr>
      <w:r>
        <w:rPr>
          <w:rFonts w:ascii="Arial" w:hAnsi="Arial" w:cs="Arial"/>
          <w:b/>
          <w:bCs/>
          <w:noProof/>
        </w:rPr>
        <w:lastRenderedPageBreak/>
        <w:t xml:space="preserve">Supplemental Table 1. </w:t>
      </w:r>
      <w:r w:rsidR="00A97668">
        <w:rPr>
          <w:rFonts w:ascii="Arial" w:hAnsi="Arial" w:cs="Arial"/>
          <w:b/>
          <w:bCs/>
          <w:noProof/>
        </w:rPr>
        <w:t>Positive predictive value (PPV) and negative predictive value (NPV) d</w:t>
      </w:r>
      <w:r>
        <w:rPr>
          <w:rFonts w:ascii="Arial" w:hAnsi="Arial" w:cs="Arial"/>
          <w:b/>
          <w:bCs/>
          <w:noProof/>
        </w:rPr>
        <w:t xml:space="preserve">iagnostic performance characteristics of </w:t>
      </w:r>
      <w:r w:rsidR="00415A56">
        <w:rPr>
          <w:rFonts w:ascii="Arial" w:hAnsi="Arial" w:cs="Arial"/>
          <w:b/>
          <w:bCs/>
          <w:noProof/>
        </w:rPr>
        <w:t xml:space="preserve">the </w:t>
      </w:r>
      <w:bookmarkStart w:id="0" w:name="_GoBack"/>
      <w:bookmarkEnd w:id="0"/>
      <w:r>
        <w:rPr>
          <w:rFonts w:ascii="Arial" w:hAnsi="Arial" w:cs="Arial"/>
          <w:b/>
          <w:bCs/>
          <w:noProof/>
        </w:rPr>
        <w:t xml:space="preserve">saliva-based </w:t>
      </w:r>
      <w:r w:rsidR="00A97668">
        <w:rPr>
          <w:rFonts w:ascii="Arial" w:hAnsi="Arial" w:cs="Arial"/>
          <w:b/>
          <w:bCs/>
          <w:noProof/>
        </w:rPr>
        <w:t>IgG home-brew ELISA, IgG Simoa assay without IgG normalization, IgG Simoa assay with IgG normalization and IgA Simoa assay</w:t>
      </w:r>
      <w:r>
        <w:rPr>
          <w:rFonts w:ascii="Arial" w:hAnsi="Arial" w:cs="Arial"/>
          <w:b/>
        </w:rPr>
        <w:t>.</w:t>
      </w:r>
    </w:p>
    <w:tbl>
      <w:tblPr>
        <w:tblStyle w:val="GridTable5Dark"/>
        <w:tblpPr w:leftFromText="180" w:rightFromText="180" w:vertAnchor="text" w:horzAnchor="margin" w:tblpX="-275" w:tblpY="170"/>
        <w:tblW w:w="13135" w:type="dxa"/>
        <w:tblLook w:val="04A0" w:firstRow="1" w:lastRow="0" w:firstColumn="1" w:lastColumn="0" w:noHBand="0" w:noVBand="1"/>
      </w:tblPr>
      <w:tblGrid>
        <w:gridCol w:w="2425"/>
        <w:gridCol w:w="1710"/>
        <w:gridCol w:w="1710"/>
        <w:gridCol w:w="1800"/>
        <w:gridCol w:w="1710"/>
        <w:gridCol w:w="1985"/>
        <w:gridCol w:w="1795"/>
      </w:tblGrid>
      <w:tr w:rsidR="007521D0" w:rsidTr="007521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  <w:vAlign w:val="center"/>
          </w:tcPr>
          <w:p w:rsidR="001A4174" w:rsidRPr="00CE434B" w:rsidRDefault="001A4174" w:rsidP="005F0B4B">
            <w:pPr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  <w:tc>
          <w:tcPr>
            <w:tcW w:w="3420" w:type="dxa"/>
            <w:gridSpan w:val="2"/>
            <w:vAlign w:val="center"/>
          </w:tcPr>
          <w:p w:rsidR="001A4174" w:rsidRPr="0027561D" w:rsidRDefault="001A4174" w:rsidP="005F0B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</w:rPr>
            </w:pPr>
            <w:r w:rsidRPr="0027561D">
              <w:rPr>
                <w:rFonts w:ascii="Arial" w:hAnsi="Arial" w:cs="Arial"/>
                <w:noProof/>
              </w:rPr>
              <w:t>Pre-vaccination</w:t>
            </w:r>
          </w:p>
        </w:tc>
        <w:tc>
          <w:tcPr>
            <w:tcW w:w="3510" w:type="dxa"/>
            <w:gridSpan w:val="2"/>
            <w:vAlign w:val="center"/>
          </w:tcPr>
          <w:p w:rsidR="001A4174" w:rsidRPr="0027561D" w:rsidRDefault="001A4174" w:rsidP="005F0B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</w:rPr>
            </w:pPr>
            <w:r w:rsidRPr="0027561D">
              <w:rPr>
                <w:rFonts w:ascii="Arial" w:hAnsi="Arial" w:cs="Arial"/>
                <w:noProof/>
              </w:rPr>
              <w:t>Post-vaccination</w:t>
            </w:r>
          </w:p>
        </w:tc>
        <w:tc>
          <w:tcPr>
            <w:tcW w:w="3780" w:type="dxa"/>
            <w:gridSpan w:val="2"/>
            <w:vAlign w:val="center"/>
          </w:tcPr>
          <w:p w:rsidR="001A4174" w:rsidRPr="0027561D" w:rsidRDefault="001A4174" w:rsidP="005F0B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</w:rPr>
            </w:pPr>
            <w:r w:rsidRPr="0027561D">
              <w:rPr>
                <w:rFonts w:ascii="Arial" w:hAnsi="Arial" w:cs="Arial"/>
                <w:noProof/>
              </w:rPr>
              <w:t>Overall</w:t>
            </w:r>
          </w:p>
        </w:tc>
      </w:tr>
      <w:tr w:rsidR="005F0B4B" w:rsidTr="007521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  <w:vAlign w:val="center"/>
          </w:tcPr>
          <w:p w:rsidR="005F0B4B" w:rsidRPr="00CE434B" w:rsidRDefault="005F0B4B" w:rsidP="005F0B4B">
            <w:pPr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000000" w:themeFill="text1"/>
            <w:vAlign w:val="center"/>
          </w:tcPr>
          <w:p w:rsidR="005F0B4B" w:rsidRPr="005F0B4B" w:rsidRDefault="005F0B4B" w:rsidP="005F0B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noProof/>
                <w:color w:val="FFFFFF" w:themeColor="background1"/>
              </w:rPr>
            </w:pPr>
            <w:r>
              <w:rPr>
                <w:rFonts w:ascii="Arial" w:hAnsi="Arial" w:cs="Arial"/>
                <w:b/>
                <w:noProof/>
                <w:color w:val="FFFFFF" w:themeColor="background1"/>
              </w:rPr>
              <w:t>PPV</w:t>
            </w:r>
          </w:p>
        </w:tc>
        <w:tc>
          <w:tcPr>
            <w:tcW w:w="1710" w:type="dxa"/>
            <w:shd w:val="clear" w:color="auto" w:fill="000000" w:themeFill="text1"/>
            <w:vAlign w:val="center"/>
          </w:tcPr>
          <w:p w:rsidR="005F0B4B" w:rsidRPr="005F0B4B" w:rsidRDefault="005F0B4B" w:rsidP="005F0B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noProof/>
                <w:color w:val="FFFFFF" w:themeColor="background1"/>
              </w:rPr>
            </w:pPr>
            <w:r>
              <w:rPr>
                <w:rFonts w:ascii="Arial" w:hAnsi="Arial" w:cs="Arial"/>
                <w:b/>
                <w:noProof/>
                <w:color w:val="FFFFFF" w:themeColor="background1"/>
              </w:rPr>
              <w:t>NPV</w:t>
            </w:r>
          </w:p>
        </w:tc>
        <w:tc>
          <w:tcPr>
            <w:tcW w:w="1800" w:type="dxa"/>
            <w:shd w:val="clear" w:color="auto" w:fill="000000" w:themeFill="text1"/>
            <w:vAlign w:val="center"/>
          </w:tcPr>
          <w:p w:rsidR="005F0B4B" w:rsidRPr="005F0B4B" w:rsidRDefault="005F0B4B" w:rsidP="005F0B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noProof/>
                <w:color w:val="FFFFFF" w:themeColor="background1"/>
              </w:rPr>
            </w:pPr>
            <w:r>
              <w:rPr>
                <w:rFonts w:ascii="Arial" w:hAnsi="Arial" w:cs="Arial"/>
                <w:b/>
                <w:noProof/>
                <w:color w:val="FFFFFF" w:themeColor="background1"/>
              </w:rPr>
              <w:t>PPV</w:t>
            </w:r>
          </w:p>
        </w:tc>
        <w:tc>
          <w:tcPr>
            <w:tcW w:w="1710" w:type="dxa"/>
            <w:shd w:val="clear" w:color="auto" w:fill="000000" w:themeFill="text1"/>
            <w:vAlign w:val="center"/>
          </w:tcPr>
          <w:p w:rsidR="005F0B4B" w:rsidRPr="005F0B4B" w:rsidRDefault="005F0B4B" w:rsidP="005F0B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noProof/>
                <w:color w:val="FFFFFF" w:themeColor="background1"/>
              </w:rPr>
            </w:pPr>
            <w:r>
              <w:rPr>
                <w:rFonts w:ascii="Arial" w:hAnsi="Arial" w:cs="Arial"/>
                <w:b/>
                <w:noProof/>
                <w:color w:val="FFFFFF" w:themeColor="background1"/>
              </w:rPr>
              <w:t>NPV</w:t>
            </w:r>
          </w:p>
        </w:tc>
        <w:tc>
          <w:tcPr>
            <w:tcW w:w="1985" w:type="dxa"/>
            <w:shd w:val="clear" w:color="auto" w:fill="000000" w:themeFill="text1"/>
            <w:vAlign w:val="center"/>
          </w:tcPr>
          <w:p w:rsidR="005F0B4B" w:rsidRPr="005F0B4B" w:rsidRDefault="005F0B4B" w:rsidP="005F0B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noProof/>
                <w:color w:val="FFFFFF" w:themeColor="background1"/>
              </w:rPr>
            </w:pPr>
            <w:r>
              <w:rPr>
                <w:rFonts w:ascii="Arial" w:hAnsi="Arial" w:cs="Arial"/>
                <w:b/>
                <w:noProof/>
                <w:color w:val="FFFFFF" w:themeColor="background1"/>
              </w:rPr>
              <w:t>PPV</w:t>
            </w:r>
          </w:p>
        </w:tc>
        <w:tc>
          <w:tcPr>
            <w:tcW w:w="1795" w:type="dxa"/>
            <w:shd w:val="clear" w:color="auto" w:fill="000000" w:themeFill="text1"/>
            <w:vAlign w:val="center"/>
          </w:tcPr>
          <w:p w:rsidR="005F0B4B" w:rsidRPr="005F0B4B" w:rsidRDefault="005F0B4B" w:rsidP="005F0B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noProof/>
                <w:color w:val="FFFFFF" w:themeColor="background1"/>
              </w:rPr>
            </w:pPr>
            <w:r>
              <w:rPr>
                <w:rFonts w:ascii="Arial" w:hAnsi="Arial" w:cs="Arial"/>
                <w:b/>
                <w:noProof/>
                <w:color w:val="FFFFFF" w:themeColor="background1"/>
              </w:rPr>
              <w:t>NPV</w:t>
            </w:r>
          </w:p>
        </w:tc>
      </w:tr>
      <w:tr w:rsidR="005F0B4B" w:rsidTr="007521D0">
        <w:trPr>
          <w:trHeight w:val="5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  <w:vAlign w:val="center"/>
          </w:tcPr>
          <w:p w:rsidR="005F0B4B" w:rsidRPr="0027561D" w:rsidRDefault="005F0B4B" w:rsidP="005F0B4B">
            <w:pPr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IgG Home-brew ELISA</w:t>
            </w:r>
          </w:p>
        </w:tc>
        <w:tc>
          <w:tcPr>
            <w:tcW w:w="1710" w:type="dxa"/>
            <w:vAlign w:val="center"/>
          </w:tcPr>
          <w:p w:rsidR="005F0B4B" w:rsidRDefault="005F0B4B" w:rsidP="005F0B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40</w:t>
            </w:r>
            <w:r w:rsidRPr="0027561D">
              <w:rPr>
                <w:rFonts w:ascii="Arial" w:hAnsi="Arial" w:cs="Arial"/>
                <w:color w:val="000000"/>
                <w:sz w:val="22"/>
                <w:szCs w:val="22"/>
              </w:rPr>
              <w:t>%</w:t>
            </w:r>
          </w:p>
          <w:p w:rsidR="005F0B4B" w:rsidRDefault="005F0B4B" w:rsidP="005F0B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[18.4 – 66.4</w:t>
            </w:r>
            <w:r w:rsidRPr="0027561D">
              <w:rPr>
                <w:rFonts w:ascii="Arial" w:hAnsi="Arial" w:cs="Arial"/>
                <w:color w:val="000000"/>
                <w:sz w:val="22"/>
                <w:szCs w:val="22"/>
              </w:rPr>
              <w:t>%]</w:t>
            </w:r>
          </w:p>
          <w:p w:rsidR="005F0B4B" w:rsidRPr="0027561D" w:rsidRDefault="005F0B4B" w:rsidP="005F0B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(2/2+3)</w:t>
            </w:r>
          </w:p>
        </w:tc>
        <w:tc>
          <w:tcPr>
            <w:tcW w:w="1710" w:type="dxa"/>
            <w:vAlign w:val="center"/>
          </w:tcPr>
          <w:p w:rsidR="005F0B4B" w:rsidRDefault="005F0B4B" w:rsidP="005F0B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7561D">
              <w:rPr>
                <w:rFonts w:ascii="Arial" w:hAnsi="Arial" w:cs="Arial"/>
                <w:color w:val="000000"/>
                <w:sz w:val="22"/>
                <w:szCs w:val="22"/>
              </w:rPr>
              <w:t>100%</w:t>
            </w:r>
          </w:p>
          <w:p w:rsidR="005F0B4B" w:rsidRDefault="005F0B4B" w:rsidP="005F0B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7561D">
              <w:rPr>
                <w:rFonts w:ascii="Arial" w:hAnsi="Arial" w:cs="Arial"/>
                <w:color w:val="000000"/>
                <w:sz w:val="22"/>
                <w:szCs w:val="22"/>
              </w:rPr>
              <w:t>[NA]</w:t>
            </w:r>
          </w:p>
          <w:p w:rsidR="005F0B4B" w:rsidRPr="0027561D" w:rsidRDefault="005F0B4B" w:rsidP="005F0B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(35/35+0)</w:t>
            </w:r>
          </w:p>
        </w:tc>
        <w:tc>
          <w:tcPr>
            <w:tcW w:w="1800" w:type="dxa"/>
            <w:vAlign w:val="center"/>
          </w:tcPr>
          <w:p w:rsidR="005F0B4B" w:rsidRDefault="005F0B4B" w:rsidP="005F0B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7561D">
              <w:rPr>
                <w:rFonts w:ascii="Arial" w:hAnsi="Arial" w:cs="Arial"/>
                <w:color w:val="000000"/>
                <w:sz w:val="22"/>
                <w:szCs w:val="22"/>
              </w:rPr>
              <w:t>100%</w:t>
            </w:r>
          </w:p>
          <w:p w:rsidR="005F0B4B" w:rsidRDefault="005F0B4B" w:rsidP="005F0B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7561D">
              <w:rPr>
                <w:rFonts w:ascii="Arial" w:hAnsi="Arial" w:cs="Arial"/>
                <w:color w:val="000000"/>
                <w:sz w:val="22"/>
                <w:szCs w:val="22"/>
              </w:rPr>
              <w:t>[NA]</w:t>
            </w:r>
          </w:p>
          <w:p w:rsidR="005F0B4B" w:rsidRPr="0027561D" w:rsidRDefault="005F0B4B" w:rsidP="005F0B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(34/34+0)</w:t>
            </w:r>
          </w:p>
        </w:tc>
        <w:tc>
          <w:tcPr>
            <w:tcW w:w="1710" w:type="dxa"/>
            <w:vAlign w:val="center"/>
          </w:tcPr>
          <w:p w:rsidR="005F0B4B" w:rsidRDefault="005F0B4B" w:rsidP="005F0B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33.3</w:t>
            </w:r>
            <w:r w:rsidRPr="0027561D">
              <w:rPr>
                <w:rFonts w:ascii="Arial" w:hAnsi="Arial" w:cs="Arial"/>
                <w:color w:val="000000"/>
                <w:sz w:val="22"/>
                <w:szCs w:val="22"/>
              </w:rPr>
              <w:t>%</w:t>
            </w:r>
          </w:p>
          <w:p w:rsidR="005F0B4B" w:rsidRDefault="005F0B4B" w:rsidP="005F0B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[16.5 – 55.8</w:t>
            </w:r>
            <w:r w:rsidRPr="0027561D">
              <w:rPr>
                <w:rFonts w:ascii="Arial" w:hAnsi="Arial" w:cs="Arial"/>
                <w:color w:val="000000"/>
                <w:sz w:val="22"/>
                <w:szCs w:val="22"/>
              </w:rPr>
              <w:t>%]</w:t>
            </w:r>
          </w:p>
          <w:p w:rsidR="005F0B4B" w:rsidRPr="0027561D" w:rsidRDefault="005F0B4B" w:rsidP="005F0B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(2/2+4)</w:t>
            </w:r>
          </w:p>
        </w:tc>
        <w:tc>
          <w:tcPr>
            <w:tcW w:w="1985" w:type="dxa"/>
            <w:vAlign w:val="center"/>
          </w:tcPr>
          <w:p w:rsidR="005F0B4B" w:rsidRDefault="005F0B4B" w:rsidP="005F0B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92.3</w:t>
            </w:r>
            <w:r w:rsidRPr="0027561D">
              <w:rPr>
                <w:rFonts w:ascii="Arial" w:hAnsi="Arial" w:cs="Arial"/>
                <w:color w:val="000000"/>
                <w:sz w:val="22"/>
                <w:szCs w:val="22"/>
              </w:rPr>
              <w:t>%</w:t>
            </w:r>
          </w:p>
          <w:p w:rsidR="005F0B4B" w:rsidRDefault="005F0B4B" w:rsidP="005F0B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[80.1 – 97.3</w:t>
            </w:r>
            <w:r w:rsidRPr="0027561D">
              <w:rPr>
                <w:rFonts w:ascii="Arial" w:hAnsi="Arial" w:cs="Arial"/>
                <w:color w:val="000000"/>
                <w:sz w:val="22"/>
                <w:szCs w:val="22"/>
              </w:rPr>
              <w:t>%]</w:t>
            </w:r>
          </w:p>
          <w:p w:rsidR="005F0B4B" w:rsidRPr="0027561D" w:rsidRDefault="005F0B4B" w:rsidP="005F0B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(36/36+3)</w:t>
            </w:r>
          </w:p>
        </w:tc>
        <w:tc>
          <w:tcPr>
            <w:tcW w:w="1795" w:type="dxa"/>
            <w:vAlign w:val="center"/>
          </w:tcPr>
          <w:p w:rsidR="005F0B4B" w:rsidRDefault="005F0B4B" w:rsidP="005F0B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90.2</w:t>
            </w:r>
            <w:r w:rsidRPr="0027561D">
              <w:rPr>
                <w:rFonts w:ascii="Arial" w:hAnsi="Arial" w:cs="Arial"/>
                <w:color w:val="000000"/>
                <w:sz w:val="22"/>
                <w:szCs w:val="22"/>
              </w:rPr>
              <w:t>%</w:t>
            </w:r>
          </w:p>
          <w:p w:rsidR="005F0B4B" w:rsidRDefault="005F0B4B" w:rsidP="005F0B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[78.4 – 95.9%</w:t>
            </w:r>
            <w:r w:rsidRPr="0027561D">
              <w:rPr>
                <w:rFonts w:ascii="Arial" w:hAnsi="Arial" w:cs="Arial"/>
                <w:color w:val="000000"/>
                <w:sz w:val="22"/>
                <w:szCs w:val="22"/>
              </w:rPr>
              <w:t>]</w:t>
            </w:r>
          </w:p>
          <w:p w:rsidR="005F0B4B" w:rsidRPr="0027561D" w:rsidRDefault="005F0B4B" w:rsidP="005F0B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(37/37+4)</w:t>
            </w:r>
          </w:p>
        </w:tc>
      </w:tr>
      <w:tr w:rsidR="005F0B4B" w:rsidTr="007521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  <w:vAlign w:val="center"/>
          </w:tcPr>
          <w:p w:rsidR="005F0B4B" w:rsidRDefault="005F0B4B" w:rsidP="005F0B4B">
            <w:pPr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 xml:space="preserve">IgG Simoa assay </w:t>
            </w:r>
          </w:p>
          <w:p w:rsidR="005F0B4B" w:rsidRPr="0027561D" w:rsidRDefault="005F0B4B" w:rsidP="005F0B4B">
            <w:pPr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(without IgG normalization)</w:t>
            </w:r>
          </w:p>
        </w:tc>
        <w:tc>
          <w:tcPr>
            <w:tcW w:w="1710" w:type="dxa"/>
            <w:vAlign w:val="center"/>
          </w:tcPr>
          <w:p w:rsidR="005F0B4B" w:rsidRDefault="005F0B4B" w:rsidP="005F0B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7561D">
              <w:rPr>
                <w:rFonts w:ascii="Arial" w:hAnsi="Arial" w:cs="Arial"/>
                <w:color w:val="000000"/>
                <w:sz w:val="22"/>
                <w:szCs w:val="22"/>
              </w:rPr>
              <w:t>66.7%</w:t>
            </w:r>
          </w:p>
          <w:p w:rsidR="005F0B4B" w:rsidRDefault="005F0B4B" w:rsidP="005F0B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7561D">
              <w:rPr>
                <w:rFonts w:ascii="Arial" w:hAnsi="Arial" w:cs="Arial"/>
                <w:color w:val="000000"/>
                <w:sz w:val="22"/>
                <w:szCs w:val="22"/>
              </w:rPr>
              <w:t xml:space="preserve">[22.5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–</w:t>
            </w:r>
            <w:r w:rsidRPr="0027561D">
              <w:rPr>
                <w:rFonts w:ascii="Arial" w:hAnsi="Arial" w:cs="Arial"/>
                <w:color w:val="000000"/>
                <w:sz w:val="22"/>
                <w:szCs w:val="22"/>
              </w:rPr>
              <w:t>93.2%]</w:t>
            </w:r>
          </w:p>
          <w:p w:rsidR="005F0B4B" w:rsidRPr="0027561D" w:rsidRDefault="005F0B4B" w:rsidP="005F0B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(2/2+1)</w:t>
            </w:r>
          </w:p>
        </w:tc>
        <w:tc>
          <w:tcPr>
            <w:tcW w:w="1710" w:type="dxa"/>
            <w:vAlign w:val="center"/>
          </w:tcPr>
          <w:p w:rsidR="005F0B4B" w:rsidRDefault="005F0B4B" w:rsidP="005F0B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7561D">
              <w:rPr>
                <w:rFonts w:ascii="Arial" w:hAnsi="Arial" w:cs="Arial"/>
                <w:color w:val="000000"/>
                <w:sz w:val="22"/>
                <w:szCs w:val="22"/>
              </w:rPr>
              <w:t>100%</w:t>
            </w:r>
          </w:p>
          <w:p w:rsidR="005F0B4B" w:rsidRDefault="005F0B4B" w:rsidP="005F0B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7561D">
              <w:rPr>
                <w:rFonts w:ascii="Arial" w:hAnsi="Arial" w:cs="Arial"/>
                <w:color w:val="000000"/>
                <w:sz w:val="22"/>
                <w:szCs w:val="22"/>
              </w:rPr>
              <w:t>[NA]</w:t>
            </w:r>
          </w:p>
          <w:p w:rsidR="005F0B4B" w:rsidRPr="0027561D" w:rsidRDefault="005F0B4B" w:rsidP="005F0B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(33/33+0)</w:t>
            </w:r>
          </w:p>
        </w:tc>
        <w:tc>
          <w:tcPr>
            <w:tcW w:w="1800" w:type="dxa"/>
            <w:vAlign w:val="center"/>
          </w:tcPr>
          <w:p w:rsidR="005F0B4B" w:rsidRDefault="005F0B4B" w:rsidP="005F0B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100%</w:t>
            </w:r>
          </w:p>
          <w:p w:rsidR="005F0B4B" w:rsidRDefault="005F0B4B" w:rsidP="005F0B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[NA</w:t>
            </w:r>
            <w:r w:rsidRPr="0027561D">
              <w:rPr>
                <w:rFonts w:ascii="Arial" w:hAnsi="Arial" w:cs="Arial"/>
                <w:color w:val="000000"/>
                <w:sz w:val="22"/>
                <w:szCs w:val="22"/>
              </w:rPr>
              <w:t>]</w:t>
            </w:r>
          </w:p>
          <w:p w:rsidR="005F0B4B" w:rsidRPr="0027561D" w:rsidRDefault="005F0B4B" w:rsidP="005F0B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(31/31+0)</w:t>
            </w:r>
          </w:p>
        </w:tc>
        <w:tc>
          <w:tcPr>
            <w:tcW w:w="1710" w:type="dxa"/>
            <w:vAlign w:val="center"/>
          </w:tcPr>
          <w:p w:rsidR="005F0B4B" w:rsidRDefault="005F0B4B" w:rsidP="005F0B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7561D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  <w:p w:rsidR="005F0B4B" w:rsidRPr="0027561D" w:rsidRDefault="005F0B4B" w:rsidP="005F0B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(0/0+3)</w:t>
            </w:r>
          </w:p>
        </w:tc>
        <w:tc>
          <w:tcPr>
            <w:tcW w:w="1985" w:type="dxa"/>
            <w:vAlign w:val="center"/>
          </w:tcPr>
          <w:p w:rsidR="005F0B4B" w:rsidRDefault="005F0B4B" w:rsidP="005F0B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97.1%</w:t>
            </w:r>
          </w:p>
          <w:p w:rsidR="005F0B4B" w:rsidRDefault="005F0B4B" w:rsidP="005F0B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7561D">
              <w:rPr>
                <w:rFonts w:ascii="Arial" w:hAnsi="Arial" w:cs="Arial"/>
                <w:color w:val="000000"/>
                <w:sz w:val="22"/>
                <w:szCs w:val="22"/>
              </w:rPr>
              <w:t>[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82.7 – 99.6%</w:t>
            </w:r>
            <w:r w:rsidRPr="0027561D">
              <w:rPr>
                <w:rFonts w:ascii="Arial" w:hAnsi="Arial" w:cs="Arial"/>
                <w:color w:val="000000"/>
                <w:sz w:val="22"/>
                <w:szCs w:val="22"/>
              </w:rPr>
              <w:t>]</w:t>
            </w:r>
          </w:p>
          <w:p w:rsidR="005F0B4B" w:rsidRPr="0027561D" w:rsidRDefault="005F0B4B" w:rsidP="005F0B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(33/33+1)</w:t>
            </w:r>
          </w:p>
        </w:tc>
        <w:tc>
          <w:tcPr>
            <w:tcW w:w="1795" w:type="dxa"/>
            <w:vAlign w:val="center"/>
          </w:tcPr>
          <w:p w:rsidR="005F0B4B" w:rsidRDefault="005F0B4B" w:rsidP="005F0B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91.7%</w:t>
            </w:r>
          </w:p>
          <w:p w:rsidR="005F0B4B" w:rsidRDefault="005F0B4B" w:rsidP="005F0B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7561D">
              <w:rPr>
                <w:rFonts w:ascii="Arial" w:hAnsi="Arial" w:cs="Arial"/>
                <w:color w:val="000000"/>
                <w:sz w:val="22"/>
                <w:szCs w:val="22"/>
              </w:rPr>
              <w:t>[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78.8 – 97.0%</w:t>
            </w:r>
            <w:r w:rsidRPr="0027561D">
              <w:rPr>
                <w:rFonts w:ascii="Arial" w:hAnsi="Arial" w:cs="Arial"/>
                <w:color w:val="000000"/>
                <w:sz w:val="22"/>
                <w:szCs w:val="22"/>
              </w:rPr>
              <w:t>]</w:t>
            </w:r>
          </w:p>
          <w:p w:rsidR="005F0B4B" w:rsidRPr="0027561D" w:rsidRDefault="005F0B4B" w:rsidP="005F0B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(33/33+3)</w:t>
            </w:r>
          </w:p>
        </w:tc>
      </w:tr>
      <w:tr w:rsidR="005F0B4B" w:rsidTr="007521D0">
        <w:trPr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  <w:vAlign w:val="center"/>
          </w:tcPr>
          <w:p w:rsidR="005F0B4B" w:rsidRDefault="005F0B4B" w:rsidP="005F0B4B">
            <w:pPr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 xml:space="preserve">IgG Simoa assay </w:t>
            </w:r>
          </w:p>
          <w:p w:rsidR="005F0B4B" w:rsidRPr="0027561D" w:rsidRDefault="005F0B4B" w:rsidP="005F0B4B">
            <w:pPr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(with IgG normalization)</w:t>
            </w:r>
          </w:p>
        </w:tc>
        <w:tc>
          <w:tcPr>
            <w:tcW w:w="1710" w:type="dxa"/>
            <w:vAlign w:val="center"/>
          </w:tcPr>
          <w:p w:rsidR="005F0B4B" w:rsidRDefault="005F0B4B" w:rsidP="005F0B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50%</w:t>
            </w:r>
          </w:p>
          <w:p w:rsidR="005F0B4B" w:rsidRDefault="005F0B4B" w:rsidP="005F0B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7561D">
              <w:rPr>
                <w:rFonts w:ascii="Arial" w:hAnsi="Arial" w:cs="Arial"/>
                <w:color w:val="000000"/>
                <w:sz w:val="22"/>
                <w:szCs w:val="22"/>
              </w:rPr>
              <w:t>[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20.7 – 79.3%</w:t>
            </w:r>
            <w:r w:rsidRPr="0027561D">
              <w:rPr>
                <w:rFonts w:ascii="Arial" w:hAnsi="Arial" w:cs="Arial"/>
                <w:color w:val="000000"/>
                <w:sz w:val="22"/>
                <w:szCs w:val="22"/>
              </w:rPr>
              <w:t>]</w:t>
            </w:r>
          </w:p>
          <w:p w:rsidR="005F0B4B" w:rsidRPr="0027561D" w:rsidRDefault="005F0B4B" w:rsidP="005F0B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(2/2+2)</w:t>
            </w:r>
          </w:p>
        </w:tc>
        <w:tc>
          <w:tcPr>
            <w:tcW w:w="1710" w:type="dxa"/>
            <w:vAlign w:val="center"/>
          </w:tcPr>
          <w:p w:rsidR="005F0B4B" w:rsidRDefault="005F0B4B" w:rsidP="005F0B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7561D">
              <w:rPr>
                <w:rFonts w:ascii="Arial" w:hAnsi="Arial" w:cs="Arial"/>
                <w:color w:val="000000"/>
                <w:sz w:val="22"/>
                <w:szCs w:val="22"/>
              </w:rPr>
              <w:t>100%</w:t>
            </w:r>
          </w:p>
          <w:p w:rsidR="005F0B4B" w:rsidRDefault="005F0B4B" w:rsidP="005F0B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7561D">
              <w:rPr>
                <w:rFonts w:ascii="Arial" w:hAnsi="Arial" w:cs="Arial"/>
                <w:color w:val="000000"/>
                <w:sz w:val="22"/>
                <w:szCs w:val="22"/>
              </w:rPr>
              <w:t>[NA]</w:t>
            </w:r>
          </w:p>
          <w:p w:rsidR="005F0B4B" w:rsidRPr="0027561D" w:rsidRDefault="005F0B4B" w:rsidP="005F0B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(32/32+0)</w:t>
            </w:r>
          </w:p>
        </w:tc>
        <w:tc>
          <w:tcPr>
            <w:tcW w:w="1800" w:type="dxa"/>
            <w:vAlign w:val="center"/>
          </w:tcPr>
          <w:p w:rsidR="005F0B4B" w:rsidRDefault="005F0B4B" w:rsidP="005F0B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7561D">
              <w:rPr>
                <w:rFonts w:ascii="Arial" w:hAnsi="Arial" w:cs="Arial"/>
                <w:color w:val="000000"/>
                <w:sz w:val="22"/>
                <w:szCs w:val="22"/>
              </w:rPr>
              <w:t>100%</w:t>
            </w:r>
          </w:p>
          <w:p w:rsidR="005F0B4B" w:rsidRDefault="005F0B4B" w:rsidP="005F0B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7561D">
              <w:rPr>
                <w:rFonts w:ascii="Arial" w:hAnsi="Arial" w:cs="Arial"/>
                <w:color w:val="000000"/>
                <w:sz w:val="22"/>
                <w:szCs w:val="22"/>
              </w:rPr>
              <w:t>[NA]</w:t>
            </w:r>
          </w:p>
          <w:p w:rsidR="005F0B4B" w:rsidRPr="0027561D" w:rsidRDefault="005F0B4B" w:rsidP="005F0B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(34/34+0)</w:t>
            </w:r>
          </w:p>
        </w:tc>
        <w:tc>
          <w:tcPr>
            <w:tcW w:w="1710" w:type="dxa"/>
            <w:vAlign w:val="center"/>
          </w:tcPr>
          <w:p w:rsidR="005F0B4B" w:rsidRDefault="005F0B4B" w:rsidP="005F0B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</w:p>
          <w:p w:rsidR="005F0B4B" w:rsidRPr="0027561D" w:rsidRDefault="005F0B4B" w:rsidP="005F0B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(0/0+0)</w:t>
            </w:r>
          </w:p>
        </w:tc>
        <w:tc>
          <w:tcPr>
            <w:tcW w:w="1985" w:type="dxa"/>
            <w:vAlign w:val="center"/>
          </w:tcPr>
          <w:p w:rsidR="005F0B4B" w:rsidRDefault="005F0B4B" w:rsidP="005F0B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94.7%</w:t>
            </w:r>
          </w:p>
          <w:p w:rsidR="005F0B4B" w:rsidRDefault="005F0B4B" w:rsidP="005F0B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7561D">
              <w:rPr>
                <w:rFonts w:ascii="Arial" w:hAnsi="Arial" w:cs="Arial"/>
                <w:color w:val="000000"/>
                <w:sz w:val="22"/>
                <w:szCs w:val="22"/>
              </w:rPr>
              <w:t>[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82.4 – 98.6%</w:t>
            </w:r>
            <w:r w:rsidRPr="0027561D">
              <w:rPr>
                <w:rFonts w:ascii="Arial" w:hAnsi="Arial" w:cs="Arial"/>
                <w:color w:val="000000"/>
                <w:sz w:val="22"/>
                <w:szCs w:val="22"/>
              </w:rPr>
              <w:t>]</w:t>
            </w:r>
          </w:p>
          <w:p w:rsidR="005F0B4B" w:rsidRPr="0027561D" w:rsidRDefault="005F0B4B" w:rsidP="005F0B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(36/36+2)</w:t>
            </w:r>
          </w:p>
        </w:tc>
        <w:tc>
          <w:tcPr>
            <w:tcW w:w="1795" w:type="dxa"/>
            <w:vAlign w:val="center"/>
          </w:tcPr>
          <w:p w:rsidR="005F0B4B" w:rsidRDefault="005F0B4B" w:rsidP="005F0B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100%</w:t>
            </w:r>
          </w:p>
          <w:p w:rsidR="005F0B4B" w:rsidRDefault="005F0B4B" w:rsidP="005F0B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[NA</w:t>
            </w:r>
            <w:r w:rsidRPr="0027561D">
              <w:rPr>
                <w:rFonts w:ascii="Arial" w:hAnsi="Arial" w:cs="Arial"/>
                <w:color w:val="000000"/>
                <w:sz w:val="22"/>
                <w:szCs w:val="22"/>
              </w:rPr>
              <w:t>]</w:t>
            </w:r>
          </w:p>
          <w:p w:rsidR="005F0B4B" w:rsidRPr="0027561D" w:rsidRDefault="005F0B4B" w:rsidP="005F0B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(32/32+0)</w:t>
            </w:r>
          </w:p>
        </w:tc>
      </w:tr>
      <w:tr w:rsidR="005F0B4B" w:rsidTr="007521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  <w:vAlign w:val="center"/>
          </w:tcPr>
          <w:p w:rsidR="005F0B4B" w:rsidRPr="0027561D" w:rsidRDefault="005F0B4B" w:rsidP="005F0B4B">
            <w:pPr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IgA Simoa assay</w:t>
            </w:r>
          </w:p>
        </w:tc>
        <w:tc>
          <w:tcPr>
            <w:tcW w:w="1710" w:type="dxa"/>
            <w:vAlign w:val="center"/>
          </w:tcPr>
          <w:p w:rsidR="005F0B4B" w:rsidRDefault="005F0B4B" w:rsidP="005F0B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50.0</w:t>
            </w:r>
            <w:r w:rsidRPr="0027561D">
              <w:rPr>
                <w:rFonts w:ascii="Arial" w:hAnsi="Arial" w:cs="Arial"/>
                <w:color w:val="000000"/>
                <w:sz w:val="22"/>
                <w:szCs w:val="22"/>
              </w:rPr>
              <w:t>%</w:t>
            </w:r>
          </w:p>
          <w:p w:rsidR="005F0B4B" w:rsidRDefault="005F0B4B" w:rsidP="005F0B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[8.5 – 91.5%</w:t>
            </w:r>
            <w:r w:rsidRPr="0027561D">
              <w:rPr>
                <w:rFonts w:ascii="Arial" w:hAnsi="Arial" w:cs="Arial"/>
                <w:color w:val="000000"/>
                <w:sz w:val="22"/>
                <w:szCs w:val="22"/>
              </w:rPr>
              <w:t>]</w:t>
            </w:r>
          </w:p>
          <w:p w:rsidR="005F0B4B" w:rsidRPr="0027561D" w:rsidRDefault="005F0B4B" w:rsidP="005F0B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(1/1+1)</w:t>
            </w:r>
          </w:p>
        </w:tc>
        <w:tc>
          <w:tcPr>
            <w:tcW w:w="1710" w:type="dxa"/>
            <w:vAlign w:val="center"/>
          </w:tcPr>
          <w:p w:rsidR="005F0B4B" w:rsidRDefault="005F0B4B" w:rsidP="005F0B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97.0</w:t>
            </w:r>
            <w:r w:rsidRPr="0027561D">
              <w:rPr>
                <w:rFonts w:ascii="Arial" w:hAnsi="Arial" w:cs="Arial"/>
                <w:color w:val="000000"/>
                <w:sz w:val="22"/>
                <w:szCs w:val="22"/>
              </w:rPr>
              <w:t>%</w:t>
            </w:r>
          </w:p>
          <w:p w:rsidR="005F0B4B" w:rsidRDefault="005F0B4B" w:rsidP="005F0B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[88.9 – 99.2%</w:t>
            </w:r>
            <w:r w:rsidRPr="0027561D">
              <w:rPr>
                <w:rFonts w:ascii="Arial" w:hAnsi="Arial" w:cs="Arial"/>
                <w:color w:val="000000"/>
                <w:sz w:val="22"/>
                <w:szCs w:val="22"/>
              </w:rPr>
              <w:t>]</w:t>
            </w:r>
          </w:p>
          <w:p w:rsidR="005F0B4B" w:rsidRPr="0027561D" w:rsidRDefault="005F0B4B" w:rsidP="005F0B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(32/32+1)</w:t>
            </w:r>
          </w:p>
        </w:tc>
        <w:tc>
          <w:tcPr>
            <w:tcW w:w="1800" w:type="dxa"/>
            <w:vAlign w:val="center"/>
          </w:tcPr>
          <w:p w:rsidR="005F0B4B" w:rsidRDefault="005F0B4B" w:rsidP="005F0B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100%</w:t>
            </w:r>
          </w:p>
          <w:p w:rsidR="005F0B4B" w:rsidRDefault="005F0B4B" w:rsidP="005F0B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[89.7 – 100.0%]</w:t>
            </w:r>
          </w:p>
          <w:p w:rsidR="005F0B4B" w:rsidRPr="0027561D" w:rsidRDefault="005F0B4B" w:rsidP="005F0B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(14/14+0)</w:t>
            </w:r>
          </w:p>
        </w:tc>
        <w:tc>
          <w:tcPr>
            <w:tcW w:w="1710" w:type="dxa"/>
            <w:vAlign w:val="center"/>
          </w:tcPr>
          <w:p w:rsidR="005F0B4B" w:rsidRDefault="005F0B4B" w:rsidP="005F0B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Pr="0027561D">
              <w:rPr>
                <w:rFonts w:ascii="Arial" w:hAnsi="Arial" w:cs="Arial"/>
                <w:color w:val="000000"/>
                <w:sz w:val="22"/>
                <w:szCs w:val="22"/>
              </w:rPr>
              <w:t>%</w:t>
            </w:r>
          </w:p>
          <w:p w:rsidR="005F0B4B" w:rsidRDefault="005F0B4B" w:rsidP="005F0B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7561D">
              <w:rPr>
                <w:rFonts w:ascii="Arial" w:hAnsi="Arial" w:cs="Arial"/>
                <w:color w:val="000000"/>
                <w:sz w:val="22"/>
                <w:szCs w:val="22"/>
              </w:rPr>
              <w:t>[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NA]</w:t>
            </w:r>
          </w:p>
          <w:p w:rsidR="005F0B4B" w:rsidRPr="0027561D" w:rsidRDefault="005F0B4B" w:rsidP="005F0B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(0/0+20)</w:t>
            </w:r>
          </w:p>
        </w:tc>
        <w:tc>
          <w:tcPr>
            <w:tcW w:w="1985" w:type="dxa"/>
            <w:vAlign w:val="center"/>
          </w:tcPr>
          <w:p w:rsidR="005F0B4B" w:rsidRDefault="005F0B4B" w:rsidP="005F0B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93.7%</w:t>
            </w:r>
          </w:p>
          <w:p w:rsidR="005F0B4B" w:rsidRDefault="005F0B4B" w:rsidP="005F0B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[67.7 – 99.1%</w:t>
            </w:r>
            <w:r w:rsidRPr="0027561D">
              <w:rPr>
                <w:rFonts w:ascii="Arial" w:hAnsi="Arial" w:cs="Arial"/>
                <w:color w:val="000000"/>
                <w:sz w:val="22"/>
                <w:szCs w:val="22"/>
              </w:rPr>
              <w:t>]</w:t>
            </w:r>
          </w:p>
          <w:p w:rsidR="005F0B4B" w:rsidRPr="0027561D" w:rsidRDefault="005F0B4B" w:rsidP="005F0B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(15/15+1)</w:t>
            </w:r>
          </w:p>
        </w:tc>
        <w:tc>
          <w:tcPr>
            <w:tcW w:w="1795" w:type="dxa"/>
            <w:vAlign w:val="center"/>
          </w:tcPr>
          <w:p w:rsidR="005F0B4B" w:rsidRDefault="005F0B4B" w:rsidP="005F0B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60.4%</w:t>
            </w:r>
          </w:p>
          <w:p w:rsidR="005F0B4B" w:rsidRDefault="005F0B4B" w:rsidP="005F0B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[53.5 – 66.9%</w:t>
            </w:r>
            <w:r w:rsidRPr="0027561D">
              <w:rPr>
                <w:rFonts w:ascii="Arial" w:hAnsi="Arial" w:cs="Arial"/>
                <w:color w:val="000000"/>
                <w:sz w:val="22"/>
                <w:szCs w:val="22"/>
              </w:rPr>
              <w:t>]</w:t>
            </w:r>
          </w:p>
          <w:p w:rsidR="005F0B4B" w:rsidRPr="0027561D" w:rsidRDefault="005F0B4B" w:rsidP="005F0B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(32/32+21)</w:t>
            </w:r>
          </w:p>
        </w:tc>
      </w:tr>
    </w:tbl>
    <w:p w:rsidR="001909C4" w:rsidRPr="001909C4" w:rsidRDefault="001909C4" w:rsidP="001909C4">
      <w:pPr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Positive predictive value = (True positives/True positives + False positives). Negative predictive value = (True negatives/True negatives + False negatives). [95% confidence interval].</w:t>
      </w:r>
    </w:p>
    <w:p w:rsidR="001909C4" w:rsidRDefault="001909C4" w:rsidP="001909C4">
      <w:pPr>
        <w:rPr>
          <w:rFonts w:ascii="Arial" w:hAnsi="Arial" w:cs="Arial"/>
          <w:noProof/>
        </w:rPr>
      </w:pPr>
      <w:r>
        <w:rPr>
          <w:rFonts w:ascii="Arial" w:hAnsi="Arial" w:cs="Arial"/>
          <w:i/>
          <w:noProof/>
        </w:rPr>
        <w:t xml:space="preserve">IgG Home-brew assay: </w:t>
      </w:r>
      <w:r>
        <w:rPr>
          <w:rFonts w:ascii="Arial" w:hAnsi="Arial" w:cs="Arial"/>
          <w:noProof/>
        </w:rPr>
        <w:t xml:space="preserve">Two individuals had PCR-confirmed COVID-19 infection prior to vaccination. Both of these saliva samples tested positive in serum and saliva. All other participants (n=38) were confirmed to be COVID-19 negative based on PCR testing. Antibody-positive saliva samples from individuals with antibody-negative serum were considered to be false-positive results. Saliva samples were concentrated prior to analysis. </w:t>
      </w:r>
    </w:p>
    <w:p w:rsidR="001909C4" w:rsidRPr="001909C4" w:rsidRDefault="001909C4" w:rsidP="001909C4">
      <w:pPr>
        <w:rPr>
          <w:rFonts w:ascii="Arial" w:hAnsi="Arial" w:cs="Arial"/>
          <w:i/>
          <w:noProof/>
        </w:rPr>
      </w:pPr>
      <w:r>
        <w:rPr>
          <w:rFonts w:ascii="Arial" w:hAnsi="Arial" w:cs="Arial"/>
          <w:i/>
          <w:noProof/>
        </w:rPr>
        <w:t xml:space="preserve">IgG Simoa assay without IgG normalization: </w:t>
      </w:r>
      <w:r>
        <w:rPr>
          <w:rFonts w:ascii="Arial" w:hAnsi="Arial" w:cs="Arial"/>
        </w:rPr>
        <w:t xml:space="preserve">The levels of SARS-CoV-2 RBD IgG </w:t>
      </w:r>
      <w:proofErr w:type="gramStart"/>
      <w:r>
        <w:rPr>
          <w:rFonts w:ascii="Arial" w:hAnsi="Arial" w:cs="Arial"/>
        </w:rPr>
        <w:t>were measured</w:t>
      </w:r>
      <w:proofErr w:type="gramEnd"/>
      <w:r>
        <w:rPr>
          <w:rFonts w:ascii="Arial" w:hAnsi="Arial" w:cs="Arial"/>
        </w:rPr>
        <w:t xml:space="preserve"> in paired serum and saliva samples from 36 pre-vaccinated individuals, serum from 35 post-vaccinated individuals, and saliva from 34 post-vaccinated individuals. </w:t>
      </w:r>
      <w:r>
        <w:rPr>
          <w:rFonts w:ascii="Arial" w:hAnsi="Arial" w:cs="Arial"/>
          <w:noProof/>
        </w:rPr>
        <w:t>Saliva samples were not concentrated prior to analysis.</w:t>
      </w:r>
    </w:p>
    <w:p w:rsidR="005F0B4B" w:rsidRDefault="001909C4" w:rsidP="001A4174">
      <w:pPr>
        <w:rPr>
          <w:rFonts w:ascii="Arial" w:hAnsi="Arial" w:cs="Arial"/>
          <w:noProof/>
        </w:rPr>
      </w:pPr>
      <w:r>
        <w:rPr>
          <w:rFonts w:ascii="Arial" w:hAnsi="Arial" w:cs="Arial"/>
          <w:i/>
          <w:noProof/>
        </w:rPr>
        <w:t>IgG Simoa assay with IgG normalization:</w:t>
      </w:r>
      <w:r w:rsidR="00C13BFA">
        <w:rPr>
          <w:rFonts w:ascii="Arial" w:hAnsi="Arial" w:cs="Arial"/>
          <w:i/>
          <w:noProof/>
        </w:rPr>
        <w:t xml:space="preserve"> </w:t>
      </w:r>
      <w:r w:rsidR="00C13BFA">
        <w:rPr>
          <w:rFonts w:ascii="Arial" w:hAnsi="Arial" w:cs="Arial"/>
        </w:rPr>
        <w:t xml:space="preserve">The levels of SARS-CoV-2 RBD IgG were measured in paired serum and saliva samples from 36 pre-vaccinated individuals, serum from 35 post-vaccinated individuals, and saliva from 34 post-vaccinated individuals (paired serum and saliva samples were available from 33 individuals). </w:t>
      </w:r>
      <w:r w:rsidR="00C13BFA">
        <w:rPr>
          <w:rFonts w:ascii="Arial" w:hAnsi="Arial" w:cs="Arial"/>
          <w:noProof/>
        </w:rPr>
        <w:t>Saliva samples were not concentrated prior to analysis. Saliva SARS-CoV-2 spike RBD protein IgG levels were normalized to total IgG levels.</w:t>
      </w:r>
    </w:p>
    <w:p w:rsidR="005F0B4B" w:rsidRDefault="00C13BFA" w:rsidP="001A4174">
      <w:pPr>
        <w:rPr>
          <w:rFonts w:ascii="Arial" w:hAnsi="Arial" w:cs="Arial"/>
        </w:rPr>
      </w:pPr>
      <w:r>
        <w:rPr>
          <w:rFonts w:ascii="Arial" w:hAnsi="Arial" w:cs="Arial"/>
          <w:i/>
        </w:rPr>
        <w:t xml:space="preserve">IgA </w:t>
      </w:r>
      <w:proofErr w:type="spellStart"/>
      <w:r>
        <w:rPr>
          <w:rFonts w:ascii="Arial" w:hAnsi="Arial" w:cs="Arial"/>
          <w:i/>
        </w:rPr>
        <w:t>Simoa</w:t>
      </w:r>
      <w:proofErr w:type="spellEnd"/>
      <w:r>
        <w:rPr>
          <w:rFonts w:ascii="Arial" w:hAnsi="Arial" w:cs="Arial"/>
          <w:i/>
        </w:rPr>
        <w:t xml:space="preserve"> assay: </w:t>
      </w:r>
      <w:r>
        <w:rPr>
          <w:rFonts w:ascii="Arial" w:hAnsi="Arial" w:cs="Arial"/>
        </w:rPr>
        <w:t xml:space="preserve">The levels of SARS-CoV-2 RBD IgA </w:t>
      </w:r>
      <w:proofErr w:type="gramStart"/>
      <w:r>
        <w:rPr>
          <w:rFonts w:ascii="Arial" w:hAnsi="Arial" w:cs="Arial"/>
        </w:rPr>
        <w:t>were measured</w:t>
      </w:r>
      <w:proofErr w:type="gramEnd"/>
      <w:r>
        <w:rPr>
          <w:rFonts w:ascii="Arial" w:hAnsi="Arial" w:cs="Arial"/>
        </w:rPr>
        <w:t xml:space="preserve"> in paired serum and saliva samples from 35 pre-vaccinated individuals, and 34 post-vaccinated individuals. </w:t>
      </w:r>
      <w:r>
        <w:rPr>
          <w:rFonts w:ascii="Arial" w:hAnsi="Arial" w:cs="Arial"/>
          <w:noProof/>
        </w:rPr>
        <w:t>Saliva samples were not concentrated prior to analysis.</w:t>
      </w:r>
    </w:p>
    <w:sectPr w:rsidR="005F0B4B" w:rsidSect="005F0B4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174"/>
    <w:rsid w:val="001909C4"/>
    <w:rsid w:val="001A4174"/>
    <w:rsid w:val="00367C55"/>
    <w:rsid w:val="00415A56"/>
    <w:rsid w:val="005F0B4B"/>
    <w:rsid w:val="007521D0"/>
    <w:rsid w:val="00A97668"/>
    <w:rsid w:val="00C13BFA"/>
    <w:rsid w:val="00F02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D3DC79"/>
  <w15:chartTrackingRefBased/>
  <w15:docId w15:val="{6ACDA0BD-CEE4-4D00-9AB9-9C2B4FC69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41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5Dark">
    <w:name w:val="Grid Table 5 Dark"/>
    <w:basedOn w:val="TableNormal"/>
    <w:uiPriority w:val="50"/>
    <w:rsid w:val="001A4174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5F0B4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0B4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Minnesota</Company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 Thomas</dc:creator>
  <cp:keywords/>
  <dc:description/>
  <cp:lastModifiedBy>Stefani Thomas</cp:lastModifiedBy>
  <cp:revision>6</cp:revision>
  <dcterms:created xsi:type="dcterms:W3CDTF">2022-03-02T03:45:00Z</dcterms:created>
  <dcterms:modified xsi:type="dcterms:W3CDTF">2022-03-02T05:30:00Z</dcterms:modified>
</cp:coreProperties>
</file>