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13070" cy="5513070"/>
            <wp:effectExtent l="0" t="0" r="11430" b="11430"/>
            <wp:docPr id="1" name="图片 1" descr="supplementary materi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material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Supplment figure S1. The PCA analysis </w:t>
      </w:r>
      <w:bookmarkStart w:id="0" w:name="_GoBack"/>
      <w:bookmarkEnd w:id="0"/>
      <w:r>
        <w:rPr>
          <w:rFonts w:hint="eastAsia"/>
          <w:lang w:val="en-US" w:eastAsia="zh-CN"/>
        </w:rPr>
        <w:t>of 5372 selected lncRNAs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D4ED8"/>
    <w:rsid w:val="2FA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35</Characters>
  <Lines>0</Lines>
  <Paragraphs>0</Paragraphs>
  <TotalTime>1</TotalTime>
  <ScaleCrop>false</ScaleCrop>
  <LinksUpToDate>false</LinksUpToDate>
  <CharactersWithSpaces>41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hasee</dc:creator>
  <cp:lastModifiedBy>Newman</cp:lastModifiedBy>
  <dcterms:modified xsi:type="dcterms:W3CDTF">2022-04-19T11:34:47Z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A6D7EB71B8A04248A7719B53088DC8D7</vt:lpwstr>
  </property>
</Properties>
</file>