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7B1FB" w14:textId="64EE4951" w:rsidR="00D93D29" w:rsidRDefault="00AB092C" w:rsidP="00353CFB">
      <w:pPr>
        <w:spacing w:line="360" w:lineRule="auto"/>
        <w:jc w:val="both"/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0F32D440" wp14:editId="247F87E3">
            <wp:extent cx="4624920" cy="3293706"/>
            <wp:effectExtent l="0" t="0" r="0" b="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6373" cy="330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C72C4" w14:textId="205B2D87" w:rsidR="006B7643" w:rsidRDefault="006B7643" w:rsidP="00353CFB">
      <w:pPr>
        <w:spacing w:line="360" w:lineRule="auto"/>
        <w:jc w:val="both"/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t>A</w:t>
      </w:r>
    </w:p>
    <w:p w14:paraId="25D0EEE3" w14:textId="4CAFC368" w:rsidR="00D93D29" w:rsidRDefault="00D93D29" w:rsidP="00353CFB">
      <w:pPr>
        <w:spacing w:line="360" w:lineRule="auto"/>
        <w:jc w:val="both"/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0DE85AA1" wp14:editId="25E990E8">
            <wp:extent cx="4384048" cy="2780522"/>
            <wp:effectExtent l="0" t="0" r="0" b="1270"/>
            <wp:docPr id="2" name="Picture 2" descr="A picture containing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box and whisker chart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" t="2016" r="885" b="22871"/>
                    <a:stretch/>
                  </pic:blipFill>
                  <pic:spPr bwMode="auto">
                    <a:xfrm>
                      <a:off x="0" y="0"/>
                      <a:ext cx="4385953" cy="2781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E703B2" w14:textId="5EF84DC9" w:rsidR="00D93D29" w:rsidRDefault="006B7643" w:rsidP="00353CFB">
      <w:pPr>
        <w:spacing w:line="360" w:lineRule="auto"/>
        <w:jc w:val="both"/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t>B</w:t>
      </w:r>
    </w:p>
    <w:p w14:paraId="03086961" w14:textId="3E7EF33C" w:rsidR="00D93D29" w:rsidRPr="00A650B8" w:rsidRDefault="00353CFB" w:rsidP="00D93D29">
      <w:pPr>
        <w:spacing w:line="360" w:lineRule="auto"/>
        <w:jc w:val="both"/>
        <w:rPr>
          <w:rFonts w:ascii="Arial" w:hAnsi="Arial" w:cs="Arial"/>
          <w:noProof/>
          <w:lang w:val="en-US"/>
        </w:rPr>
      </w:pPr>
      <w:r w:rsidRPr="00A650B8">
        <w:rPr>
          <w:rFonts w:ascii="Arial" w:hAnsi="Arial" w:cs="Arial"/>
          <w:b/>
          <w:bCs/>
          <w:noProof/>
          <w:color w:val="000000" w:themeColor="text1"/>
          <w:lang w:val="en-US"/>
        </w:rPr>
        <w:t>Supplementary</w:t>
      </w:r>
      <w:r w:rsidRPr="00A650B8">
        <w:rPr>
          <w:rFonts w:ascii="Arial" w:hAnsi="Arial" w:cs="Arial"/>
          <w:b/>
          <w:bCs/>
          <w:noProof/>
          <w:lang w:val="en-US"/>
        </w:rPr>
        <w:t xml:space="preserve"> Figure S1: </w:t>
      </w:r>
      <w:r w:rsidR="00D93D29" w:rsidRPr="00A650B8">
        <w:rPr>
          <w:rFonts w:ascii="Arial" w:hAnsi="Arial" w:cs="Arial"/>
          <w:b/>
          <w:bCs/>
          <w:noProof/>
          <w:lang w:val="en-US"/>
        </w:rPr>
        <w:t xml:space="preserve">A) </w:t>
      </w:r>
      <w:r w:rsidRPr="00A650B8">
        <w:rPr>
          <w:rFonts w:ascii="Arial" w:hAnsi="Arial" w:cs="Arial"/>
          <w:b/>
          <w:bCs/>
          <w:noProof/>
          <w:lang w:val="en-US"/>
        </w:rPr>
        <w:t xml:space="preserve">Rarefaction curves reporting </w:t>
      </w:r>
      <w:r w:rsidR="00AB092C" w:rsidRPr="00A650B8">
        <w:rPr>
          <w:rFonts w:ascii="Arial" w:hAnsi="Arial" w:cs="Arial"/>
          <w:b/>
          <w:bCs/>
          <w:noProof/>
          <w:lang w:val="en-US"/>
        </w:rPr>
        <w:t xml:space="preserve">the number of reads sampled </w:t>
      </w:r>
      <w:r w:rsidRPr="00A650B8">
        <w:rPr>
          <w:rFonts w:ascii="Arial" w:hAnsi="Arial" w:cs="Arial"/>
          <w:b/>
          <w:bCs/>
          <w:noProof/>
          <w:lang w:val="en-US"/>
        </w:rPr>
        <w:t xml:space="preserve">on the X-axis </w:t>
      </w:r>
      <w:r w:rsidR="00AB092C" w:rsidRPr="00A650B8">
        <w:rPr>
          <w:rFonts w:ascii="Arial" w:hAnsi="Arial" w:cs="Arial"/>
          <w:b/>
          <w:bCs/>
          <w:noProof/>
          <w:lang w:val="en-US"/>
        </w:rPr>
        <w:t xml:space="preserve">for each analyzed sample and the number of observed species on the Y-axis. </w:t>
      </w:r>
      <w:r w:rsidRPr="00A650B8">
        <w:rPr>
          <w:rFonts w:ascii="Arial" w:hAnsi="Arial" w:cs="Arial"/>
          <w:b/>
          <w:bCs/>
          <w:noProof/>
          <w:lang w:val="en-US"/>
        </w:rPr>
        <w:t>Each curve represents a single sample.</w:t>
      </w:r>
      <w:r w:rsidR="00D93D29" w:rsidRPr="00A650B8">
        <w:rPr>
          <w:rFonts w:ascii="Arial" w:hAnsi="Arial" w:cs="Arial"/>
          <w:b/>
          <w:bCs/>
          <w:noProof/>
          <w:lang w:val="en-US"/>
        </w:rPr>
        <w:t xml:space="preserve"> B) </w:t>
      </w:r>
      <w:r w:rsidR="00D93D29" w:rsidRPr="00A650B8">
        <w:rPr>
          <w:rFonts w:ascii="Arial" w:hAnsi="Arial" w:cs="Arial"/>
          <w:b/>
          <w:bCs/>
          <w:noProof/>
          <w:color w:val="000000" w:themeColor="text1"/>
          <w:lang w:val="en-US"/>
        </w:rPr>
        <w:t>Alpha diversity assessed using Richeness as index showed no significant difference in the count of the number of different species present among and between the two sample groups (p value=0.97)</w:t>
      </w:r>
    </w:p>
    <w:p w14:paraId="31BC09D7" w14:textId="74BF58B8" w:rsidR="00353CFB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</w:p>
    <w:p w14:paraId="6B1BB67C" w14:textId="2134A889" w:rsidR="00D93D29" w:rsidRDefault="00D93D29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</w:p>
    <w:p w14:paraId="7C326269" w14:textId="77777777" w:rsidR="00D93D29" w:rsidRPr="00BE0D34" w:rsidRDefault="00D93D29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</w:p>
    <w:p w14:paraId="15D25A8B" w14:textId="705FE9F3" w:rsidR="00353CFB" w:rsidRPr="00BE0D34" w:rsidRDefault="00353CFB" w:rsidP="00353CFB">
      <w:pPr>
        <w:spacing w:line="360" w:lineRule="auto"/>
        <w:jc w:val="both"/>
        <w:rPr>
          <w:noProof/>
          <w:lang w:val="en-US"/>
        </w:rPr>
      </w:pPr>
    </w:p>
    <w:p w14:paraId="07ED55A3" w14:textId="77777777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795A5954" wp14:editId="3276FC7A">
            <wp:extent cx="6330620" cy="4245429"/>
            <wp:effectExtent l="0" t="0" r="0" b="0"/>
            <wp:docPr id="10" name="Picture 1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0375" cy="4251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B080F" w14:textId="77777777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t>Supplementary</w:t>
      </w:r>
      <w:r w:rsidRPr="00BE0D34">
        <w:rPr>
          <w:rFonts w:ascii="Arial" w:hAnsi="Arial" w:cs="Arial"/>
          <w:b/>
          <w:bCs/>
          <w:noProof/>
          <w:lang w:val="en-US"/>
        </w:rPr>
        <w:t xml:space="preserve"> Figure S2: Comparative analysis from IonReporter and QIIME2 pipeline showing conservation of major taxa between symptomless and symptomatic plants. While the IonReporter method does O</w:t>
      </w:r>
      <w:r>
        <w:rPr>
          <w:rFonts w:ascii="Arial" w:hAnsi="Arial" w:cs="Arial"/>
          <w:b/>
          <w:bCs/>
          <w:noProof/>
          <w:lang w:val="en-US"/>
        </w:rPr>
        <w:t>TU</w:t>
      </w:r>
      <w:r w:rsidRPr="00BE0D34">
        <w:rPr>
          <w:rFonts w:ascii="Arial" w:hAnsi="Arial" w:cs="Arial"/>
          <w:b/>
          <w:bCs/>
          <w:noProof/>
          <w:lang w:val="en-US"/>
        </w:rPr>
        <w:t xml:space="preserve"> based clustering, QIIME2 utilises the ASV approach for clustering reads. </w:t>
      </w:r>
    </w:p>
    <w:p w14:paraId="577109FB" w14:textId="77777777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</w:p>
    <w:p w14:paraId="2698B68E" w14:textId="6801D569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</w:p>
    <w:p w14:paraId="4BA02D4B" w14:textId="355FEF29" w:rsidR="00353CFB" w:rsidRDefault="006B7643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drawing>
          <wp:inline distT="0" distB="0" distL="0" distR="0" wp14:anchorId="15B2EA6F" wp14:editId="19D1EF21">
            <wp:extent cx="5731510" cy="2976750"/>
            <wp:effectExtent l="0" t="0" r="0" b="0"/>
            <wp:docPr id="6" name="Picture 6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bar chart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16"/>
                    <a:stretch/>
                  </pic:blipFill>
                  <pic:spPr bwMode="auto">
                    <a:xfrm>
                      <a:off x="0" y="0"/>
                      <a:ext cx="5731510" cy="297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66C991" w14:textId="4E4F9911" w:rsidR="006B7643" w:rsidRDefault="006B7643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t>A</w:t>
      </w:r>
    </w:p>
    <w:p w14:paraId="23BCB831" w14:textId="2EB26E6D" w:rsidR="006B7643" w:rsidRDefault="00A650B8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  <w:r w:rsidRPr="00A650B8">
        <w:rPr>
          <w:rFonts w:ascii="Arial" w:hAnsi="Arial" w:cs="Arial"/>
          <w:b/>
          <w:bCs/>
          <w:noProof/>
        </w:rPr>
        <w:drawing>
          <wp:inline distT="0" distB="0" distL="0" distR="0" wp14:anchorId="78D91105" wp14:editId="5A1C85C5">
            <wp:extent cx="5731510" cy="2961005"/>
            <wp:effectExtent l="0" t="0" r="0" b="0"/>
            <wp:docPr id="4" name="Picture 3" descr="Chart, bar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35A397-E771-37B6-F056-65C4CFECF5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hart, bar chart&#10;&#10;Description automatically generated">
                      <a:extLst>
                        <a:ext uri="{FF2B5EF4-FFF2-40B4-BE49-F238E27FC236}">
                          <a16:creationId xmlns:a16="http://schemas.microsoft.com/office/drawing/2014/main" id="{1935A397-E771-37B6-F056-65C4CFECF5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92"/>
                    <a:stretch/>
                  </pic:blipFill>
                  <pic:spPr>
                    <a:xfrm>
                      <a:off x="0" y="0"/>
                      <a:ext cx="573151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00E2C" w14:textId="31AC79F6" w:rsidR="006B7643" w:rsidRPr="00BE0D34" w:rsidRDefault="006B7643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t>B</w:t>
      </w:r>
    </w:p>
    <w:p w14:paraId="5AF66991" w14:textId="430D1595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t>Supplementary</w:t>
      </w:r>
      <w:r w:rsidRPr="00BE0D34">
        <w:rPr>
          <w:rFonts w:ascii="Arial" w:hAnsi="Arial" w:cs="Arial"/>
          <w:b/>
          <w:bCs/>
          <w:noProof/>
          <w:lang w:val="en-US"/>
        </w:rPr>
        <w:t xml:space="preserve"> Figure S3: Differential </w:t>
      </w:r>
      <w:r w:rsidR="006B7643">
        <w:rPr>
          <w:rFonts w:ascii="Arial" w:hAnsi="Arial" w:cs="Arial"/>
          <w:b/>
          <w:bCs/>
          <w:noProof/>
          <w:lang w:val="en-US"/>
        </w:rPr>
        <w:t xml:space="preserve">relative </w:t>
      </w:r>
      <w:r w:rsidRPr="00BE0D34">
        <w:rPr>
          <w:rFonts w:ascii="Arial" w:hAnsi="Arial" w:cs="Arial"/>
          <w:b/>
          <w:bCs/>
          <w:noProof/>
          <w:lang w:val="en-US"/>
        </w:rPr>
        <w:t xml:space="preserve">abundance of  A) </w:t>
      </w:r>
      <w:r w:rsidRPr="00BE0D34">
        <w:rPr>
          <w:rFonts w:ascii="Arial" w:hAnsi="Arial" w:cs="Arial"/>
          <w:b/>
          <w:bCs/>
          <w:i/>
          <w:iCs/>
          <w:noProof/>
          <w:lang w:val="en-US"/>
        </w:rPr>
        <w:t>Methylobacterium</w:t>
      </w:r>
      <w:r w:rsidRPr="00BE0D34">
        <w:rPr>
          <w:rFonts w:ascii="Arial" w:hAnsi="Arial" w:cs="Arial"/>
          <w:b/>
          <w:bCs/>
          <w:noProof/>
          <w:lang w:val="en-US"/>
        </w:rPr>
        <w:t xml:space="preserve"> and B) </w:t>
      </w:r>
      <w:r w:rsidRPr="00BE0D34">
        <w:rPr>
          <w:rFonts w:ascii="Arial" w:hAnsi="Arial" w:cs="Arial"/>
          <w:b/>
          <w:bCs/>
          <w:i/>
          <w:iCs/>
          <w:noProof/>
          <w:lang w:val="en-US"/>
        </w:rPr>
        <w:t>Mucilaginibacter</w:t>
      </w:r>
      <w:r w:rsidRPr="00BE0D34">
        <w:rPr>
          <w:rFonts w:ascii="Arial" w:hAnsi="Arial" w:cs="Arial"/>
          <w:b/>
          <w:bCs/>
          <w:noProof/>
          <w:lang w:val="en-US"/>
        </w:rPr>
        <w:t xml:space="preserve"> </w:t>
      </w:r>
      <w:r w:rsidR="006B7643">
        <w:rPr>
          <w:rFonts w:ascii="Arial" w:hAnsi="Arial" w:cs="Arial"/>
          <w:b/>
          <w:bCs/>
          <w:noProof/>
          <w:lang w:val="en-US"/>
        </w:rPr>
        <w:t xml:space="preserve">of </w:t>
      </w:r>
      <w:r w:rsidR="006B7643" w:rsidRPr="006B7643">
        <w:rPr>
          <w:rFonts w:ascii="Arial" w:hAnsi="Arial" w:cs="Arial"/>
          <w:b/>
          <w:bCs/>
          <w:noProof/>
          <w:lang w:val="en-US"/>
        </w:rPr>
        <w:t>features detected by LEfSe as biomarkers</w:t>
      </w:r>
      <w:r w:rsidR="006B7643">
        <w:rPr>
          <w:rFonts w:ascii="Arial" w:hAnsi="Arial" w:cs="Arial"/>
          <w:b/>
          <w:bCs/>
          <w:noProof/>
          <w:lang w:val="en-US"/>
        </w:rPr>
        <w:t xml:space="preserve">. </w:t>
      </w:r>
    </w:p>
    <w:p w14:paraId="3A3CB8EB" w14:textId="77777777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</w:p>
    <w:p w14:paraId="468ECFA9" w14:textId="77777777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  <w:r w:rsidRPr="00BE0D34">
        <w:rPr>
          <w:rFonts w:ascii="Arial" w:hAnsi="Arial" w:cs="Arial"/>
          <w:b/>
          <w:bCs/>
          <w:noProof/>
          <w:lang w:val="en-US"/>
        </w:rPr>
        <w:lastRenderedPageBreak/>
        <w:drawing>
          <wp:inline distT="0" distB="0" distL="0" distR="0" wp14:anchorId="75D436F8" wp14:editId="694DB629">
            <wp:extent cx="5731510" cy="1487805"/>
            <wp:effectExtent l="0" t="0" r="0" b="0"/>
            <wp:docPr id="22" name="Picture 22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15A63" w14:textId="77777777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</w:p>
    <w:p w14:paraId="4A89A6E7" w14:textId="66AB055C" w:rsidR="004A0111" w:rsidRPr="00BE0D34" w:rsidRDefault="00353CFB" w:rsidP="004A0111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t>Supplementary</w:t>
      </w:r>
      <w:r w:rsidRPr="00BE0D34">
        <w:rPr>
          <w:rFonts w:ascii="Arial" w:hAnsi="Arial" w:cs="Arial"/>
          <w:b/>
          <w:bCs/>
          <w:noProof/>
          <w:lang w:val="en-US"/>
        </w:rPr>
        <w:t xml:space="preserve"> Figure S4: Digital PCR based absolute quantification of </w:t>
      </w:r>
      <w:r w:rsidRPr="00BE0D34">
        <w:rPr>
          <w:rFonts w:ascii="Arial" w:hAnsi="Arial" w:cs="Arial"/>
          <w:b/>
          <w:bCs/>
          <w:i/>
          <w:iCs/>
          <w:noProof/>
          <w:lang w:val="en-US"/>
        </w:rPr>
        <w:t>Cercospora beticola</w:t>
      </w:r>
      <w:r w:rsidRPr="00BE0D34">
        <w:rPr>
          <w:rFonts w:ascii="Arial" w:hAnsi="Arial" w:cs="Arial"/>
          <w:b/>
          <w:bCs/>
          <w:noProof/>
          <w:lang w:val="en-US"/>
        </w:rPr>
        <w:t xml:space="preserve"> on symptomless and symptomatic sea beets</w:t>
      </w:r>
      <w:r w:rsidR="004A0111">
        <w:rPr>
          <w:rFonts w:ascii="Arial" w:hAnsi="Arial" w:cs="Arial"/>
          <w:b/>
          <w:bCs/>
          <w:noProof/>
          <w:lang w:val="en-US"/>
        </w:rPr>
        <w:t xml:space="preserve"> (</w:t>
      </w:r>
      <w:r w:rsidR="004A0111" w:rsidRPr="004A0111">
        <w:rPr>
          <w:rFonts w:ascii="Arial" w:hAnsi="Arial" w:cs="Arial"/>
          <w:b/>
          <w:bCs/>
          <w:noProof/>
          <w:lang w:val="en-US"/>
        </w:rPr>
        <w:t>QuantStudio™ 3D Digital PCR Analysis Suite™ Software</w:t>
      </w:r>
      <w:r w:rsidR="004A0111">
        <w:rPr>
          <w:rFonts w:ascii="Arial" w:hAnsi="Arial" w:cs="Arial"/>
          <w:b/>
          <w:bCs/>
          <w:noProof/>
          <w:lang w:val="en-US"/>
        </w:rPr>
        <w:t xml:space="preserve"> v3.0, Thermo Fisher Scientfic</w:t>
      </w:r>
      <w:r w:rsidR="00DA0D54">
        <w:rPr>
          <w:rFonts w:ascii="Arial" w:hAnsi="Arial" w:cs="Arial"/>
          <w:b/>
          <w:bCs/>
          <w:noProof/>
          <w:lang w:val="en-US"/>
        </w:rPr>
        <w:t>, USA</w:t>
      </w:r>
      <w:r w:rsidR="004A0111">
        <w:rPr>
          <w:rFonts w:ascii="Arial" w:hAnsi="Arial" w:cs="Arial"/>
          <w:b/>
          <w:bCs/>
          <w:noProof/>
          <w:lang w:val="en-US"/>
        </w:rPr>
        <w:t>)</w:t>
      </w:r>
    </w:p>
    <w:p w14:paraId="67B5798E" w14:textId="1DD4D80B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</w:p>
    <w:p w14:paraId="38052483" w14:textId="77777777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</w:p>
    <w:p w14:paraId="38568CF5" w14:textId="77777777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  <w:r w:rsidRPr="00BE0D34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65523CA7" wp14:editId="1EEDB2E1">
            <wp:extent cx="5731510" cy="1544320"/>
            <wp:effectExtent l="0" t="0" r="0" b="5080"/>
            <wp:docPr id="7" name="Picture 7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scatter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A64E6" w14:textId="77777777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</w:p>
    <w:p w14:paraId="6BADB9D9" w14:textId="3BFCC3BF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t>Supplementary</w:t>
      </w:r>
      <w:r w:rsidRPr="00BE0D34">
        <w:rPr>
          <w:rFonts w:ascii="Arial" w:hAnsi="Arial" w:cs="Arial"/>
          <w:b/>
          <w:bCs/>
          <w:noProof/>
          <w:lang w:val="en-US"/>
        </w:rPr>
        <w:t xml:space="preserve"> Figure S5: Digital PCR based absolute quantification of </w:t>
      </w:r>
      <w:r w:rsidRPr="00BE0D34">
        <w:rPr>
          <w:rFonts w:ascii="Arial" w:hAnsi="Arial" w:cs="Arial"/>
          <w:b/>
          <w:bCs/>
          <w:i/>
          <w:iCs/>
          <w:noProof/>
          <w:lang w:val="en-US"/>
        </w:rPr>
        <w:t>Cercospora beticola</w:t>
      </w:r>
      <w:r w:rsidRPr="00BE0D34">
        <w:rPr>
          <w:rFonts w:ascii="Arial" w:hAnsi="Arial" w:cs="Arial"/>
          <w:b/>
          <w:bCs/>
          <w:noProof/>
          <w:lang w:val="en-US"/>
        </w:rPr>
        <w:t xml:space="preserve"> on resistant and susceptible beets under infection stage</w:t>
      </w:r>
      <w:r w:rsidR="004A0111">
        <w:rPr>
          <w:rFonts w:ascii="Arial" w:hAnsi="Arial" w:cs="Arial"/>
          <w:b/>
          <w:bCs/>
          <w:noProof/>
          <w:lang w:val="en-US"/>
        </w:rPr>
        <w:t xml:space="preserve"> (</w:t>
      </w:r>
      <w:r w:rsidR="004A0111" w:rsidRPr="004A0111">
        <w:rPr>
          <w:rFonts w:ascii="Arial" w:hAnsi="Arial" w:cs="Arial"/>
          <w:b/>
          <w:bCs/>
          <w:noProof/>
          <w:lang w:val="en-US"/>
        </w:rPr>
        <w:t>QuantStudio™ 3D Digital PCR Analysis Suite™ Software</w:t>
      </w:r>
      <w:r w:rsidR="004A0111">
        <w:rPr>
          <w:rFonts w:ascii="Arial" w:hAnsi="Arial" w:cs="Arial"/>
          <w:b/>
          <w:bCs/>
          <w:noProof/>
          <w:lang w:val="en-US"/>
        </w:rPr>
        <w:t xml:space="preserve"> v3.0, Thermo Fisher Scientfic</w:t>
      </w:r>
      <w:r w:rsidR="00521B55">
        <w:rPr>
          <w:rFonts w:ascii="Arial" w:hAnsi="Arial" w:cs="Arial"/>
          <w:b/>
          <w:bCs/>
          <w:noProof/>
          <w:lang w:val="en-US"/>
        </w:rPr>
        <w:t>, USA</w:t>
      </w:r>
      <w:r w:rsidR="004A0111">
        <w:rPr>
          <w:rFonts w:ascii="Arial" w:hAnsi="Arial" w:cs="Arial"/>
          <w:b/>
          <w:bCs/>
          <w:noProof/>
          <w:lang w:val="en-US"/>
        </w:rPr>
        <w:t>)</w:t>
      </w:r>
    </w:p>
    <w:p w14:paraId="02BFA210" w14:textId="77777777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388"/>
        <w:gridCol w:w="3509"/>
        <w:gridCol w:w="3567"/>
      </w:tblGrid>
      <w:tr w:rsidR="00353CFB" w:rsidRPr="00BE0D34" w14:paraId="5E06057E" w14:textId="77777777" w:rsidTr="00037D52">
        <w:trPr>
          <w:trHeight w:val="320"/>
        </w:trPr>
        <w:tc>
          <w:tcPr>
            <w:tcW w:w="2388" w:type="dxa"/>
            <w:noWrap/>
            <w:hideMark/>
          </w:tcPr>
          <w:p w14:paraId="0CB8E667" w14:textId="77777777" w:rsidR="00353CFB" w:rsidRPr="00BE0D34" w:rsidRDefault="00353CFB" w:rsidP="00037D52">
            <w:pPr>
              <w:spacing w:line="360" w:lineRule="auto"/>
              <w:jc w:val="both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 w:rsidRPr="00BE0D34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Endophytic bacteria</w:t>
            </w:r>
          </w:p>
        </w:tc>
        <w:tc>
          <w:tcPr>
            <w:tcW w:w="3509" w:type="dxa"/>
            <w:noWrap/>
            <w:hideMark/>
          </w:tcPr>
          <w:p w14:paraId="2C6BC5CD" w14:textId="77777777" w:rsidR="00353CFB" w:rsidRPr="00BE0D34" w:rsidRDefault="00353CFB" w:rsidP="00037D52">
            <w:pPr>
              <w:spacing w:line="360" w:lineRule="auto"/>
              <w:jc w:val="both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 w:rsidRPr="00BE0D34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Primer Forward 5’,3’</w:t>
            </w:r>
          </w:p>
        </w:tc>
        <w:tc>
          <w:tcPr>
            <w:tcW w:w="3567" w:type="dxa"/>
            <w:noWrap/>
            <w:hideMark/>
          </w:tcPr>
          <w:p w14:paraId="3D9025C7" w14:textId="77777777" w:rsidR="00353CFB" w:rsidRPr="00BE0D34" w:rsidRDefault="00353CFB" w:rsidP="00037D52">
            <w:pPr>
              <w:spacing w:line="360" w:lineRule="auto"/>
              <w:jc w:val="both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 w:rsidRPr="00BE0D34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Primer Reverse 5’,3’</w:t>
            </w:r>
          </w:p>
        </w:tc>
      </w:tr>
      <w:tr w:rsidR="00353CFB" w:rsidRPr="00BE0D34" w14:paraId="516B306F" w14:textId="77777777" w:rsidTr="00037D52">
        <w:trPr>
          <w:trHeight w:val="320"/>
        </w:trPr>
        <w:tc>
          <w:tcPr>
            <w:tcW w:w="2388" w:type="dxa"/>
            <w:noWrap/>
            <w:hideMark/>
          </w:tcPr>
          <w:p w14:paraId="280D8BCA" w14:textId="77777777" w:rsidR="00353CFB" w:rsidRPr="00BE0D34" w:rsidRDefault="00353CFB" w:rsidP="00037D52">
            <w:pPr>
              <w:spacing w:line="360" w:lineRule="auto"/>
              <w:jc w:val="both"/>
              <w:rPr>
                <w:rFonts w:ascii="Arial" w:hAnsi="Arial" w:cs="Arial"/>
                <w:i/>
                <w:iCs/>
                <w:noProof/>
                <w:sz w:val="20"/>
                <w:szCs w:val="20"/>
                <w:lang w:val="en-US"/>
              </w:rPr>
            </w:pPr>
            <w:r w:rsidRPr="00BE0D34">
              <w:rPr>
                <w:rFonts w:ascii="Arial" w:hAnsi="Arial" w:cs="Arial"/>
                <w:i/>
                <w:iCs/>
                <w:noProof/>
                <w:sz w:val="20"/>
                <w:szCs w:val="20"/>
                <w:lang w:val="en-US"/>
              </w:rPr>
              <w:t>Sphingomonas</w:t>
            </w:r>
          </w:p>
        </w:tc>
        <w:tc>
          <w:tcPr>
            <w:tcW w:w="3509" w:type="dxa"/>
            <w:noWrap/>
          </w:tcPr>
          <w:p w14:paraId="2AB89622" w14:textId="77777777" w:rsidR="00353CFB" w:rsidRPr="00BE0D34" w:rsidRDefault="00353CFB" w:rsidP="00037D52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BE0D34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TGGGCGCAAGCCTGAT</w:t>
            </w:r>
          </w:p>
        </w:tc>
        <w:tc>
          <w:tcPr>
            <w:tcW w:w="3567" w:type="dxa"/>
            <w:noWrap/>
          </w:tcPr>
          <w:p w14:paraId="0664505A" w14:textId="77777777" w:rsidR="00353CFB" w:rsidRPr="00BE0D34" w:rsidRDefault="00353CFB" w:rsidP="00037D52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BE0D34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GCTTTACAACCCTAAGGCCTTCA</w:t>
            </w:r>
          </w:p>
        </w:tc>
      </w:tr>
      <w:tr w:rsidR="00353CFB" w:rsidRPr="00BE0D34" w14:paraId="4B070EC1" w14:textId="77777777" w:rsidTr="00037D52">
        <w:trPr>
          <w:trHeight w:val="320"/>
        </w:trPr>
        <w:tc>
          <w:tcPr>
            <w:tcW w:w="2388" w:type="dxa"/>
            <w:noWrap/>
          </w:tcPr>
          <w:p w14:paraId="66CBCB76" w14:textId="20291148" w:rsidR="00353CFB" w:rsidRPr="00BE0D34" w:rsidRDefault="00353CFB" w:rsidP="00037D52">
            <w:pPr>
              <w:spacing w:line="360" w:lineRule="auto"/>
              <w:jc w:val="both"/>
              <w:rPr>
                <w:rFonts w:ascii="Arial" w:hAnsi="Arial" w:cs="Arial"/>
                <w:i/>
                <w:iCs/>
                <w:noProof/>
                <w:sz w:val="20"/>
                <w:szCs w:val="20"/>
                <w:lang w:val="en-US"/>
              </w:rPr>
            </w:pPr>
            <w:r w:rsidRPr="00BE0D34">
              <w:rPr>
                <w:rFonts w:ascii="Arial" w:hAnsi="Arial" w:cs="Arial"/>
                <w:i/>
                <w:iCs/>
                <w:noProof/>
                <w:sz w:val="20"/>
                <w:szCs w:val="20"/>
                <w:lang w:val="en-US"/>
              </w:rPr>
              <w:t>Aur</w:t>
            </w:r>
            <w:r w:rsidR="005D1C8D">
              <w:rPr>
                <w:rFonts w:ascii="Arial" w:hAnsi="Arial" w:cs="Arial"/>
                <w:i/>
                <w:iCs/>
                <w:noProof/>
                <w:sz w:val="20"/>
                <w:szCs w:val="20"/>
                <w:lang w:val="en-US"/>
              </w:rPr>
              <w:t>eimonas</w:t>
            </w:r>
            <w:r w:rsidRPr="00BE0D34">
              <w:rPr>
                <w:rFonts w:ascii="Arial" w:hAnsi="Arial" w:cs="Arial"/>
                <w:i/>
                <w:iCs/>
                <w:noProof/>
                <w:sz w:val="20"/>
                <w:szCs w:val="20"/>
                <w:lang w:val="en-US"/>
              </w:rPr>
              <w:t xml:space="preserve">                           </w:t>
            </w:r>
          </w:p>
        </w:tc>
        <w:tc>
          <w:tcPr>
            <w:tcW w:w="3509" w:type="dxa"/>
            <w:noWrap/>
          </w:tcPr>
          <w:p w14:paraId="33494BFA" w14:textId="77777777" w:rsidR="00353CFB" w:rsidRPr="00BE0D34" w:rsidRDefault="00353CFB" w:rsidP="00037D52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BE0D34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CCGGAACGGCCTTTGAT</w:t>
            </w:r>
          </w:p>
        </w:tc>
        <w:tc>
          <w:tcPr>
            <w:tcW w:w="3567" w:type="dxa"/>
            <w:noWrap/>
          </w:tcPr>
          <w:p w14:paraId="1DF4950E" w14:textId="77777777" w:rsidR="00353CFB" w:rsidRPr="00BE0D34" w:rsidRDefault="00353CFB" w:rsidP="00037D52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BE0D34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CGCAATTCCACTCACCTCTTC</w:t>
            </w:r>
          </w:p>
        </w:tc>
      </w:tr>
      <w:tr w:rsidR="00353CFB" w:rsidRPr="00BE0D34" w14:paraId="1CE5E1BA" w14:textId="77777777" w:rsidTr="00037D52">
        <w:trPr>
          <w:trHeight w:val="320"/>
        </w:trPr>
        <w:tc>
          <w:tcPr>
            <w:tcW w:w="2388" w:type="dxa"/>
            <w:noWrap/>
          </w:tcPr>
          <w:p w14:paraId="68CDE5B1" w14:textId="77777777" w:rsidR="00353CFB" w:rsidRPr="00BE0D34" w:rsidRDefault="00353CFB" w:rsidP="00037D52">
            <w:pPr>
              <w:spacing w:line="360" w:lineRule="auto"/>
              <w:jc w:val="both"/>
              <w:rPr>
                <w:rFonts w:ascii="Arial" w:hAnsi="Arial" w:cs="Arial"/>
                <w:i/>
                <w:iCs/>
                <w:noProof/>
                <w:sz w:val="20"/>
                <w:szCs w:val="20"/>
                <w:lang w:val="en-US"/>
              </w:rPr>
            </w:pPr>
            <w:r w:rsidRPr="00BE0D34">
              <w:rPr>
                <w:rFonts w:ascii="Arial" w:hAnsi="Arial" w:cs="Arial"/>
                <w:i/>
                <w:iCs/>
                <w:noProof/>
                <w:sz w:val="20"/>
                <w:szCs w:val="20"/>
                <w:lang w:val="en-US"/>
              </w:rPr>
              <w:t>Pseudomonas</w:t>
            </w:r>
          </w:p>
        </w:tc>
        <w:tc>
          <w:tcPr>
            <w:tcW w:w="3509" w:type="dxa"/>
            <w:noWrap/>
          </w:tcPr>
          <w:p w14:paraId="3DF1A080" w14:textId="77777777" w:rsidR="00353CFB" w:rsidRPr="00BE0D34" w:rsidRDefault="00353CFB" w:rsidP="00037D52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BE0D34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GCGCGTAGGTGGCTTGATAA</w:t>
            </w:r>
          </w:p>
        </w:tc>
        <w:tc>
          <w:tcPr>
            <w:tcW w:w="3567" w:type="dxa"/>
            <w:noWrap/>
          </w:tcPr>
          <w:p w14:paraId="79A7293C" w14:textId="77777777" w:rsidR="00353CFB" w:rsidRPr="00BE0D34" w:rsidRDefault="00353CFB" w:rsidP="00037D52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BE0D34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GGATGCAGTTCCCAGGTTGA</w:t>
            </w:r>
          </w:p>
        </w:tc>
      </w:tr>
      <w:tr w:rsidR="005D1C8D" w:rsidRPr="00BE0D34" w14:paraId="2AB0D8DF" w14:textId="77777777" w:rsidTr="00037D52">
        <w:trPr>
          <w:trHeight w:val="320"/>
        </w:trPr>
        <w:tc>
          <w:tcPr>
            <w:tcW w:w="2388" w:type="dxa"/>
            <w:noWrap/>
          </w:tcPr>
          <w:p w14:paraId="161E3FD5" w14:textId="1591ADA1" w:rsidR="005D1C8D" w:rsidRPr="005D1C8D" w:rsidRDefault="005D1C8D" w:rsidP="005D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5D1C8D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Massilia</w:t>
            </w:r>
            <w:proofErr w:type="spellEnd"/>
            <w:r w:rsidRPr="005D1C8D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757237AB" w14:textId="0000DA42" w:rsidR="005D1C8D" w:rsidRPr="005D1C8D" w:rsidRDefault="005D1C8D" w:rsidP="005D1C8D">
            <w:pPr>
              <w:spacing w:line="360" w:lineRule="auto"/>
              <w:jc w:val="both"/>
              <w:rPr>
                <w:rFonts w:ascii="Arial" w:hAnsi="Arial" w:cs="Arial"/>
                <w:i/>
                <w:iCs/>
                <w:noProof/>
                <w:sz w:val="20"/>
                <w:szCs w:val="20"/>
                <w:lang w:val="en-US"/>
              </w:rPr>
            </w:pPr>
          </w:p>
        </w:tc>
        <w:tc>
          <w:tcPr>
            <w:tcW w:w="3509" w:type="dxa"/>
            <w:noWrap/>
          </w:tcPr>
          <w:p w14:paraId="39CE8200" w14:textId="4EA30B5F" w:rsidR="005D1C8D" w:rsidRPr="005D1C8D" w:rsidRDefault="005D1C8D" w:rsidP="00037D52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5D1C8D">
              <w:rPr>
                <w:rFonts w:ascii="Arial" w:hAnsi="Arial" w:cs="Arial"/>
                <w:sz w:val="20"/>
                <w:szCs w:val="20"/>
                <w:lang w:val="en-GB"/>
              </w:rPr>
              <w:t>CAATGCCGCGTGAGTGAA</w:t>
            </w:r>
          </w:p>
        </w:tc>
        <w:tc>
          <w:tcPr>
            <w:tcW w:w="3567" w:type="dxa"/>
            <w:noWrap/>
          </w:tcPr>
          <w:p w14:paraId="425DFC9D" w14:textId="10BEBA61" w:rsidR="005D1C8D" w:rsidRPr="005D1C8D" w:rsidRDefault="005D1C8D" w:rsidP="00037D52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5D1C8D">
              <w:rPr>
                <w:rFonts w:ascii="Arial" w:hAnsi="Arial" w:cs="Arial"/>
                <w:sz w:val="20"/>
                <w:szCs w:val="20"/>
                <w:lang w:val="en-GB"/>
              </w:rPr>
              <w:t>GAACCGTTTCTTCCCTGACAAA</w:t>
            </w:r>
          </w:p>
        </w:tc>
      </w:tr>
    </w:tbl>
    <w:p w14:paraId="3A116B05" w14:textId="77777777" w:rsidR="00353CFB" w:rsidRPr="00BE0D34" w:rsidRDefault="00353CFB" w:rsidP="00353CFB">
      <w:pPr>
        <w:spacing w:line="360" w:lineRule="auto"/>
        <w:jc w:val="both"/>
        <w:rPr>
          <w:rFonts w:ascii="Arial" w:hAnsi="Arial" w:cs="Arial"/>
          <w:b/>
          <w:bCs/>
          <w:noProof/>
          <w:lang w:val="en-US"/>
        </w:rPr>
      </w:pPr>
    </w:p>
    <w:p w14:paraId="2C41F4D5" w14:textId="44AA026D" w:rsidR="00353CFB" w:rsidRPr="0005136C" w:rsidRDefault="00353CFB" w:rsidP="0005136C">
      <w:pPr>
        <w:spacing w:line="360" w:lineRule="auto"/>
        <w:jc w:val="both"/>
        <w:rPr>
          <w:noProof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t>Supplementary</w:t>
      </w:r>
      <w:r w:rsidRPr="00BE0D34">
        <w:rPr>
          <w:rFonts w:ascii="Arial" w:hAnsi="Arial" w:cs="Arial"/>
          <w:b/>
          <w:bCs/>
          <w:noProof/>
          <w:lang w:val="en-US"/>
        </w:rPr>
        <w:t xml:space="preserve"> Table S1: Primers of other candidates from sequencing not resulting significant across larger sea beet and cultivated beet validations.</w:t>
      </w:r>
    </w:p>
    <w:p w14:paraId="342D0059" w14:textId="77777777" w:rsidR="007A652B" w:rsidRDefault="00521B55"/>
    <w:sectPr w:rsidR="007A65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CFB"/>
    <w:rsid w:val="0005136C"/>
    <w:rsid w:val="00225837"/>
    <w:rsid w:val="002769E4"/>
    <w:rsid w:val="00353CFB"/>
    <w:rsid w:val="004A0111"/>
    <w:rsid w:val="00521B55"/>
    <w:rsid w:val="005862CC"/>
    <w:rsid w:val="005D1C8D"/>
    <w:rsid w:val="006B7643"/>
    <w:rsid w:val="007801E2"/>
    <w:rsid w:val="009D0541"/>
    <w:rsid w:val="00A650B8"/>
    <w:rsid w:val="00AB092C"/>
    <w:rsid w:val="00D93D29"/>
    <w:rsid w:val="00DA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52B90"/>
  <w15:chartTrackingRefBased/>
  <w15:docId w15:val="{33DC95E5-C59A-F345-BC26-EA04E648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CFB"/>
    <w:pPr>
      <w:spacing w:after="160" w:line="259" w:lineRule="auto"/>
    </w:pPr>
    <w:rPr>
      <w:sz w:val="22"/>
      <w:szCs w:val="22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3CFB"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8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Samathmika</dc:creator>
  <cp:keywords/>
  <dc:description/>
  <cp:lastModifiedBy>Ravi Samathmika</cp:lastModifiedBy>
  <cp:revision>4</cp:revision>
  <dcterms:created xsi:type="dcterms:W3CDTF">2022-06-04T13:32:00Z</dcterms:created>
  <dcterms:modified xsi:type="dcterms:W3CDTF">2022-06-04T13:40:00Z</dcterms:modified>
</cp:coreProperties>
</file>