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9DBDF" w14:textId="26FFDB22" w:rsidR="005C4CD1" w:rsidRDefault="005C4CD1" w:rsidP="005C4CD1">
      <w:pPr>
        <w:spacing w:line="360" w:lineRule="auto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SUPPLEMENTARY INFORMATION</w:t>
      </w:r>
    </w:p>
    <w:p w14:paraId="41136CF6" w14:textId="010EBDE3" w:rsidR="005C4CD1" w:rsidRPr="005C4CD1" w:rsidRDefault="005C4CD1" w:rsidP="005C4CD1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32"/>
          <w:szCs w:val="32"/>
        </w:rPr>
        <w:t xml:space="preserve">A hands-free stool sampling system for monitoring intestinal health and disease </w:t>
      </w:r>
    </w:p>
    <w:p w14:paraId="2147F42F" w14:textId="77777777" w:rsidR="005C4CD1" w:rsidRPr="00F67F13" w:rsidRDefault="005C4CD1" w:rsidP="005C4CD1">
      <w:pPr>
        <w:spacing w:line="276" w:lineRule="auto"/>
        <w:rPr>
          <w:rFonts w:cs="Times New Roman"/>
          <w:szCs w:val="24"/>
        </w:rPr>
      </w:pPr>
      <w:r w:rsidRPr="00F67F13">
        <w:rPr>
          <w:rFonts w:cs="Times New Roman"/>
          <w:szCs w:val="24"/>
        </w:rPr>
        <w:t>Sonia Grego</w:t>
      </w:r>
      <w:r w:rsidRPr="000F302B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  <w:vertAlign w:val="superscript"/>
        </w:rPr>
        <w:t>*</w:t>
      </w:r>
      <w:r w:rsidRPr="00F67F13">
        <w:rPr>
          <w:rFonts w:cs="Times New Roman"/>
          <w:szCs w:val="24"/>
        </w:rPr>
        <w:t>, Claire M. Welling</w:t>
      </w:r>
      <w:r w:rsidRPr="000F302B">
        <w:rPr>
          <w:rFonts w:cs="Times New Roman"/>
          <w:szCs w:val="24"/>
          <w:vertAlign w:val="superscript"/>
        </w:rPr>
        <w:t>1</w:t>
      </w:r>
      <w:r w:rsidRPr="00F67F13">
        <w:rPr>
          <w:rFonts w:cs="Times New Roman"/>
          <w:szCs w:val="24"/>
        </w:rPr>
        <w:t xml:space="preserve">, Graham </w:t>
      </w:r>
      <w:r>
        <w:rPr>
          <w:rFonts w:cs="Times New Roman"/>
          <w:szCs w:val="24"/>
        </w:rPr>
        <w:t xml:space="preserve">H. </w:t>
      </w:r>
      <w:r w:rsidRPr="00F67F13">
        <w:rPr>
          <w:rFonts w:cs="Times New Roman"/>
          <w:szCs w:val="24"/>
        </w:rPr>
        <w:t>Miller</w:t>
      </w:r>
      <w:r w:rsidRPr="000F302B">
        <w:rPr>
          <w:rFonts w:cs="Times New Roman"/>
          <w:szCs w:val="24"/>
          <w:vertAlign w:val="superscript"/>
        </w:rPr>
        <w:t>1</w:t>
      </w:r>
      <w:r w:rsidRPr="00F67F13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Peter F. Coggan</w:t>
      </w:r>
      <w:r w:rsidRPr="000F302B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 xml:space="preserve">, </w:t>
      </w:r>
      <w:r w:rsidRPr="00F67F13">
        <w:rPr>
          <w:rFonts w:cs="Times New Roman"/>
          <w:szCs w:val="24"/>
        </w:rPr>
        <w:t xml:space="preserve">Katelyn </w:t>
      </w:r>
      <w:r>
        <w:rPr>
          <w:rFonts w:cs="Times New Roman"/>
          <w:szCs w:val="24"/>
        </w:rPr>
        <w:t xml:space="preserve">L. </w:t>
      </w:r>
      <w:r w:rsidRPr="00F67F13">
        <w:rPr>
          <w:rFonts w:cs="Times New Roman"/>
          <w:szCs w:val="24"/>
        </w:rPr>
        <w:t>Sellgren</w:t>
      </w:r>
      <w:r w:rsidRPr="000F302B">
        <w:rPr>
          <w:rFonts w:cs="Times New Roman"/>
          <w:szCs w:val="24"/>
          <w:vertAlign w:val="superscript"/>
        </w:rPr>
        <w:t>1</w:t>
      </w:r>
      <w:r w:rsidRPr="00F67F13">
        <w:rPr>
          <w:rFonts w:cs="Times New Roman"/>
          <w:szCs w:val="24"/>
        </w:rPr>
        <w:t>, Brian T. Hawkins</w:t>
      </w:r>
      <w:r w:rsidRPr="000F302B">
        <w:rPr>
          <w:rFonts w:cs="Times New Roman"/>
          <w:szCs w:val="24"/>
          <w:vertAlign w:val="superscript"/>
        </w:rPr>
        <w:t>1</w:t>
      </w:r>
      <w:r w:rsidRPr="00F67F13">
        <w:rPr>
          <w:rFonts w:cs="Times New Roman"/>
          <w:szCs w:val="24"/>
        </w:rPr>
        <w:t>, Geoffrey S. Ginsburg</w:t>
      </w:r>
      <w:r>
        <w:rPr>
          <w:rFonts w:cs="Times New Roman"/>
          <w:szCs w:val="24"/>
          <w:vertAlign w:val="superscript"/>
        </w:rPr>
        <w:t>2</w:t>
      </w:r>
      <w:r w:rsidRPr="00F67F13">
        <w:rPr>
          <w:rFonts w:cs="Times New Roman"/>
          <w:szCs w:val="24"/>
        </w:rPr>
        <w:t xml:space="preserve">, </w:t>
      </w:r>
      <w:r w:rsidRPr="00962277">
        <w:rPr>
          <w:rFonts w:cs="Times New Roman"/>
          <w:szCs w:val="24"/>
        </w:rPr>
        <w:t>Jose R. Ruiz</w:t>
      </w:r>
      <w:r w:rsidRPr="00962277">
        <w:rPr>
          <w:rFonts w:cs="Times New Roman"/>
          <w:szCs w:val="24"/>
          <w:vertAlign w:val="superscript"/>
        </w:rPr>
        <w:t>3</w:t>
      </w:r>
      <w:r w:rsidRPr="00962277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F67F13">
        <w:rPr>
          <w:rFonts w:cs="Times New Roman"/>
          <w:szCs w:val="24"/>
        </w:rPr>
        <w:t xml:space="preserve">Deborah </w:t>
      </w:r>
      <w:r>
        <w:rPr>
          <w:rFonts w:cs="Times New Roman"/>
          <w:szCs w:val="24"/>
        </w:rPr>
        <w:t xml:space="preserve">A. </w:t>
      </w:r>
      <w:r w:rsidRPr="00F67F13">
        <w:rPr>
          <w:rFonts w:cs="Times New Roman"/>
          <w:szCs w:val="24"/>
        </w:rPr>
        <w:t>Fisher</w:t>
      </w:r>
      <w:r>
        <w:rPr>
          <w:rFonts w:cs="Times New Roman"/>
          <w:szCs w:val="24"/>
          <w:vertAlign w:val="superscript"/>
        </w:rPr>
        <w:t>3</w:t>
      </w:r>
      <w:r w:rsidRPr="00F67F13">
        <w:rPr>
          <w:rFonts w:cs="Times New Roman"/>
          <w:szCs w:val="24"/>
        </w:rPr>
        <w:t>, and Brian R. Stoner</w:t>
      </w:r>
      <w:r w:rsidRPr="000F302B">
        <w:rPr>
          <w:rFonts w:cs="Times New Roman"/>
          <w:szCs w:val="24"/>
          <w:vertAlign w:val="superscript"/>
        </w:rPr>
        <w:t>1</w:t>
      </w:r>
    </w:p>
    <w:p w14:paraId="606F683E" w14:textId="77777777" w:rsidR="005C4CD1" w:rsidRPr="00F67F13" w:rsidRDefault="005C4CD1" w:rsidP="005C4CD1">
      <w:pPr>
        <w:spacing w:line="276" w:lineRule="auto"/>
        <w:rPr>
          <w:rFonts w:cs="Times New Roman"/>
          <w:szCs w:val="24"/>
        </w:rPr>
      </w:pPr>
      <w:r w:rsidRPr="000F302B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  <w:vertAlign w:val="superscript"/>
        </w:rPr>
        <w:t xml:space="preserve"> </w:t>
      </w:r>
      <w:r w:rsidRPr="00F67F13">
        <w:rPr>
          <w:rFonts w:cs="Times New Roman"/>
          <w:szCs w:val="24"/>
        </w:rPr>
        <w:t>Electrical and Computer Engineering, Center for Water, Sanitation, Hygiene and Infectious Disease (</w:t>
      </w:r>
      <w:proofErr w:type="spellStart"/>
      <w:r w:rsidRPr="00F67F13">
        <w:rPr>
          <w:rFonts w:cs="Times New Roman"/>
          <w:szCs w:val="24"/>
        </w:rPr>
        <w:t>WaSH</w:t>
      </w:r>
      <w:proofErr w:type="spellEnd"/>
      <w:r w:rsidRPr="00F67F13">
        <w:rPr>
          <w:rFonts w:cs="Times New Roman"/>
          <w:szCs w:val="24"/>
        </w:rPr>
        <w:t>-AID), Duke University, Durham, NC, United States</w:t>
      </w:r>
    </w:p>
    <w:p w14:paraId="2CFF0311" w14:textId="77777777" w:rsidR="005C4CD1" w:rsidRPr="00F67F13" w:rsidRDefault="005C4CD1" w:rsidP="005C4CD1">
      <w:pPr>
        <w:spacing w:line="276" w:lineRule="auto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vertAlign w:val="superscript"/>
        </w:rPr>
        <w:t xml:space="preserve">2 </w:t>
      </w:r>
      <w:r w:rsidRPr="00F67F13">
        <w:rPr>
          <w:rFonts w:cs="Times New Roman"/>
          <w:szCs w:val="24"/>
          <w:shd w:val="clear" w:color="auto" w:fill="FFFFFF"/>
        </w:rPr>
        <w:t xml:space="preserve">Duke Center for Applied Genomics &amp; Precision Medicine, School of Medicine, Duke University, </w:t>
      </w:r>
      <w:r w:rsidRPr="00F67F13">
        <w:rPr>
          <w:rFonts w:cs="Times New Roman"/>
          <w:szCs w:val="24"/>
        </w:rPr>
        <w:t>Durham, NC, United States</w:t>
      </w:r>
    </w:p>
    <w:p w14:paraId="241A1E0C" w14:textId="380B9A6E" w:rsidR="00942B02" w:rsidRPr="005C4CD1" w:rsidRDefault="005C4CD1" w:rsidP="005C4CD1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 xml:space="preserve">3 </w:t>
      </w:r>
      <w:r w:rsidRPr="00F67F13">
        <w:rPr>
          <w:rFonts w:cs="Times New Roman"/>
          <w:szCs w:val="24"/>
        </w:rPr>
        <w:t>Division of Gastroenterology, School of Medicine, Duke Univer</w:t>
      </w:r>
      <w:r>
        <w:rPr>
          <w:rFonts w:cs="Times New Roman"/>
          <w:szCs w:val="24"/>
        </w:rPr>
        <w:t>sity, Durham, NC, United States</w:t>
      </w:r>
    </w:p>
    <w:p w14:paraId="2D6842A3" w14:textId="77777777" w:rsidR="005C4CD1" w:rsidRDefault="005C4CD1" w:rsidP="00942B02">
      <w:pPr>
        <w:spacing w:line="360" w:lineRule="auto"/>
        <w:rPr>
          <w:rFonts w:cs="Times New Roman"/>
          <w:szCs w:val="24"/>
        </w:rPr>
      </w:pPr>
    </w:p>
    <w:p w14:paraId="18FF6AA2" w14:textId="187075EA" w:rsidR="00942B02" w:rsidRPr="005C4CD1" w:rsidRDefault="00942B02" w:rsidP="00942B02">
      <w:pPr>
        <w:spacing w:line="360" w:lineRule="auto"/>
        <w:rPr>
          <w:rFonts w:cs="Times New Roman"/>
          <w:b/>
          <w:szCs w:val="24"/>
        </w:rPr>
      </w:pPr>
      <w:r w:rsidRPr="005C4CD1">
        <w:rPr>
          <w:rFonts w:cs="Times New Roman"/>
          <w:b/>
          <w:szCs w:val="24"/>
        </w:rPr>
        <w:t>Table of Content</w:t>
      </w:r>
    </w:p>
    <w:p w14:paraId="19AA8C24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szCs w:val="24"/>
        </w:rPr>
        <w:t>Supplementary methods</w:t>
      </w:r>
    </w:p>
    <w:p w14:paraId="3ECEF8E6" w14:textId="77777777" w:rsidR="00942B02" w:rsidRPr="00CE240B" w:rsidRDefault="00942B02" w:rsidP="00942B02">
      <w:pPr>
        <w:spacing w:line="360" w:lineRule="auto"/>
        <w:rPr>
          <w:rFonts w:cs="Times New Roman"/>
          <w:szCs w:val="24"/>
        </w:rPr>
      </w:pPr>
      <w:r w:rsidRPr="00CE240B">
        <w:rPr>
          <w:rFonts w:cs="Times New Roman"/>
          <w:b/>
          <w:szCs w:val="24"/>
        </w:rPr>
        <w:t>Figure S</w:t>
      </w:r>
      <w:r>
        <w:rPr>
          <w:rFonts w:cs="Times New Roman"/>
          <w:b/>
          <w:szCs w:val="24"/>
        </w:rPr>
        <w:t>1</w:t>
      </w:r>
      <w:r w:rsidRPr="00CE240B">
        <w:rPr>
          <w:rFonts w:cs="Times New Roman"/>
          <w:szCs w:val="24"/>
        </w:rPr>
        <w:t>: illustration of the assay steps for standard and prototype sampling</w:t>
      </w:r>
    </w:p>
    <w:p w14:paraId="252F75C2" w14:textId="77777777" w:rsidR="00942B02" w:rsidRPr="00CE240B" w:rsidRDefault="00942B02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S2</w:t>
      </w:r>
      <w:r w:rsidRPr="00CE240B">
        <w:rPr>
          <w:rFonts w:cs="Times New Roman"/>
          <w:b/>
          <w:szCs w:val="24"/>
        </w:rPr>
        <w:t xml:space="preserve">:  </w:t>
      </w:r>
      <w:r w:rsidRPr="00CE240B">
        <w:rPr>
          <w:rFonts w:cs="Times New Roman"/>
          <w:szCs w:val="24"/>
        </w:rPr>
        <w:t>Occult blood concordance matrix for brand 1</w:t>
      </w:r>
    </w:p>
    <w:p w14:paraId="28C56407" w14:textId="77777777" w:rsidR="00942B02" w:rsidRDefault="00942B02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S3</w:t>
      </w:r>
      <w:r w:rsidRPr="00CE240B">
        <w:rPr>
          <w:rFonts w:cs="Times New Roman"/>
          <w:szCs w:val="24"/>
        </w:rPr>
        <w:t>: Occult blood concordance matrix for brand 2</w:t>
      </w:r>
    </w:p>
    <w:p w14:paraId="2B1324CB" w14:textId="368A165F" w:rsidR="00E60F75" w:rsidRPr="00E60F75" w:rsidRDefault="00602F56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S4</w:t>
      </w:r>
      <w:r w:rsidR="00E60F75" w:rsidRPr="007366D9">
        <w:rPr>
          <w:rFonts w:cs="Times New Roman"/>
          <w:b/>
          <w:szCs w:val="24"/>
        </w:rPr>
        <w:t>:</w:t>
      </w:r>
      <w:r w:rsidR="00E60F75">
        <w:rPr>
          <w:rFonts w:cs="Times New Roman"/>
          <w:b/>
          <w:szCs w:val="24"/>
        </w:rPr>
        <w:t xml:space="preserve"> </w:t>
      </w:r>
      <w:bookmarkStart w:id="0" w:name="_GoBack"/>
      <w:r w:rsidR="00E42854" w:rsidRPr="00E42854">
        <w:rPr>
          <w:rFonts w:cs="Times New Roman"/>
          <w:szCs w:val="24"/>
        </w:rPr>
        <w:t>Microbiome t</w:t>
      </w:r>
      <w:r w:rsidR="00E60F75" w:rsidRPr="00E42854">
        <w:rPr>
          <w:rFonts w:cs="Times New Roman"/>
          <w:szCs w:val="24"/>
        </w:rPr>
        <w:t>axonomy</w:t>
      </w:r>
      <w:r w:rsidR="00E60F75" w:rsidRPr="007366D9">
        <w:rPr>
          <w:rFonts w:cs="Times New Roman"/>
          <w:szCs w:val="24"/>
        </w:rPr>
        <w:t xml:space="preserve"> </w:t>
      </w:r>
      <w:bookmarkEnd w:id="0"/>
      <w:r w:rsidR="00E60F75" w:rsidRPr="007366D9">
        <w:rPr>
          <w:rFonts w:cs="Times New Roman"/>
          <w:szCs w:val="24"/>
        </w:rPr>
        <w:t>di</w:t>
      </w:r>
      <w:r w:rsidR="00E60F75">
        <w:rPr>
          <w:rFonts w:cs="Times New Roman"/>
          <w:szCs w:val="24"/>
        </w:rPr>
        <w:t>stribution of specimen obtained by</w:t>
      </w:r>
      <w:r w:rsidR="00E60F75" w:rsidRPr="007366D9">
        <w:rPr>
          <w:rFonts w:cs="Times New Roman"/>
          <w:szCs w:val="24"/>
        </w:rPr>
        <w:t xml:space="preserve"> standard and this technology sampling</w:t>
      </w:r>
    </w:p>
    <w:p w14:paraId="379B1E23" w14:textId="66F264C9" w:rsidR="007366D9" w:rsidRPr="007366D9" w:rsidRDefault="00942B02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</w:t>
      </w:r>
      <w:r w:rsidR="00E60F75">
        <w:rPr>
          <w:rFonts w:cs="Times New Roman"/>
          <w:b/>
          <w:szCs w:val="24"/>
        </w:rPr>
        <w:t>5</w:t>
      </w:r>
      <w:r>
        <w:rPr>
          <w:rFonts w:cs="Times New Roman"/>
          <w:b/>
          <w:szCs w:val="24"/>
        </w:rPr>
        <w:t>: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>Turbidity sensor calibration</w:t>
      </w:r>
    </w:p>
    <w:p w14:paraId="54DFE407" w14:textId="7C11649C" w:rsidR="00942B02" w:rsidRDefault="00942B02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</w:t>
      </w:r>
      <w:r w:rsidR="00E60F75">
        <w:rPr>
          <w:rFonts w:cs="Times New Roman"/>
          <w:b/>
          <w:szCs w:val="24"/>
        </w:rPr>
        <w:t>6</w:t>
      </w:r>
      <w:r>
        <w:rPr>
          <w:rFonts w:cs="Times New Roman"/>
          <w:b/>
          <w:szCs w:val="24"/>
        </w:rPr>
        <w:t>: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>Pictures of the turbidity sensor and its installation in the toile</w:t>
      </w:r>
      <w:r>
        <w:rPr>
          <w:rFonts w:cs="Times New Roman"/>
          <w:szCs w:val="24"/>
        </w:rPr>
        <w:t>t system</w:t>
      </w:r>
    </w:p>
    <w:p w14:paraId="0D35D313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szCs w:val="24"/>
        </w:rPr>
        <w:t xml:space="preserve">Video S1: </w:t>
      </w:r>
      <w:r w:rsidRPr="00CE240B">
        <w:rPr>
          <w:rFonts w:cs="Times New Roman"/>
          <w:szCs w:val="24"/>
        </w:rPr>
        <w:t>Operation of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>the prototype after flushing of a formed specimen</w:t>
      </w:r>
    </w:p>
    <w:p w14:paraId="64EF3C98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szCs w:val="24"/>
        </w:rPr>
        <w:t xml:space="preserve">Video S2: </w:t>
      </w:r>
      <w:r w:rsidRPr="00CE240B">
        <w:rPr>
          <w:rFonts w:cs="Times New Roman"/>
          <w:szCs w:val="24"/>
        </w:rPr>
        <w:t>Examples for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 xml:space="preserve">spray erosion on feces with different consistency. </w:t>
      </w:r>
    </w:p>
    <w:p w14:paraId="299A8D70" w14:textId="202A54DC" w:rsidR="00942B02" w:rsidRPr="005C4CD1" w:rsidRDefault="00942B02" w:rsidP="00942B02">
      <w:pPr>
        <w:spacing w:line="360" w:lineRule="auto"/>
        <w:rPr>
          <w:rFonts w:cs="Times New Roman"/>
          <w:szCs w:val="24"/>
        </w:rPr>
      </w:pPr>
      <w:r w:rsidRPr="00CE240B">
        <w:rPr>
          <w:rFonts w:cs="Times New Roman"/>
          <w:b/>
          <w:szCs w:val="24"/>
        </w:rPr>
        <w:t xml:space="preserve">Video S3: </w:t>
      </w:r>
      <w:r w:rsidRPr="00CE240B">
        <w:rPr>
          <w:rFonts w:cs="Times New Roman"/>
          <w:szCs w:val="24"/>
        </w:rPr>
        <w:t>Spiking procedure illustrate with dye color and soybean surrogate</w:t>
      </w:r>
      <w:r w:rsidRPr="00CE240B">
        <w:rPr>
          <w:rFonts w:cs="Times New Roman"/>
          <w:b/>
          <w:szCs w:val="24"/>
        </w:rPr>
        <w:br w:type="page"/>
      </w:r>
    </w:p>
    <w:p w14:paraId="2930C247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szCs w:val="24"/>
        </w:rPr>
        <w:lastRenderedPageBreak/>
        <w:t>Supplementary Methods</w:t>
      </w:r>
    </w:p>
    <w:p w14:paraId="4E99E74C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szCs w:val="24"/>
        </w:rPr>
        <w:t xml:space="preserve">Stool Spiking method. </w:t>
      </w:r>
    </w:p>
    <w:p w14:paraId="014B2FB8" w14:textId="77777777" w:rsidR="00942B02" w:rsidRDefault="00942B02" w:rsidP="00942B02">
      <w:pPr>
        <w:spacing w:line="360" w:lineRule="auto"/>
        <w:rPr>
          <w:rFonts w:cs="Times New Roman"/>
          <w:szCs w:val="24"/>
        </w:rPr>
      </w:pPr>
      <w:r w:rsidRPr="00CE240B">
        <w:rPr>
          <w:rFonts w:eastAsia="Times New Roman" w:cs="Times New Roman"/>
          <w:bCs/>
          <w:szCs w:val="24"/>
        </w:rPr>
        <w:t xml:space="preserve">Mixing the </w:t>
      </w:r>
      <w:proofErr w:type="spellStart"/>
      <w:r w:rsidRPr="00CE240B">
        <w:rPr>
          <w:rFonts w:eastAsia="Times New Roman" w:cs="Times New Roman"/>
          <w:bCs/>
          <w:szCs w:val="24"/>
        </w:rPr>
        <w:t>analyte</w:t>
      </w:r>
      <w:proofErr w:type="spellEnd"/>
      <w:r w:rsidRPr="00CE240B">
        <w:rPr>
          <w:rFonts w:eastAsia="Times New Roman" w:cs="Times New Roman"/>
          <w:bCs/>
          <w:szCs w:val="24"/>
        </w:rPr>
        <w:t xml:space="preserve"> with feces</w:t>
      </w:r>
      <w:r w:rsidRPr="00CE240B">
        <w:rPr>
          <w:rFonts w:eastAsia="Times New Roman" w:cs="Times New Roman"/>
          <w:szCs w:val="24"/>
        </w:rPr>
        <w:t xml:space="preserve"> represents the closest approximation of uniform </w:t>
      </w:r>
      <w:proofErr w:type="spellStart"/>
      <w:r w:rsidRPr="00CE240B">
        <w:rPr>
          <w:rFonts w:eastAsia="Times New Roman" w:cs="Times New Roman"/>
          <w:szCs w:val="24"/>
        </w:rPr>
        <w:t>analyte</w:t>
      </w:r>
      <w:proofErr w:type="spellEnd"/>
      <w:r w:rsidRPr="00CE240B">
        <w:rPr>
          <w:rFonts w:eastAsia="Times New Roman" w:cs="Times New Roman"/>
          <w:szCs w:val="24"/>
        </w:rPr>
        <w:t xml:space="preserve"> distribution within a fecal sample</w:t>
      </w:r>
      <w:r w:rsidRPr="00CE240B">
        <w:rPr>
          <w:rFonts w:cs="Times New Roman"/>
          <w:szCs w:val="24"/>
        </w:rPr>
        <w:t>.  Spiking of fecal specimens is typically performed by homogenizin</w:t>
      </w:r>
      <w:r>
        <w:rPr>
          <w:rFonts w:cs="Times New Roman"/>
          <w:szCs w:val="24"/>
        </w:rPr>
        <w:t>g a small quantity (0.2 to 2 g)</w:t>
      </w:r>
      <w:r>
        <w:rPr>
          <w:rFonts w:cs="Times New Roman"/>
          <w:szCs w:val="24"/>
        </w:rPr>
        <w:fldChar w:fldCharType="begin"/>
      </w:r>
      <w:r w:rsidR="001B62D8">
        <w:rPr>
          <w:rFonts w:cs="Times New Roman"/>
          <w:szCs w:val="24"/>
        </w:rPr>
        <w:instrText xml:space="preserve"> ADDIN EN.CITE &lt;EndNote&gt;&lt;Cite&gt;&lt;Author&gt;Barrows&lt;/Author&gt;&lt;Year&gt;1978&lt;/Year&gt;&lt;RecNum&gt;374&lt;/RecNum&gt;&lt;DisplayText&gt;&lt;style face="superscript"&gt;1&lt;/style&gt;&lt;/DisplayText&gt;&lt;record&gt;&lt;rec-number&gt;374&lt;/rec-number&gt;&lt;foreign-keys&gt;&lt;key app="EN" db-id="x0deszvppfwptrew9pgp52rfpa25drz0twpe" timestamp="1627216781"&gt;374&lt;/key&gt;&lt;/foreign-keys&gt;&lt;ref-type name="Journal Article"&gt;17&lt;/ref-type&gt;&lt;contributors&gt;&lt;authors&gt;&lt;author&gt;Barrows, George H&lt;/author&gt;&lt;author&gt;Burton, Robert M&lt;/author&gt;&lt;author&gt;Jarrett, Diane D&lt;/author&gt;&lt;author&gt;Russell, Glenda G&lt;/author&gt;&lt;author&gt;Alford, M David&lt;/author&gt;&lt;author&gt;Songster, Curtis L&lt;/author&gt;&lt;/authors&gt;&lt;/contributors&gt;&lt;titles&gt;&lt;title&gt;Immunochemical detection of human blood in feces&lt;/title&gt;&lt;secondary-title&gt;American journal of clinical pathology&lt;/secondary-title&gt;&lt;/titles&gt;&lt;periodical&gt;&lt;full-title&gt;American journal of clinical pathology&lt;/full-title&gt;&lt;/periodical&gt;&lt;pages&gt;342-346&lt;/pages&gt;&lt;volume&gt;69&lt;/volume&gt;&lt;number&gt;3&lt;/number&gt;&lt;dates&gt;&lt;year&gt;1978&lt;/year&gt;&lt;/dates&gt;&lt;isbn&gt;1943-7722&lt;/isbn&gt;&lt;urls&gt;&lt;/urls&gt;&lt;/record&gt;&lt;/Cite&gt;&lt;/EndNote&gt;</w:instrText>
      </w:r>
      <w:r>
        <w:rPr>
          <w:rFonts w:cs="Times New Roman"/>
          <w:szCs w:val="24"/>
        </w:rPr>
        <w:fldChar w:fldCharType="separate"/>
      </w:r>
      <w:r w:rsidR="001B62D8" w:rsidRPr="001B62D8">
        <w:rPr>
          <w:rFonts w:cs="Times New Roman"/>
          <w:noProof/>
          <w:szCs w:val="24"/>
          <w:vertAlign w:val="superscript"/>
        </w:rPr>
        <w:t>1</w:t>
      </w:r>
      <w:r>
        <w:rPr>
          <w:rFonts w:cs="Times New Roman"/>
          <w:szCs w:val="24"/>
        </w:rPr>
        <w:fldChar w:fldCharType="end"/>
      </w:r>
      <w:r w:rsidRPr="00CE240B">
        <w:rPr>
          <w:rFonts w:cs="Times New Roman"/>
          <w:noProof/>
          <w:szCs w:val="24"/>
        </w:rPr>
        <w:t>.</w:t>
      </w:r>
      <w:r w:rsidRPr="00CE240B">
        <w:rPr>
          <w:rFonts w:cs="Times New Roman"/>
          <w:szCs w:val="24"/>
        </w:rPr>
        <w:t xml:space="preserve"> However, this is not applicable to this project since we aim to test stool samples</w:t>
      </w:r>
      <w:r>
        <w:rPr>
          <w:rFonts w:cs="Times New Roman"/>
          <w:szCs w:val="24"/>
        </w:rPr>
        <w:t xml:space="preserve"> of 50-100 g. </w:t>
      </w:r>
      <w:r w:rsidRPr="00CE240B">
        <w:rPr>
          <w:rFonts w:eastAsia="Times New Roman" w:cs="Times New Roman"/>
          <w:szCs w:val="24"/>
        </w:rPr>
        <w:t>Feces are thixotropic, meaning that their apparent viscosity decreases under shear stress (i.e., mixing), and the apparent viscosity of feces does not fully recover following shear</w:t>
      </w:r>
      <w:r>
        <w:rPr>
          <w:rFonts w:eastAsia="Times New Roman" w:cs="Times New Roman"/>
          <w:szCs w:val="24"/>
        </w:rPr>
        <w:fldChar w:fldCharType="begin"/>
      </w:r>
      <w:r w:rsidR="001B62D8">
        <w:rPr>
          <w:rFonts w:eastAsia="Times New Roman" w:cs="Times New Roman"/>
          <w:szCs w:val="24"/>
        </w:rPr>
        <w:instrText xml:space="preserve"> ADDIN EN.CITE &lt;EndNote&gt;&lt;Cite&gt;&lt;Author&gt;Woolley&lt;/Author&gt;&lt;Year&gt;2014&lt;/Year&gt;&lt;RecNum&gt;95&lt;/RecNum&gt;&lt;DisplayText&gt;&lt;style face="superscript"&gt;2&lt;/style&gt;&lt;/DisplayText&gt;&lt;record&gt;&lt;rec-number&gt;95&lt;/rec-number&gt;&lt;foreign-keys&gt;&lt;key app="EN" db-id="x0deszvppfwptrew9pgp52rfpa25drz0twpe" timestamp="1582557241"&gt;95&lt;/key&gt;&lt;/foreign-keys&gt;&lt;ref-type name="Journal Article"&gt;17&lt;/ref-type&gt;&lt;contributors&gt;&lt;authors&gt;&lt;author&gt;Woolley, SM&lt;/author&gt;&lt;author&gt;Cottingham, RS&lt;/author&gt;&lt;author&gt;Pocock, J&lt;/author&gt;&lt;author&gt;Buckley, CA&lt;/author&gt;&lt;/authors&gt;&lt;/contributors&gt;&lt;titles&gt;&lt;title&gt;Shear rheological properties of fresh human faeces with different moisture content&lt;/title&gt;&lt;secondary-title&gt;Water sa&lt;/secondary-title&gt;&lt;/titles&gt;&lt;periodical&gt;&lt;full-title&gt;Water sa&lt;/full-title&gt;&lt;/periodical&gt;&lt;pages&gt;273-276&lt;/pages&gt;&lt;volume&gt;40&lt;/volume&gt;&lt;number&gt;2&lt;/number&gt;&lt;dates&gt;&lt;year&gt;2014&lt;/year&gt;&lt;/dates&gt;&lt;isbn&gt;0378-4738&lt;/isbn&gt;&lt;urls&gt;&lt;/urls&gt;&lt;/record&gt;&lt;/Cite&gt;&lt;/EndNote&gt;</w:instrText>
      </w:r>
      <w:r>
        <w:rPr>
          <w:rFonts w:eastAsia="Times New Roman" w:cs="Times New Roman"/>
          <w:szCs w:val="24"/>
        </w:rPr>
        <w:fldChar w:fldCharType="separate"/>
      </w:r>
      <w:r w:rsidR="001B62D8" w:rsidRPr="001B62D8">
        <w:rPr>
          <w:rFonts w:eastAsia="Times New Roman" w:cs="Times New Roman"/>
          <w:noProof/>
          <w:szCs w:val="24"/>
          <w:vertAlign w:val="superscript"/>
        </w:rPr>
        <w:t>2</w:t>
      </w:r>
      <w:r>
        <w:rPr>
          <w:rFonts w:eastAsia="Times New Roman" w:cs="Times New Roman"/>
          <w:szCs w:val="24"/>
        </w:rPr>
        <w:fldChar w:fldCharType="end"/>
      </w:r>
      <w:r>
        <w:rPr>
          <w:rFonts w:eastAsia="Times New Roman" w:cs="Times New Roman"/>
          <w:noProof/>
          <w:szCs w:val="24"/>
        </w:rPr>
        <w:t>.</w:t>
      </w:r>
      <w:r w:rsidRPr="00CE240B">
        <w:rPr>
          <w:rFonts w:eastAsia="Times New Roman" w:cs="Times New Roman"/>
          <w:szCs w:val="24"/>
        </w:rPr>
        <w:t xml:space="preserve"> In fact placing stool (or soybean past surr</w:t>
      </w:r>
      <w:r>
        <w:rPr>
          <w:rFonts w:eastAsia="Times New Roman" w:cs="Times New Roman"/>
          <w:szCs w:val="24"/>
        </w:rPr>
        <w:t>ogate, that is also thixotropic</w:t>
      </w:r>
      <w:r w:rsidRPr="00CE240B">
        <w:rPr>
          <w:rFonts w:eastAsia="Times New Roman" w:cs="Times New Roman"/>
          <w:szCs w:val="24"/>
        </w:rPr>
        <w:fldChar w:fldCharType="begin"/>
      </w:r>
      <w:r w:rsidR="001B62D8">
        <w:rPr>
          <w:rFonts w:eastAsia="Times New Roman" w:cs="Times New Roman"/>
          <w:szCs w:val="24"/>
        </w:rPr>
        <w:instrText xml:space="preserve"> ADDIN EN.CITE &lt;EndNote&gt;&lt;Cite&gt;&lt;Author&gt;Lee&lt;/Author&gt;&lt;Year&gt;1990&lt;/Year&gt;&lt;RecNum&gt;415&lt;/RecNum&gt;&lt;DisplayText&gt;&lt;style face="superscript"&gt;3&lt;/style&gt;&lt;/DisplayText&gt;&lt;record&gt;&lt;rec-number&gt;415&lt;/rec-number&gt;&lt;foreign-keys&gt;&lt;key app="EN" db-id="x0deszvppfwptrew9pgp52rfpa25drz0twpe" timestamp="1635168534"&gt;415&lt;/key&gt;&lt;/foreign-keys&gt;&lt;ref-type name="Journal Article"&gt;17&lt;/ref-type&gt;&lt;contributors&gt;&lt;authors&gt;&lt;author&gt;Lee, Chul-Weon&lt;/author&gt;&lt;author&gt;Hwang, Eung-Soo&lt;/author&gt;&lt;author&gt;Lee, Shin-Young&lt;/author&gt;&lt;author&gt;Pyun, Yu-Ryang&lt;/author&gt;&lt;/authors&gt;&lt;/contributors&gt;&lt;titles&gt;&lt;title&gt;Rheological properties of doen-jang (Korea fermented soybean paste) suspensions&lt;/title&gt;&lt;secondary-title&gt;Korean Journal of Food Science and Technology&lt;/secondary-title&gt;&lt;/titles&gt;&lt;periodical&gt;&lt;full-title&gt;Korean Journal of Food Science and Technology&lt;/full-title&gt;&lt;/periodical&gt;&lt;pages&gt;111-115&lt;/pages&gt;&lt;volume&gt;22&lt;/volume&gt;&lt;number&gt;2&lt;/number&gt;&lt;dates&gt;&lt;year&gt;1990&lt;/year&gt;&lt;/dates&gt;&lt;isbn&gt;0367-6293&lt;/isbn&gt;&lt;urls&gt;&lt;/urls&gt;&lt;/record&gt;&lt;/Cite&gt;&lt;/EndNote&gt;</w:instrText>
      </w:r>
      <w:r w:rsidRPr="00CE240B">
        <w:rPr>
          <w:rFonts w:eastAsia="Times New Roman" w:cs="Times New Roman"/>
          <w:szCs w:val="24"/>
        </w:rPr>
        <w:fldChar w:fldCharType="separate"/>
      </w:r>
      <w:r w:rsidR="001B62D8" w:rsidRPr="001B62D8">
        <w:rPr>
          <w:rFonts w:eastAsia="Times New Roman" w:cs="Times New Roman"/>
          <w:noProof/>
          <w:szCs w:val="24"/>
          <w:vertAlign w:val="superscript"/>
        </w:rPr>
        <w:t>3</w:t>
      </w:r>
      <w:r w:rsidRPr="00CE240B">
        <w:rPr>
          <w:rFonts w:eastAsia="Times New Roman" w:cs="Times New Roman"/>
          <w:szCs w:val="24"/>
        </w:rPr>
        <w:fldChar w:fldCharType="end"/>
      </w:r>
      <w:r w:rsidRPr="00CE240B">
        <w:rPr>
          <w:rFonts w:eastAsia="Times New Roman" w:cs="Times New Roman"/>
          <w:szCs w:val="24"/>
        </w:rPr>
        <w:t xml:space="preserve">) in a low speed blender results in a liquid that can no longer be formed in a cylinder. </w:t>
      </w:r>
      <w:r w:rsidRPr="00CE240B">
        <w:rPr>
          <w:rFonts w:cs="Times New Roman"/>
          <w:szCs w:val="24"/>
        </w:rPr>
        <w:t xml:space="preserve"> Uniform spiking of an entire stool (~100 g) is not trivial. For example, in order to rigorously test the occult blood in stool, stool samples were “spiked” by collecting stools from clinically normal subjects afte</w:t>
      </w:r>
      <w:r>
        <w:rPr>
          <w:rFonts w:cs="Times New Roman"/>
          <w:szCs w:val="24"/>
        </w:rPr>
        <w:t>r ingestion of autologous blood</w:t>
      </w:r>
      <w:r>
        <w:rPr>
          <w:rFonts w:cs="Times New Roman"/>
          <w:szCs w:val="24"/>
        </w:rPr>
        <w:fldChar w:fldCharType="begin"/>
      </w:r>
      <w:r w:rsidR="001B62D8">
        <w:rPr>
          <w:rFonts w:cs="Times New Roman"/>
          <w:szCs w:val="24"/>
        </w:rPr>
        <w:instrText xml:space="preserve"> ADDIN EN.CITE &lt;EndNote&gt;&lt;Cite&gt;&lt;Author&gt;Harewood&lt;/Author&gt;&lt;Year&gt;2002&lt;/Year&gt;&lt;RecNum&gt;426&lt;/RecNum&gt;&lt;DisplayText&gt;&lt;style face="superscript"&gt;4&lt;/style&gt;&lt;/DisplayText&gt;&lt;record&gt;&lt;rec-number&gt;426&lt;/rec-number&gt;&lt;foreign-keys&gt;&lt;key app="EN" db-id="x0deszvppfwptrew9pgp52rfpa25drz0twpe" timestamp="1636750400"&gt;426&lt;/key&gt;&lt;/foreign-keys&gt;&lt;ref-type name="Journal Article"&gt;17&lt;/ref-type&gt;&lt;contributors&gt;&lt;authors&gt;&lt;author&gt;Harewood, G.C.&lt;/author&gt;&lt;author&gt;McConnell, Joseph P&lt;/author&gt;&lt;author&gt;Harrington, J. J.&lt;/author&gt;&lt;author&gt;Mahoney, D. W.&lt;/author&gt;&lt;author&gt;Ahlquist, D.A. &lt;/author&gt;&lt;/authors&gt;&lt;/contributors&gt;&lt;titles&gt;&lt;title&gt;Detection of occult upper gastrointestinal tract bleeding: performance differences in fecal occult blood tests. &lt;/title&gt;&lt;secondary-title&gt;Mayo Clinic Proceedings&lt;/secondary-title&gt;&lt;/titles&gt;&lt;periodical&gt;&lt;full-title&gt;Mayo Clinic Proceedings&lt;/full-title&gt;&lt;/periodical&gt;&lt;pages&gt;23-28&lt;/pages&gt;&lt;volume&gt;77&lt;/volume&gt;&lt;number&gt;1&lt;/number&gt;&lt;dates&gt;&lt;year&gt;2002&lt;/year&gt;&lt;/dates&gt;&lt;urls&gt;&lt;/urls&gt;&lt;electronic-resource-num&gt;https://doi.org/10.4065/77.1.23&lt;/electronic-resource-num&gt;&lt;/record&gt;&lt;/Cite&gt;&lt;/EndNote&gt;</w:instrText>
      </w:r>
      <w:r>
        <w:rPr>
          <w:rFonts w:cs="Times New Roman"/>
          <w:szCs w:val="24"/>
        </w:rPr>
        <w:fldChar w:fldCharType="separate"/>
      </w:r>
      <w:r w:rsidR="001B62D8" w:rsidRPr="001B62D8">
        <w:rPr>
          <w:rFonts w:cs="Times New Roman"/>
          <w:noProof/>
          <w:szCs w:val="24"/>
          <w:vertAlign w:val="superscript"/>
        </w:rPr>
        <w:t>4</w:t>
      </w:r>
      <w:r>
        <w:rPr>
          <w:rFonts w:cs="Times New Roman"/>
          <w:szCs w:val="24"/>
        </w:rPr>
        <w:fldChar w:fldCharType="end"/>
      </w:r>
      <w:r w:rsidRPr="00CE240B">
        <w:rPr>
          <w:rFonts w:cs="Times New Roman"/>
          <w:szCs w:val="24"/>
        </w:rPr>
        <w:t>. We observed that manual folding with a flat spatula for a large number of folds (as many as 50 times) enables uniform spiking of food dye with soybean surrogate (</w:t>
      </w:r>
      <w:proofErr w:type="gramStart"/>
      <w:r w:rsidRPr="00CE240B">
        <w:rPr>
          <w:rFonts w:cs="Times New Roman"/>
          <w:szCs w:val="24"/>
        </w:rPr>
        <w:t xml:space="preserve">500 </w:t>
      </w:r>
      <w:r w:rsidRPr="00CE240B">
        <w:rPr>
          <w:rFonts w:ascii="Symbol" w:hAnsi="Symbol" w:cs="Times New Roman"/>
          <w:szCs w:val="24"/>
        </w:rPr>
        <w:t></w:t>
      </w:r>
      <w:r w:rsidRPr="00CE240B">
        <w:rPr>
          <w:rFonts w:cs="Times New Roman"/>
          <w:szCs w:val="24"/>
        </w:rPr>
        <w:t>l</w:t>
      </w:r>
      <w:proofErr w:type="gramEnd"/>
      <w:r w:rsidRPr="00CE240B">
        <w:rPr>
          <w:rFonts w:cs="Times New Roman"/>
          <w:szCs w:val="24"/>
        </w:rPr>
        <w:t xml:space="preserve"> dye per gram solid) with no streaks per visual observation. Supplementary video S3 illustrates the procedure.  </w:t>
      </w:r>
    </w:p>
    <w:p w14:paraId="3C7268E8" w14:textId="77777777" w:rsidR="001B62D8" w:rsidRDefault="001B62D8" w:rsidP="00942B02">
      <w:pPr>
        <w:spacing w:line="360" w:lineRule="auto"/>
        <w:rPr>
          <w:rFonts w:cs="Times New Roman"/>
          <w:szCs w:val="24"/>
        </w:rPr>
      </w:pPr>
    </w:p>
    <w:p w14:paraId="0C2F5591" w14:textId="77777777" w:rsidR="001B62D8" w:rsidRPr="00CE240B" w:rsidRDefault="001B62D8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References</w:t>
      </w:r>
    </w:p>
    <w:p w14:paraId="0EF24CFB" w14:textId="77777777" w:rsidR="001B62D8" w:rsidRPr="001B62D8" w:rsidRDefault="001B62D8" w:rsidP="001B62D8">
      <w:pPr>
        <w:pStyle w:val="EndNoteBibliography"/>
        <w:spacing w:after="0"/>
        <w:ind w:left="720" w:hanging="720"/>
      </w:pPr>
      <w:r>
        <w:rPr>
          <w:b/>
          <w:szCs w:val="24"/>
        </w:rPr>
        <w:fldChar w:fldCharType="begin"/>
      </w:r>
      <w:r>
        <w:rPr>
          <w:b/>
          <w:szCs w:val="24"/>
        </w:rPr>
        <w:instrText xml:space="preserve"> ADDIN EN.REFLIST </w:instrText>
      </w:r>
      <w:r>
        <w:rPr>
          <w:b/>
          <w:szCs w:val="24"/>
        </w:rPr>
        <w:fldChar w:fldCharType="separate"/>
      </w:r>
      <w:r w:rsidRPr="001B62D8">
        <w:t>1.</w:t>
      </w:r>
      <w:r w:rsidRPr="001B62D8">
        <w:tab/>
        <w:t xml:space="preserve">Barrows, G.H., et al., Immunochemical detection of human blood in feces. </w:t>
      </w:r>
      <w:r w:rsidRPr="001B62D8">
        <w:rPr>
          <w:i/>
        </w:rPr>
        <w:t>American journal of clinical pathology</w:t>
      </w:r>
      <w:r w:rsidRPr="001B62D8">
        <w:t xml:space="preserve"> </w:t>
      </w:r>
      <w:r w:rsidRPr="001B62D8">
        <w:rPr>
          <w:b/>
        </w:rPr>
        <w:t>69</w:t>
      </w:r>
      <w:r w:rsidRPr="001B62D8">
        <w:t xml:space="preserve">(3), 342-346 (1978). </w:t>
      </w:r>
    </w:p>
    <w:p w14:paraId="00800098" w14:textId="77777777" w:rsidR="001B62D8" w:rsidRPr="001B62D8" w:rsidRDefault="001B62D8" w:rsidP="001B62D8">
      <w:pPr>
        <w:pStyle w:val="EndNoteBibliography"/>
        <w:spacing w:after="0"/>
        <w:ind w:left="720" w:hanging="720"/>
      </w:pPr>
      <w:r w:rsidRPr="001B62D8">
        <w:t>2.</w:t>
      </w:r>
      <w:r w:rsidRPr="001B62D8">
        <w:tab/>
        <w:t xml:space="preserve">Woolley, S., R. Cottingham, J. Pocock, and C. Buckley, Shear rheological properties of fresh human faeces with different moisture content. </w:t>
      </w:r>
      <w:r w:rsidRPr="001B62D8">
        <w:rPr>
          <w:i/>
        </w:rPr>
        <w:t>Water sa</w:t>
      </w:r>
      <w:r w:rsidRPr="001B62D8">
        <w:t xml:space="preserve"> </w:t>
      </w:r>
      <w:r w:rsidRPr="001B62D8">
        <w:rPr>
          <w:b/>
        </w:rPr>
        <w:t>40</w:t>
      </w:r>
      <w:r w:rsidRPr="001B62D8">
        <w:t xml:space="preserve">(2), 273-276 (2014). </w:t>
      </w:r>
    </w:p>
    <w:p w14:paraId="49A37EAA" w14:textId="77777777" w:rsidR="001B62D8" w:rsidRPr="001B62D8" w:rsidRDefault="001B62D8" w:rsidP="001B62D8">
      <w:pPr>
        <w:pStyle w:val="EndNoteBibliography"/>
        <w:spacing w:after="0"/>
        <w:ind w:left="720" w:hanging="720"/>
      </w:pPr>
      <w:r w:rsidRPr="001B62D8">
        <w:t>3.</w:t>
      </w:r>
      <w:r w:rsidRPr="001B62D8">
        <w:tab/>
        <w:t xml:space="preserve">Lee, C.-W., E.-S. Hwang, S.-Y. Lee, and Y.-R. Pyun, Rheological properties of doen-jang (Korea fermented soybean paste) suspensions. </w:t>
      </w:r>
      <w:r w:rsidRPr="001B62D8">
        <w:rPr>
          <w:i/>
        </w:rPr>
        <w:t>Korean Journal of Food Science and Technology</w:t>
      </w:r>
      <w:r w:rsidRPr="001B62D8">
        <w:t xml:space="preserve"> </w:t>
      </w:r>
      <w:r w:rsidRPr="001B62D8">
        <w:rPr>
          <w:b/>
        </w:rPr>
        <w:t>22</w:t>
      </w:r>
      <w:r w:rsidRPr="001B62D8">
        <w:t xml:space="preserve">(2), 111-115 (1990). </w:t>
      </w:r>
    </w:p>
    <w:p w14:paraId="203F297C" w14:textId="77777777" w:rsidR="001B62D8" w:rsidRPr="001B62D8" w:rsidRDefault="001B62D8" w:rsidP="001B62D8">
      <w:pPr>
        <w:pStyle w:val="EndNoteBibliography"/>
        <w:ind w:left="720" w:hanging="720"/>
      </w:pPr>
      <w:r w:rsidRPr="001B62D8">
        <w:t>4.</w:t>
      </w:r>
      <w:r w:rsidRPr="001B62D8">
        <w:tab/>
        <w:t xml:space="preserve">Harewood, G.C., et al., Detection of occult upper gastrointestinal tract bleeding: performance differences in fecal occult blood tests. . </w:t>
      </w:r>
      <w:r w:rsidRPr="001B62D8">
        <w:rPr>
          <w:i/>
        </w:rPr>
        <w:t>Mayo Clinic Proceedings</w:t>
      </w:r>
      <w:r w:rsidRPr="001B62D8">
        <w:t xml:space="preserve"> </w:t>
      </w:r>
      <w:r w:rsidRPr="001B62D8">
        <w:rPr>
          <w:b/>
        </w:rPr>
        <w:t>77</w:t>
      </w:r>
      <w:r w:rsidRPr="001B62D8">
        <w:t xml:space="preserve">(1), 23-28 (2002). </w:t>
      </w:r>
    </w:p>
    <w:p w14:paraId="3227444D" w14:textId="77777777" w:rsidR="00942B02" w:rsidRPr="00A17C08" w:rsidRDefault="001B62D8" w:rsidP="001B62D8">
      <w:pPr>
        <w:spacing w:line="360" w:lineRule="auto"/>
        <w:rPr>
          <w:rFonts w:cs="Times New Roman"/>
          <w:noProof/>
          <w:szCs w:val="24"/>
        </w:rPr>
      </w:pPr>
      <w:r>
        <w:rPr>
          <w:rFonts w:cs="Times New Roman"/>
          <w:b/>
          <w:szCs w:val="24"/>
        </w:rPr>
        <w:fldChar w:fldCharType="end"/>
      </w:r>
      <w:r w:rsidR="00942B02">
        <w:rPr>
          <w:rFonts w:cs="Times New Roman"/>
          <w:szCs w:val="24"/>
        </w:rPr>
        <w:br w:type="page"/>
      </w:r>
    </w:p>
    <w:p w14:paraId="2774180A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2BCAF7D9" w14:textId="77777777" w:rsidR="00942B02" w:rsidRDefault="00942B02" w:rsidP="00942B02">
      <w:pPr>
        <w:spacing w:line="360" w:lineRule="auto"/>
        <w:rPr>
          <w:rFonts w:cs="Times New Roman"/>
          <w:szCs w:val="24"/>
        </w:rPr>
      </w:pPr>
      <w:r w:rsidRPr="00CE240B">
        <w:rPr>
          <w:rFonts w:cs="Times New Roman"/>
          <w:b/>
          <w:szCs w:val="24"/>
        </w:rPr>
        <w:t>Figure S</w:t>
      </w:r>
      <w:r>
        <w:rPr>
          <w:rFonts w:cs="Times New Roman"/>
          <w:b/>
          <w:szCs w:val="24"/>
        </w:rPr>
        <w:t>1</w:t>
      </w:r>
      <w:r w:rsidRPr="00CE240B">
        <w:rPr>
          <w:rFonts w:cs="Times New Roman"/>
          <w:b/>
          <w:szCs w:val="24"/>
        </w:rPr>
        <w:t xml:space="preserve">: </w:t>
      </w:r>
      <w:r w:rsidRPr="00CE240B">
        <w:rPr>
          <w:rFonts w:cs="Times New Roman"/>
          <w:szCs w:val="24"/>
        </w:rPr>
        <w:t xml:space="preserve">illustration of occult blood assay steps according to A. Standard Sampling (adapted from </w:t>
      </w:r>
      <w:proofErr w:type="spellStart"/>
      <w:r w:rsidRPr="00CE240B">
        <w:rPr>
          <w:rFonts w:cs="Times New Roman"/>
          <w:szCs w:val="24"/>
        </w:rPr>
        <w:t>Accutest</w:t>
      </w:r>
      <w:proofErr w:type="spellEnd"/>
      <w:r w:rsidRPr="00CE240B">
        <w:rPr>
          <w:rFonts w:cs="Times New Roman"/>
          <w:szCs w:val="24"/>
        </w:rPr>
        <w:t xml:space="preserve"> User instruction) and B. the proposed sampling method. </w:t>
      </w:r>
    </w:p>
    <w:p w14:paraId="24930CDC" w14:textId="77777777" w:rsidR="00942B02" w:rsidRPr="00CE240B" w:rsidRDefault="00942B02" w:rsidP="00942B02">
      <w:pPr>
        <w:spacing w:line="360" w:lineRule="auto"/>
        <w:rPr>
          <w:rFonts w:cs="Times New Roman"/>
          <w:b/>
          <w:noProof/>
          <w:szCs w:val="24"/>
        </w:rPr>
      </w:pPr>
    </w:p>
    <w:p w14:paraId="38612346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1CA3E490" wp14:editId="568428C0">
            <wp:extent cx="5578679" cy="2780916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18" cy="2788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2F59F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7DE58948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69D09C05" w14:textId="77777777" w:rsidR="00942B02" w:rsidRPr="00CE240B" w:rsidRDefault="00942B02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S2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 xml:space="preserve">Occult blood concordance matrix for Pinnacle assay and paired specimens sampled according to the standard method and in the prototype. Positive specimen </w:t>
      </w:r>
      <w:proofErr w:type="gramStart"/>
      <w:r w:rsidRPr="00CE240B">
        <w:rPr>
          <w:rFonts w:cs="Times New Roman"/>
          <w:szCs w:val="24"/>
        </w:rPr>
        <w:t>were spiked</w:t>
      </w:r>
      <w:proofErr w:type="gramEnd"/>
      <w:r w:rsidRPr="00CE240B">
        <w:rPr>
          <w:rFonts w:cs="Times New Roman"/>
          <w:szCs w:val="24"/>
        </w:rPr>
        <w:t xml:space="preserve"> at 10 </w:t>
      </w:r>
      <w:proofErr w:type="spellStart"/>
      <w:r w:rsidRPr="00CE240B">
        <w:rPr>
          <w:rFonts w:cs="Times New Roman"/>
          <w:szCs w:val="24"/>
        </w:rPr>
        <w:t>ngHb</w:t>
      </w:r>
      <w:proofErr w:type="spellEnd"/>
      <w:r w:rsidRPr="00CE240B">
        <w:rPr>
          <w:rFonts w:cs="Times New Roman"/>
          <w:szCs w:val="24"/>
        </w:rPr>
        <w:t xml:space="preserve"> /mg feces. </w:t>
      </w:r>
    </w:p>
    <w:p w14:paraId="02FE63C8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noProof/>
          <w:szCs w:val="24"/>
        </w:rPr>
        <w:drawing>
          <wp:inline distT="0" distB="0" distL="0" distR="0" wp14:anchorId="271C2FAF" wp14:editId="7F5E0F8E">
            <wp:extent cx="3806190" cy="145231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020" cy="1456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9956F" w14:textId="77777777" w:rsidR="00602F56" w:rsidRDefault="00602F56" w:rsidP="00942B02">
      <w:pPr>
        <w:spacing w:line="360" w:lineRule="auto"/>
        <w:rPr>
          <w:rFonts w:cs="Times New Roman"/>
          <w:b/>
          <w:szCs w:val="24"/>
        </w:rPr>
      </w:pPr>
    </w:p>
    <w:p w14:paraId="2B21019B" w14:textId="77777777" w:rsidR="00602F56" w:rsidRDefault="00602F56" w:rsidP="00942B02">
      <w:pPr>
        <w:spacing w:line="360" w:lineRule="auto"/>
        <w:rPr>
          <w:rFonts w:cs="Times New Roman"/>
          <w:b/>
          <w:szCs w:val="24"/>
        </w:rPr>
      </w:pPr>
    </w:p>
    <w:p w14:paraId="4BAA1207" w14:textId="77777777" w:rsidR="00602F56" w:rsidRDefault="00602F56" w:rsidP="00942B02">
      <w:pPr>
        <w:spacing w:line="360" w:lineRule="auto"/>
        <w:rPr>
          <w:rFonts w:cs="Times New Roman"/>
          <w:b/>
          <w:szCs w:val="24"/>
        </w:rPr>
      </w:pPr>
    </w:p>
    <w:p w14:paraId="66B65EE8" w14:textId="77777777" w:rsidR="00602F56" w:rsidRDefault="00602F56" w:rsidP="00942B02">
      <w:pPr>
        <w:spacing w:line="360" w:lineRule="auto"/>
        <w:rPr>
          <w:rFonts w:cs="Times New Roman"/>
          <w:b/>
          <w:szCs w:val="24"/>
        </w:rPr>
      </w:pPr>
    </w:p>
    <w:p w14:paraId="7BA07A4E" w14:textId="77777777" w:rsidR="00602F56" w:rsidRDefault="00602F56" w:rsidP="00942B02">
      <w:pPr>
        <w:spacing w:line="360" w:lineRule="auto"/>
        <w:rPr>
          <w:rFonts w:cs="Times New Roman"/>
          <w:b/>
          <w:szCs w:val="24"/>
        </w:rPr>
      </w:pPr>
    </w:p>
    <w:p w14:paraId="74469BB6" w14:textId="7D63E04A" w:rsidR="00942B02" w:rsidRPr="00CE240B" w:rsidRDefault="00942B02" w:rsidP="00942B02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Figure S3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 xml:space="preserve">Occult blood concordance matrix for </w:t>
      </w:r>
      <w:proofErr w:type="spellStart"/>
      <w:r w:rsidRPr="00CE240B">
        <w:rPr>
          <w:rFonts w:cs="Times New Roman"/>
          <w:szCs w:val="24"/>
        </w:rPr>
        <w:t>Accutest</w:t>
      </w:r>
      <w:proofErr w:type="spellEnd"/>
      <w:r w:rsidRPr="00CE240B">
        <w:rPr>
          <w:rFonts w:cs="Times New Roman"/>
          <w:szCs w:val="24"/>
        </w:rPr>
        <w:t xml:space="preserve"> assay and paired specimens sampled according to the standard method and in the prototype. Positive specimen </w:t>
      </w:r>
      <w:proofErr w:type="gramStart"/>
      <w:r w:rsidRPr="00CE240B">
        <w:rPr>
          <w:rFonts w:cs="Times New Roman"/>
          <w:szCs w:val="24"/>
        </w:rPr>
        <w:t>wer</w:t>
      </w:r>
      <w:r>
        <w:rPr>
          <w:rFonts w:cs="Times New Roman"/>
          <w:szCs w:val="24"/>
        </w:rPr>
        <w:t>e spiked</w:t>
      </w:r>
      <w:proofErr w:type="gramEnd"/>
      <w:r>
        <w:rPr>
          <w:rFonts w:cs="Times New Roman"/>
          <w:szCs w:val="24"/>
        </w:rPr>
        <w:t xml:space="preserve"> at 75 </w:t>
      </w:r>
      <w:proofErr w:type="spellStart"/>
      <w:r>
        <w:rPr>
          <w:rFonts w:cs="Times New Roman"/>
          <w:szCs w:val="24"/>
        </w:rPr>
        <w:t>ngHb</w:t>
      </w:r>
      <w:proofErr w:type="spellEnd"/>
      <w:r>
        <w:rPr>
          <w:rFonts w:cs="Times New Roman"/>
          <w:szCs w:val="24"/>
        </w:rPr>
        <w:t xml:space="preserve"> /mg feces.</w:t>
      </w:r>
    </w:p>
    <w:p w14:paraId="53D08DD4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noProof/>
          <w:szCs w:val="24"/>
        </w:rPr>
        <w:drawing>
          <wp:inline distT="0" distB="0" distL="0" distR="0" wp14:anchorId="5687C99F" wp14:editId="324ECF86">
            <wp:extent cx="3207705" cy="15064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087" cy="1513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DDE067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14F66F7E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213D05DB" w14:textId="2C00D443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3D166685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1F67CC7E" w14:textId="36DBEB67" w:rsidR="00E60F75" w:rsidRDefault="00E60F75">
      <w:pPr>
        <w:rPr>
          <w:rFonts w:cs="Times New Roman"/>
          <w:b/>
          <w:szCs w:val="24"/>
        </w:rPr>
      </w:pPr>
    </w:p>
    <w:p w14:paraId="5F6D2DE1" w14:textId="77777777" w:rsidR="00E60F75" w:rsidRDefault="00E60F75" w:rsidP="00E60F75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Figure S4 </w:t>
      </w:r>
      <w:r w:rsidRPr="00CC2EA9">
        <w:rPr>
          <w:rFonts w:cs="Times New Roman"/>
          <w:szCs w:val="24"/>
        </w:rPr>
        <w:t>Taxonomy distr</w:t>
      </w:r>
      <w:r>
        <w:rPr>
          <w:rFonts w:cs="Times New Roman"/>
          <w:szCs w:val="24"/>
        </w:rPr>
        <w:t xml:space="preserve">ibution by bacterial order for specimens S1, S2, S3 and S4-u. </w:t>
      </w:r>
    </w:p>
    <w:p w14:paraId="7A85E76D" w14:textId="77777777" w:rsidR="00E60F75" w:rsidRDefault="00E60F75" w:rsidP="00E60F75">
      <w:pPr>
        <w:spacing w:line="360" w:lineRule="auto"/>
        <w:rPr>
          <w:rFonts w:cs="Times New Roman"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7E0C46DE" wp14:editId="38079FAB">
            <wp:extent cx="5943600" cy="310848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08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0728FE" w14:textId="77777777" w:rsidR="00E60F75" w:rsidRDefault="00E60F75" w:rsidP="00E60F75">
      <w:pPr>
        <w:spacing w:line="360" w:lineRule="auto"/>
        <w:rPr>
          <w:rFonts w:cs="Times New Roman"/>
          <w:szCs w:val="24"/>
        </w:rPr>
      </w:pPr>
    </w:p>
    <w:p w14:paraId="1DBC61A1" w14:textId="77777777" w:rsidR="00E60F75" w:rsidRDefault="00E60F75" w:rsidP="00E60F75">
      <w:pPr>
        <w:spacing w:line="360" w:lineRule="auto"/>
        <w:rPr>
          <w:rFonts w:cs="Times New Roman"/>
          <w:szCs w:val="24"/>
        </w:rPr>
      </w:pPr>
    </w:p>
    <w:p w14:paraId="48243544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6C1CBEE2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25D3DE63" w14:textId="77777777" w:rsidR="00942B02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4C074039" w14:textId="77777777" w:rsidR="00942B02" w:rsidRPr="00CE240B" w:rsidRDefault="00942B02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szCs w:val="24"/>
        </w:rPr>
      </w:pPr>
    </w:p>
    <w:p w14:paraId="10FE0E33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4F2D9B19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61196502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3EA37295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18118C2A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11EEA413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5E9CF3AB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239B30DA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10B2CD92" w14:textId="77777777" w:rsidR="00E60F75" w:rsidRDefault="00E60F75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</w:p>
    <w:p w14:paraId="4D37B6C1" w14:textId="3146D639" w:rsidR="00942B02" w:rsidRPr="00CE240B" w:rsidRDefault="00942B02" w:rsidP="00942B0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Figure S</w:t>
      </w:r>
      <w:r w:rsidR="00E60F75">
        <w:rPr>
          <w:rFonts w:cs="Times New Roman"/>
          <w:b/>
          <w:szCs w:val="24"/>
        </w:rPr>
        <w:t>5</w:t>
      </w:r>
      <w:r w:rsidRPr="00CE240B">
        <w:rPr>
          <w:rFonts w:cs="Times New Roman"/>
          <w:b/>
          <w:szCs w:val="24"/>
        </w:rPr>
        <w:t xml:space="preserve"> Turbidity sensor calibration. </w:t>
      </w:r>
      <w:r w:rsidRPr="00CE240B">
        <w:rPr>
          <w:rFonts w:cs="Times New Roman"/>
          <w:szCs w:val="24"/>
        </w:rPr>
        <w:t xml:space="preserve">SEN085 analog </w:t>
      </w:r>
      <w:proofErr w:type="gramStart"/>
      <w:r w:rsidRPr="00CE240B">
        <w:rPr>
          <w:rFonts w:cs="Times New Roman"/>
          <w:szCs w:val="24"/>
        </w:rPr>
        <w:t>turbidity sensor output voltage change</w:t>
      </w:r>
      <w:proofErr w:type="gramEnd"/>
      <w:r w:rsidRPr="00CE240B">
        <w:rPr>
          <w:rFonts w:cs="Times New Roman"/>
          <w:szCs w:val="24"/>
        </w:rPr>
        <w:t xml:space="preserve"> and turbidity meter (</w:t>
      </w:r>
      <w:proofErr w:type="spellStart"/>
      <w:r w:rsidRPr="00CE240B">
        <w:rPr>
          <w:rFonts w:cs="Times New Roman"/>
          <w:szCs w:val="24"/>
        </w:rPr>
        <w:t>Hach</w:t>
      </w:r>
      <w:proofErr w:type="spellEnd"/>
      <w:r w:rsidRPr="00CE240B">
        <w:rPr>
          <w:rFonts w:cs="Times New Roman"/>
          <w:szCs w:val="24"/>
        </w:rPr>
        <w:t xml:space="preserve">) 2100Q for solutions of feces surrogate in a range of solid content. The read-out are linear in the range 0-1000 NTU of the turbidity meter as well as up to 30 mg/ml.  </w:t>
      </w:r>
    </w:p>
    <w:p w14:paraId="6D6AE11A" w14:textId="77777777" w:rsidR="00942B02" w:rsidRPr="00CE240B" w:rsidRDefault="00942B02" w:rsidP="00602F56">
      <w:pPr>
        <w:spacing w:line="360" w:lineRule="auto"/>
        <w:jc w:val="center"/>
        <w:rPr>
          <w:rFonts w:cs="Times New Roman"/>
          <w:b/>
          <w:szCs w:val="24"/>
        </w:rPr>
      </w:pPr>
      <w:r w:rsidRPr="00CE240B">
        <w:rPr>
          <w:rFonts w:cs="Times New Roman"/>
          <w:b/>
          <w:noProof/>
          <w:szCs w:val="24"/>
        </w:rPr>
        <w:drawing>
          <wp:inline distT="0" distB="0" distL="0" distR="0" wp14:anchorId="147C1DB3" wp14:editId="788C2395">
            <wp:extent cx="3261360" cy="1793875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84A9E3A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21A4F39C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</w:p>
    <w:p w14:paraId="502267A9" w14:textId="05951211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Figure S</w:t>
      </w:r>
      <w:r w:rsidR="00E60F75">
        <w:rPr>
          <w:rFonts w:cs="Times New Roman"/>
          <w:b/>
          <w:szCs w:val="24"/>
        </w:rPr>
        <w:t>6</w:t>
      </w:r>
      <w:r w:rsidRPr="00CE240B">
        <w:rPr>
          <w:rFonts w:cs="Times New Roman"/>
          <w:b/>
          <w:szCs w:val="24"/>
        </w:rPr>
        <w:t xml:space="preserve"> </w:t>
      </w:r>
      <w:r w:rsidRPr="00CE240B">
        <w:rPr>
          <w:rFonts w:cs="Times New Roman"/>
          <w:szCs w:val="24"/>
        </w:rPr>
        <w:t xml:space="preserve">Pictures of the turbidity sensor SEN085 and its installation in the toilet rear exit. A. analogue turbidity sensor as purchased. B The turbidity probe installed in the rear exit of a toilet. C the turbidity adapter </w:t>
      </w:r>
      <w:proofErr w:type="gramStart"/>
      <w:r w:rsidRPr="00CE240B">
        <w:rPr>
          <w:rFonts w:cs="Times New Roman"/>
          <w:szCs w:val="24"/>
        </w:rPr>
        <w:t>is secured outside the toilet effluent pipe and connected to an Arduino for data recording</w:t>
      </w:r>
      <w:proofErr w:type="gramEnd"/>
      <w:r w:rsidRPr="00CE240B">
        <w:rPr>
          <w:rFonts w:cs="Times New Roman"/>
          <w:szCs w:val="24"/>
        </w:rPr>
        <w:t xml:space="preserve">. </w:t>
      </w:r>
    </w:p>
    <w:p w14:paraId="52EF9CE1" w14:textId="77777777" w:rsidR="00942B02" w:rsidRPr="00CE240B" w:rsidRDefault="00942B02" w:rsidP="00942B02">
      <w:pPr>
        <w:spacing w:line="360" w:lineRule="auto"/>
        <w:rPr>
          <w:rFonts w:cs="Times New Roman"/>
          <w:b/>
          <w:szCs w:val="24"/>
        </w:rPr>
      </w:pPr>
      <w:r w:rsidRPr="00CE240B">
        <w:rPr>
          <w:rFonts w:cs="Times New Roman"/>
          <w:b/>
          <w:noProof/>
          <w:szCs w:val="24"/>
        </w:rPr>
        <w:drawing>
          <wp:inline distT="0" distB="0" distL="0" distR="0" wp14:anchorId="333DF6E0" wp14:editId="6B34D101">
            <wp:extent cx="5179060" cy="1480178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58" cy="1483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623F73" w14:textId="77777777" w:rsidR="001B62D8" w:rsidRDefault="001B62D8" w:rsidP="00942B02">
      <w:pPr>
        <w:spacing w:line="360" w:lineRule="auto"/>
        <w:rPr>
          <w:rFonts w:cs="Times New Roman"/>
          <w:b/>
          <w:szCs w:val="24"/>
        </w:rPr>
      </w:pPr>
    </w:p>
    <w:p w14:paraId="123EAABD" w14:textId="77777777" w:rsidR="00E60F75" w:rsidRDefault="00E60F75" w:rsidP="00942B02">
      <w:pPr>
        <w:spacing w:line="360" w:lineRule="auto"/>
        <w:rPr>
          <w:rFonts w:cs="Times New Roman"/>
          <w:b/>
          <w:szCs w:val="24"/>
        </w:rPr>
      </w:pPr>
    </w:p>
    <w:p w14:paraId="64BE8137" w14:textId="152CD31B" w:rsidR="00CC2EA9" w:rsidRPr="00942B02" w:rsidRDefault="00CC2EA9" w:rsidP="00942B02">
      <w:pPr>
        <w:spacing w:line="360" w:lineRule="auto"/>
        <w:rPr>
          <w:rFonts w:cs="Times New Roman"/>
          <w:b/>
          <w:szCs w:val="24"/>
        </w:rPr>
      </w:pPr>
    </w:p>
    <w:sectPr w:rsidR="00CC2EA9" w:rsidRPr="00942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_NP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deszvppfwptrew9pgp52rfpa25drz0twpe&quot;&gt;smart_toilet_ALL&lt;record-ids&gt;&lt;item&gt;95&lt;/item&gt;&lt;item&gt;374&lt;/item&gt;&lt;item&gt;415&lt;/item&gt;&lt;item&gt;426&lt;/item&gt;&lt;/record-ids&gt;&lt;/item&gt;&lt;/Libraries&gt;"/>
  </w:docVars>
  <w:rsids>
    <w:rsidRoot w:val="00942B02"/>
    <w:rsid w:val="000E7311"/>
    <w:rsid w:val="00155116"/>
    <w:rsid w:val="001B62D8"/>
    <w:rsid w:val="003443A8"/>
    <w:rsid w:val="005C4CD1"/>
    <w:rsid w:val="00602F56"/>
    <w:rsid w:val="007366D9"/>
    <w:rsid w:val="008A7771"/>
    <w:rsid w:val="008D10C4"/>
    <w:rsid w:val="00910CB4"/>
    <w:rsid w:val="00942B02"/>
    <w:rsid w:val="00C03ADE"/>
    <w:rsid w:val="00CB52E0"/>
    <w:rsid w:val="00CC2EA9"/>
    <w:rsid w:val="00E33542"/>
    <w:rsid w:val="00E42854"/>
    <w:rsid w:val="00E6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A4CC"/>
  <w15:chartTrackingRefBased/>
  <w15:docId w15:val="{007C9D27-BE84-473A-9CE7-4A743E96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B02"/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2B0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2B02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customStyle="1" w:styleId="EndNoteBibliographyTitle">
    <w:name w:val="EndNote Bibliography Title"/>
    <w:basedOn w:val="Normal"/>
    <w:link w:val="EndNoteBibliographyTitleChar"/>
    <w:rsid w:val="001B62D8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B62D8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1B62D8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B62D8"/>
    <w:rPr>
      <w:rFonts w:ascii="Times New Roman" w:hAnsi="Times New Roman" w:cs="Times New Roman"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36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6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6D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6D9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6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g440\Documents\Smart%20toilet\PUblication\Turbidity_smart%20toilet_graphs_May202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2419444444444442"/>
          <c:y val="0.17171296296296298"/>
          <c:w val="0.46363418941791157"/>
          <c:h val="0.54496172353455818"/>
        </c:manualLayout>
      </c:layout>
      <c:scatterChart>
        <c:scatterStyle val="lineMarker"/>
        <c:varyColors val="0"/>
        <c:ser>
          <c:idx val="0"/>
          <c:order val="0"/>
          <c:tx>
            <c:v>T semsor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8"/>
            <c:spPr>
              <a:noFill/>
              <a:ln w="15875">
                <a:solidFill>
                  <a:schemeClr val="accent1"/>
                </a:solidFill>
              </a:ln>
              <a:effectLst/>
            </c:spPr>
          </c:marker>
          <c:xVal>
            <c:numRef>
              <c:f>calibration!$C$4:$C$16</c:f>
              <c:numCache>
                <c:formatCode>General</c:formatCode>
                <c:ptCount val="13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7.5</c:v>
                </c:pt>
                <c:pt idx="11">
                  <c:v>15</c:v>
                </c:pt>
                <c:pt idx="12">
                  <c:v>30</c:v>
                </c:pt>
              </c:numCache>
            </c:numRef>
          </c:xVal>
          <c:yVal>
            <c:numRef>
              <c:f>calibration!$F$4:$F$16</c:f>
              <c:numCache>
                <c:formatCode>General</c:formatCode>
                <c:ptCount val="13"/>
                <c:pt idx="0">
                  <c:v>0</c:v>
                </c:pt>
                <c:pt idx="1">
                  <c:v>0.11000000000000032</c:v>
                </c:pt>
                <c:pt idx="2">
                  <c:v>0.20999999999999996</c:v>
                </c:pt>
                <c:pt idx="3">
                  <c:v>0.35000000000000009</c:v>
                </c:pt>
                <c:pt idx="4">
                  <c:v>0.45000000000000018</c:v>
                </c:pt>
                <c:pt idx="5">
                  <c:v>0.5600000000000005</c:v>
                </c:pt>
                <c:pt idx="6">
                  <c:v>0.70000000000000018</c:v>
                </c:pt>
                <c:pt idx="7">
                  <c:v>0.76000000000000023</c:v>
                </c:pt>
                <c:pt idx="8">
                  <c:v>0.8400000000000003</c:v>
                </c:pt>
                <c:pt idx="9">
                  <c:v>0.96000000000000041</c:v>
                </c:pt>
                <c:pt idx="10">
                  <c:v>0.73</c:v>
                </c:pt>
                <c:pt idx="11">
                  <c:v>1.9</c:v>
                </c:pt>
                <c:pt idx="12">
                  <c:v>3.11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564-48A0-96F6-8726C4E490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70715408"/>
        <c:axId val="1370708336"/>
      </c:scatterChart>
      <c:scatterChart>
        <c:scatterStyle val="lineMarker"/>
        <c:varyColors val="0"/>
        <c:ser>
          <c:idx val="1"/>
          <c:order val="1"/>
          <c:tx>
            <c:v>Laboratory meter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calibration!$C$4:$C$16</c:f>
              <c:numCache>
                <c:formatCode>General</c:formatCode>
                <c:ptCount val="13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7.5</c:v>
                </c:pt>
                <c:pt idx="11">
                  <c:v>15</c:v>
                </c:pt>
                <c:pt idx="12">
                  <c:v>30</c:v>
                </c:pt>
              </c:numCache>
            </c:numRef>
          </c:xVal>
          <c:yVal>
            <c:numRef>
              <c:f>calibration!$D$4:$D$16</c:f>
              <c:numCache>
                <c:formatCode>General</c:formatCode>
                <c:ptCount val="13"/>
                <c:pt idx="0">
                  <c:v>0.67999999999999994</c:v>
                </c:pt>
                <c:pt idx="1">
                  <c:v>78.900000000000006</c:v>
                </c:pt>
                <c:pt idx="2">
                  <c:v>159</c:v>
                </c:pt>
                <c:pt idx="3">
                  <c:v>250</c:v>
                </c:pt>
                <c:pt idx="4">
                  <c:v>377</c:v>
                </c:pt>
                <c:pt idx="5">
                  <c:v>458</c:v>
                </c:pt>
                <c:pt idx="6">
                  <c:v>651</c:v>
                </c:pt>
                <c:pt idx="7">
                  <c:v>761</c:v>
                </c:pt>
                <c:pt idx="8">
                  <c:v>905</c:v>
                </c:pt>
                <c:pt idx="9">
                  <c:v>918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564-48A0-96F6-8726C4E490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41839488"/>
        <c:axId val="1441842400"/>
      </c:scatterChart>
      <c:valAx>
        <c:axId val="13707154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Wet</a:t>
                </a:r>
                <a:r>
                  <a:rPr lang="en-US" baseline="0"/>
                  <a:t> s</a:t>
                </a:r>
                <a:r>
                  <a:rPr lang="en-US"/>
                  <a:t>olid content (mg/ml)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370708336"/>
        <c:crosses val="autoZero"/>
        <c:crossBetween val="midCat"/>
        <c:majorUnit val="5"/>
      </c:valAx>
      <c:valAx>
        <c:axId val="137070833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Voltage change (V)</a:t>
                </a:r>
              </a:p>
            </c:rich>
          </c:tx>
          <c:layout>
            <c:manualLayout>
              <c:xMode val="edge"/>
              <c:yMode val="edge"/>
              <c:x val="5.421919557352628E-2"/>
              <c:y val="6.5518500452930103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370715408"/>
        <c:crosses val="autoZero"/>
        <c:crossBetween val="midCat"/>
      </c:valAx>
      <c:valAx>
        <c:axId val="1441842400"/>
        <c:scaling>
          <c:orientation val="minMax"/>
          <c:max val="40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Turbidity (FNU)</a:t>
                </a:r>
              </a:p>
            </c:rich>
          </c:tx>
          <c:layout>
            <c:manualLayout>
              <c:xMode val="edge"/>
              <c:yMode val="edge"/>
              <c:x val="0.86511394019672772"/>
              <c:y val="0.1221556685945230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41839488"/>
        <c:crosses val="max"/>
        <c:crossBetween val="midCat"/>
        <c:majorUnit val="1000"/>
      </c:valAx>
      <c:valAx>
        <c:axId val="144183948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4418424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Grego, Ph.D.</dc:creator>
  <cp:keywords/>
  <dc:description/>
  <cp:lastModifiedBy>Sonia Grego, Ph.D.</cp:lastModifiedBy>
  <cp:revision>3</cp:revision>
  <dcterms:created xsi:type="dcterms:W3CDTF">2022-06-19T20:50:00Z</dcterms:created>
  <dcterms:modified xsi:type="dcterms:W3CDTF">2022-06-19T20:51:00Z</dcterms:modified>
</cp:coreProperties>
</file>