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8D271" w14:textId="17DBAE3D" w:rsidR="00083B20" w:rsidRDefault="00083B20" w:rsidP="00083B20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083B20">
        <w:rPr>
          <w:rFonts w:ascii="Times New Roman" w:hAnsi="Times New Roman" w:cs="Times New Roman"/>
          <w:b/>
          <w:bCs/>
          <w:sz w:val="36"/>
          <w:szCs w:val="36"/>
        </w:rPr>
        <w:t>Supplementary materials</w:t>
      </w:r>
    </w:p>
    <w:p w14:paraId="61B823D0" w14:textId="77777777" w:rsidR="00083B20" w:rsidRPr="00083B20" w:rsidRDefault="00083B20" w:rsidP="00083B20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3B355C43" w14:textId="1840DC96" w:rsidR="00083B20" w:rsidRPr="00432E9B" w:rsidRDefault="00083B20" w:rsidP="00083B20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432E9B">
        <w:rPr>
          <w:rFonts w:ascii="Times New Roman" w:hAnsi="Times New Roman" w:cs="Times New Roman"/>
          <w:b/>
          <w:bCs/>
          <w:sz w:val="22"/>
        </w:rPr>
        <w:t xml:space="preserve">Vaccination against connective tissue growth factor </w:t>
      </w:r>
      <w:r w:rsidR="001D6399" w:rsidRPr="00432E9B">
        <w:rPr>
          <w:rFonts w:ascii="Times New Roman" w:hAnsi="Times New Roman" w:cs="Times New Roman"/>
          <w:b/>
          <w:bCs/>
          <w:sz w:val="22"/>
        </w:rPr>
        <w:t>attenuates the development of renal fibrosis</w:t>
      </w:r>
    </w:p>
    <w:p w14:paraId="21A104E9" w14:textId="526E5E5E" w:rsidR="008C00F1" w:rsidRPr="00083B20" w:rsidRDefault="00083B20" w:rsidP="00083B20">
      <w:pPr>
        <w:spacing w:line="360" w:lineRule="auto"/>
        <w:rPr>
          <w:sz w:val="22"/>
        </w:rPr>
      </w:pPr>
      <w:proofErr w:type="spellStart"/>
      <w:r w:rsidRPr="00083B20">
        <w:rPr>
          <w:rFonts w:ascii="Times New Roman" w:hAnsi="Times New Roman" w:cs="Times New Roman"/>
          <w:sz w:val="22"/>
        </w:rPr>
        <w:t>Takashin</w:t>
      </w:r>
      <w:proofErr w:type="spellEnd"/>
      <w:r w:rsidRPr="00083B20">
        <w:rPr>
          <w:rFonts w:ascii="Times New Roman" w:hAnsi="Times New Roman" w:cs="Times New Roman"/>
          <w:sz w:val="22"/>
        </w:rPr>
        <w:t xml:space="preserve"> Nakayama</w:t>
      </w:r>
      <w:r w:rsidRPr="00C9307A">
        <w:rPr>
          <w:rFonts w:ascii="Times New Roman" w:hAnsi="Times New Roman" w:cs="Times New Roman"/>
          <w:sz w:val="22"/>
          <w:vertAlign w:val="superscript"/>
        </w:rPr>
        <w:t>1,</w:t>
      </w:r>
      <w:r w:rsidRPr="00083B20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083B20">
        <w:rPr>
          <w:rFonts w:ascii="Times New Roman" w:hAnsi="Times New Roman" w:cs="Times New Roman"/>
          <w:sz w:val="22"/>
        </w:rPr>
        <w:t>Tatsuhiko</w:t>
      </w:r>
      <w:proofErr w:type="spellEnd"/>
      <w:r w:rsidRPr="00083B20">
        <w:rPr>
          <w:rFonts w:ascii="Times New Roman" w:hAnsi="Times New Roman" w:cs="Times New Roman"/>
          <w:sz w:val="22"/>
        </w:rPr>
        <w:t xml:space="preserve"> Azegami</w:t>
      </w:r>
      <w:r w:rsidRPr="00C9307A">
        <w:rPr>
          <w:rFonts w:ascii="Times New Roman" w:hAnsi="Times New Roman" w:cs="Times New Roman"/>
          <w:sz w:val="22"/>
          <w:vertAlign w:val="superscript"/>
        </w:rPr>
        <w:t>1,2*</w:t>
      </w:r>
      <w:r w:rsidRPr="00083B20">
        <w:rPr>
          <w:rFonts w:ascii="Times New Roman" w:hAnsi="Times New Roman" w:cs="Times New Roman"/>
          <w:sz w:val="22"/>
        </w:rPr>
        <w:t>, Kaori Hayashi</w:t>
      </w:r>
      <w:r w:rsidRPr="00C9307A">
        <w:rPr>
          <w:rFonts w:ascii="Times New Roman" w:hAnsi="Times New Roman" w:cs="Times New Roman"/>
          <w:sz w:val="22"/>
          <w:vertAlign w:val="superscript"/>
        </w:rPr>
        <w:t>1</w:t>
      </w:r>
      <w:r w:rsidRPr="00083B20">
        <w:rPr>
          <w:rFonts w:ascii="Times New Roman" w:hAnsi="Times New Roman" w:cs="Times New Roman"/>
          <w:sz w:val="22"/>
        </w:rPr>
        <w:t>, Akihito Hishikawa</w:t>
      </w:r>
      <w:r w:rsidRPr="00C9307A">
        <w:rPr>
          <w:rFonts w:ascii="Times New Roman" w:hAnsi="Times New Roman" w:cs="Times New Roman"/>
          <w:sz w:val="22"/>
          <w:vertAlign w:val="superscript"/>
        </w:rPr>
        <w:t>1</w:t>
      </w:r>
      <w:r w:rsidRPr="00083B20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083B20">
        <w:rPr>
          <w:rFonts w:ascii="Times New Roman" w:hAnsi="Times New Roman" w:cs="Times New Roman"/>
          <w:sz w:val="22"/>
        </w:rPr>
        <w:t>Norifumi</w:t>
      </w:r>
      <w:proofErr w:type="spellEnd"/>
      <w:r w:rsidRPr="00083B20">
        <w:rPr>
          <w:rFonts w:ascii="Times New Roman" w:hAnsi="Times New Roman" w:cs="Times New Roman"/>
          <w:sz w:val="22"/>
        </w:rPr>
        <w:t xml:space="preserve"> Yoshimoto</w:t>
      </w:r>
      <w:r w:rsidRPr="00C9307A">
        <w:rPr>
          <w:rFonts w:ascii="Times New Roman" w:hAnsi="Times New Roman" w:cs="Times New Roman"/>
          <w:sz w:val="22"/>
          <w:vertAlign w:val="superscript"/>
        </w:rPr>
        <w:t>1</w:t>
      </w:r>
      <w:r w:rsidRPr="00083B20">
        <w:rPr>
          <w:rFonts w:ascii="Times New Roman" w:hAnsi="Times New Roman" w:cs="Times New Roman"/>
          <w:sz w:val="22"/>
        </w:rPr>
        <w:t>, Ran Nakamichi</w:t>
      </w:r>
      <w:r w:rsidRPr="00C9307A">
        <w:rPr>
          <w:rFonts w:ascii="Times New Roman" w:hAnsi="Times New Roman" w:cs="Times New Roman"/>
          <w:sz w:val="22"/>
          <w:vertAlign w:val="superscript"/>
        </w:rPr>
        <w:t>1</w:t>
      </w:r>
      <w:r w:rsidRPr="00083B20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083B20">
        <w:rPr>
          <w:rFonts w:ascii="Times New Roman" w:hAnsi="Times New Roman" w:cs="Times New Roman"/>
          <w:sz w:val="22"/>
        </w:rPr>
        <w:t>Erina</w:t>
      </w:r>
      <w:proofErr w:type="spellEnd"/>
      <w:r w:rsidRPr="00083B20">
        <w:rPr>
          <w:rFonts w:ascii="Times New Roman" w:hAnsi="Times New Roman" w:cs="Times New Roman"/>
          <w:sz w:val="22"/>
        </w:rPr>
        <w:t xml:space="preserve"> Sugita</w:t>
      </w:r>
      <w:r w:rsidRPr="00C9307A">
        <w:rPr>
          <w:rFonts w:ascii="Times New Roman" w:hAnsi="Times New Roman" w:cs="Times New Roman"/>
          <w:sz w:val="22"/>
          <w:vertAlign w:val="superscript"/>
        </w:rPr>
        <w:t>1</w:t>
      </w:r>
      <w:r w:rsidRPr="00083B20">
        <w:rPr>
          <w:rFonts w:ascii="Times New Roman" w:hAnsi="Times New Roman" w:cs="Times New Roman"/>
          <w:sz w:val="22"/>
        </w:rPr>
        <w:t xml:space="preserve"> &amp; Hiroshi Itoh</w:t>
      </w:r>
      <w:r w:rsidRPr="00C9307A">
        <w:rPr>
          <w:sz w:val="22"/>
          <w:vertAlign w:val="superscript"/>
        </w:rPr>
        <w:t>1</w:t>
      </w:r>
    </w:p>
    <w:p w14:paraId="5417740E" w14:textId="22CC3247" w:rsidR="008C00F1" w:rsidRDefault="008C00F1"/>
    <w:p w14:paraId="0EB18492" w14:textId="4B37800C" w:rsidR="008C00F1" w:rsidRDefault="008C00F1"/>
    <w:p w14:paraId="2B38303E" w14:textId="259F72DF" w:rsidR="008C00F1" w:rsidRDefault="008C00F1"/>
    <w:p w14:paraId="71069F43" w14:textId="2618CDC5" w:rsidR="008C00F1" w:rsidRDefault="008C00F1"/>
    <w:p w14:paraId="209ABEEF" w14:textId="6B9B8B6C" w:rsidR="008C00F1" w:rsidRDefault="008C00F1"/>
    <w:p w14:paraId="49409BB4" w14:textId="4EA230C4" w:rsidR="008C00F1" w:rsidRDefault="008C00F1"/>
    <w:p w14:paraId="3F35AA04" w14:textId="08C83AFE" w:rsidR="008C00F1" w:rsidRPr="00083B20" w:rsidRDefault="008C00F1"/>
    <w:p w14:paraId="048BC618" w14:textId="013B3375" w:rsidR="008C00F1" w:rsidRDefault="008C00F1"/>
    <w:p w14:paraId="5731AD79" w14:textId="27D8EDFA" w:rsidR="008C00F1" w:rsidRDefault="008C00F1"/>
    <w:p w14:paraId="482E47CB" w14:textId="32850486" w:rsidR="008C00F1" w:rsidRDefault="008C00F1"/>
    <w:p w14:paraId="340B50FD" w14:textId="312EB840" w:rsidR="008C00F1" w:rsidRDefault="008C00F1"/>
    <w:p w14:paraId="685F4DE2" w14:textId="2B3BC0C1" w:rsidR="008C00F1" w:rsidRDefault="008C00F1"/>
    <w:p w14:paraId="2E5E63F0" w14:textId="762CAE06" w:rsidR="008C00F1" w:rsidRDefault="008C00F1"/>
    <w:p w14:paraId="2B1D1318" w14:textId="15723D63" w:rsidR="008C00F1" w:rsidRDefault="008C00F1"/>
    <w:p w14:paraId="5AA9C53F" w14:textId="3E00EA43" w:rsidR="008C00F1" w:rsidRDefault="008C00F1"/>
    <w:p w14:paraId="4427E727" w14:textId="49DBA2B4" w:rsidR="008C00F1" w:rsidRDefault="008C00F1"/>
    <w:p w14:paraId="09FD9D93" w14:textId="6192BD22" w:rsidR="008C00F1" w:rsidRDefault="008C00F1"/>
    <w:p w14:paraId="6F821852" w14:textId="37629D91" w:rsidR="008C00F1" w:rsidRPr="008C00F1" w:rsidRDefault="008C00F1" w:rsidP="008C00F1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8C00F1">
        <w:rPr>
          <w:rFonts w:ascii="Times New Roman" w:hAnsi="Times New Roman" w:cs="Times New Roman"/>
          <w:b/>
          <w:bCs/>
          <w:sz w:val="22"/>
        </w:rPr>
        <w:lastRenderedPageBreak/>
        <w:t>Supplementary Fig.</w:t>
      </w:r>
      <w:r w:rsidR="009A5082">
        <w:rPr>
          <w:rFonts w:ascii="Times New Roman" w:hAnsi="Times New Roman" w:cs="Times New Roman"/>
          <w:b/>
          <w:bCs/>
          <w:sz w:val="22"/>
        </w:rPr>
        <w:t xml:space="preserve"> </w:t>
      </w:r>
      <w:r w:rsidRPr="008C00F1">
        <w:rPr>
          <w:rFonts w:ascii="Times New Roman" w:hAnsi="Times New Roman" w:cs="Times New Roman"/>
          <w:b/>
          <w:bCs/>
          <w:sz w:val="22"/>
        </w:rPr>
        <w:t>S1. Effects of CTGF vaccine-elicited IgG antibodies on TGF-β-induced CTGF expression in cultured kidney fibroblasts.</w:t>
      </w:r>
    </w:p>
    <w:p w14:paraId="34ADC3AD" w14:textId="3231F9C7" w:rsidR="008C00F1" w:rsidRPr="008C00F1" w:rsidRDefault="008C00F1" w:rsidP="008C00F1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I</w:t>
      </w:r>
      <w:r w:rsidRPr="008C00F1">
        <w:rPr>
          <w:rFonts w:ascii="Times New Roman" w:hAnsi="Times New Roman" w:cs="Times New Roman"/>
          <w:sz w:val="22"/>
        </w:rPr>
        <w:t>gG antibodies were purified from mice inoculated with the KLH vehicle</w:t>
      </w:r>
      <w:r w:rsidR="009A5082">
        <w:rPr>
          <w:rFonts w:ascii="Times New Roman" w:hAnsi="Times New Roman" w:cs="Times New Roman"/>
          <w:sz w:val="22"/>
        </w:rPr>
        <w:t xml:space="preserve"> or </w:t>
      </w:r>
      <w:r w:rsidR="009A5082" w:rsidRPr="008C00F1">
        <w:rPr>
          <w:rFonts w:ascii="Times New Roman" w:hAnsi="Times New Roman" w:cs="Times New Roman"/>
          <w:sz w:val="22"/>
        </w:rPr>
        <w:t>CTGF vaccine</w:t>
      </w:r>
      <w:r w:rsidRPr="008C00F1">
        <w:rPr>
          <w:rFonts w:ascii="Times New Roman" w:hAnsi="Times New Roman" w:cs="Times New Roman"/>
          <w:sz w:val="22"/>
        </w:rPr>
        <w:t xml:space="preserve">. After pretreatment with the IgG antibodies, NRK-49F kidney fibroblasts were stimulated with TGF-β. The data of relative </w:t>
      </w:r>
      <w:r>
        <w:rPr>
          <w:rFonts w:ascii="Times New Roman" w:hAnsi="Times New Roman" w:cs="Times New Roman"/>
          <w:sz w:val="22"/>
        </w:rPr>
        <w:t>CTGF</w:t>
      </w:r>
      <w:r w:rsidRPr="008C00F1">
        <w:rPr>
          <w:rFonts w:ascii="Times New Roman" w:hAnsi="Times New Roman" w:cs="Times New Roman"/>
          <w:sz w:val="22"/>
        </w:rPr>
        <w:t xml:space="preserve"> expressions normalized to β-actin expression were obtained by using real-time PCR. Error bars show mean ± SEM of three independent experiments</w:t>
      </w:r>
    </w:p>
    <w:p w14:paraId="5C3FB805" w14:textId="2A26B79E" w:rsidR="008C00F1" w:rsidRDefault="008C00F1" w:rsidP="008C00F1">
      <w:pPr>
        <w:spacing w:line="360" w:lineRule="auto"/>
      </w:pPr>
    </w:p>
    <w:p w14:paraId="39801418" w14:textId="407054F6" w:rsidR="008C00F1" w:rsidRDefault="008C00F1">
      <w:r>
        <w:rPr>
          <w:noProof/>
        </w:rPr>
        <w:drawing>
          <wp:inline distT="0" distB="0" distL="0" distR="0" wp14:anchorId="5D564AE6" wp14:editId="45253BB4">
            <wp:extent cx="3376884" cy="3585313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811" cy="36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842C6" w14:textId="77777777" w:rsidR="008C00F1" w:rsidRPr="008C00F1" w:rsidRDefault="008C00F1"/>
    <w:p w14:paraId="5C101300" w14:textId="39B7BF51" w:rsidR="008C00F1" w:rsidRPr="008C00F1" w:rsidRDefault="008C00F1" w:rsidP="00EA35BC">
      <w:pPr>
        <w:spacing w:line="360" w:lineRule="auto"/>
        <w:rPr>
          <w:rFonts w:ascii="Times New Roman" w:hAnsi="Times New Roman" w:cs="Times New Roman"/>
          <w:sz w:val="22"/>
        </w:rPr>
      </w:pPr>
      <w:r w:rsidRPr="008C00F1">
        <w:rPr>
          <w:rFonts w:ascii="Times New Roman" w:hAnsi="Times New Roman" w:cs="Times New Roman"/>
          <w:sz w:val="22"/>
        </w:rPr>
        <w:lastRenderedPageBreak/>
        <w:t>Supplementary Table S1. Primer sequences used for PCR in this study</w:t>
      </w:r>
    </w:p>
    <w:tbl>
      <w:tblPr>
        <w:tblW w:w="146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60"/>
        <w:gridCol w:w="1880"/>
        <w:gridCol w:w="1880"/>
        <w:gridCol w:w="4280"/>
        <w:gridCol w:w="4280"/>
      </w:tblGrid>
      <w:tr w:rsidR="008C00F1" w:rsidRPr="008C00F1" w14:paraId="7791F1F3" w14:textId="77777777" w:rsidTr="008C00F1">
        <w:trPr>
          <w:trHeight w:val="360"/>
        </w:trPr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C21D7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Gene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B2A4C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Accession number 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25C62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Position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EECF9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Forward primer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5F055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Reverse primer</w:t>
            </w:r>
          </w:p>
        </w:tc>
      </w:tr>
      <w:tr w:rsidR="008C00F1" w:rsidRPr="008C00F1" w14:paraId="1882E0B5" w14:textId="77777777" w:rsidTr="008C00F1">
        <w:trPr>
          <w:trHeight w:val="36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BE7E5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collagen 1α (Mouse)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C1655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NM_007742.4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1820F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144–253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768B8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ACATGTTCAGCTTTGTGGACC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92A92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TAGGCCATTGTGTATGCAGC</w:t>
            </w:r>
          </w:p>
        </w:tc>
      </w:tr>
      <w:tr w:rsidR="008C00F1" w:rsidRPr="008C00F1" w14:paraId="67CBA058" w14:textId="77777777" w:rsidTr="008C00F1">
        <w:trPr>
          <w:trHeight w:val="36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34609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α-SMA (Mouse)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2AFA5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NM_007392.3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927D4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346–446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9D685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ACTGGGACGACATGGAAAAG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77260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GTTCAGTGGTGCCTCTGTCA</w:t>
            </w:r>
          </w:p>
        </w:tc>
      </w:tr>
      <w:tr w:rsidR="008C00F1" w:rsidRPr="008C00F1" w14:paraId="595A3310" w14:textId="77777777" w:rsidTr="008C00F1">
        <w:trPr>
          <w:trHeight w:val="36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33726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β-actin (Mouse)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764DB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NM_007393.5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4D3F0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721–909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388BC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TGAGAGGGAAATCGTGCGTGAC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17960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AAGAAGGAAGGCTGGAAAAGAG</w:t>
            </w:r>
          </w:p>
        </w:tc>
      </w:tr>
      <w:tr w:rsidR="008C00F1" w:rsidRPr="008C00F1" w14:paraId="6F21CFFD" w14:textId="77777777" w:rsidTr="008C00F1">
        <w:trPr>
          <w:trHeight w:val="36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5C8D2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α-SMA (Rat)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62296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NM_031004.2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9CFE6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258–351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98AB1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GACCCTGAAGTATCCGATAGAACA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A5D81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CACGCGAAGCTCGTTATAGAAG</w:t>
            </w:r>
          </w:p>
        </w:tc>
      </w:tr>
      <w:tr w:rsidR="008C00F1" w:rsidRPr="008C00F1" w14:paraId="7240F73D" w14:textId="77777777" w:rsidTr="008C00F1">
        <w:trPr>
          <w:trHeight w:val="36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50A9A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CTGF (Rat)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4B327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NM_022266.2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9A6B9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782–851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DF2F3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TGGCCCTGACCCAACTATGA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E5C1F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CTTAGAACAGGCGCTCCACTCT</w:t>
            </w:r>
          </w:p>
        </w:tc>
      </w:tr>
      <w:tr w:rsidR="008C00F1" w:rsidRPr="008C00F1" w14:paraId="52D2B6CE" w14:textId="77777777" w:rsidTr="008C00F1">
        <w:trPr>
          <w:trHeight w:val="360"/>
        </w:trPr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9C12B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β-actin (Rat)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45894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NM_031144.3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D6E3F4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686–835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3FEB4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 xml:space="preserve"> CAGCTGAGAGGGAAATCGTG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F0AEC" w14:textId="77777777" w:rsidR="008C00F1" w:rsidRPr="008C00F1" w:rsidRDefault="008C00F1" w:rsidP="008C00F1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  <w:r w:rsidRPr="008C00F1"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  <w:t>CATTGCCGATAGTGATGACC</w:t>
            </w:r>
          </w:p>
        </w:tc>
      </w:tr>
    </w:tbl>
    <w:p w14:paraId="59335061" w14:textId="77777777" w:rsidR="008C00F1" w:rsidRPr="008C00F1" w:rsidRDefault="008C00F1"/>
    <w:sectPr w:rsidR="008C00F1" w:rsidRPr="008C00F1" w:rsidSect="008C00F1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0F1"/>
    <w:rsid w:val="00083B20"/>
    <w:rsid w:val="001D6399"/>
    <w:rsid w:val="00432E9B"/>
    <w:rsid w:val="008C00F1"/>
    <w:rsid w:val="009A5082"/>
    <w:rsid w:val="00C9307A"/>
    <w:rsid w:val="00CE0577"/>
    <w:rsid w:val="00D07B8D"/>
    <w:rsid w:val="00EA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15EB9E"/>
  <w15:chartTrackingRefBased/>
  <w15:docId w15:val="{B1F63062-6CB8-4BC9-AE92-5E4E478CC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中山 尭振</dc:creator>
  <cp:keywords/>
  <dc:description/>
  <cp:lastModifiedBy>畔上 達彦</cp:lastModifiedBy>
  <cp:revision>4</cp:revision>
  <dcterms:created xsi:type="dcterms:W3CDTF">2022-05-11T05:46:00Z</dcterms:created>
  <dcterms:modified xsi:type="dcterms:W3CDTF">2022-06-17T06:25:00Z</dcterms:modified>
</cp:coreProperties>
</file>