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Supplemental Table S2.</w:t>
      </w:r>
    </w:p>
    <w:tbl>
      <w:tblPr>
        <w:tblStyle w:val="Table1"/>
        <w:tblW w:w="9150.0" w:type="dxa"/>
        <w:jc w:val="left"/>
        <w:tblInd w:w="160.0" w:type="pct"/>
        <w:tbl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5"/>
        <w:gridCol w:w="990"/>
        <w:gridCol w:w="1710"/>
        <w:gridCol w:w="1020"/>
        <w:gridCol w:w="3735"/>
        <w:tblGridChange w:id="0">
          <w:tblGrid>
            <w:gridCol w:w="1695"/>
            <w:gridCol w:w="990"/>
            <w:gridCol w:w="1710"/>
            <w:gridCol w:w="1020"/>
            <w:gridCol w:w="373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MNI coordinate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SDM-Z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Voxels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0,20,34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1.898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0.028856218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Left median cingulate / paracingulate gyri, BA 24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36,-68,-20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1.541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0.061705589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Right fusiform gyrus, BA 19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60,-40,-12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1.556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0.059849858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Right middle temporal gyrus, BA 20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-48,36,6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1.429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0.076552451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Left inferior frontal gyrus, triangular part, BA 45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-8,52,36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1.377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0.084312439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Corpus callosum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48,20,22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1.353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0.088074028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Right inferior frontal gyrus, triangular part, BA 48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300" w:line="240" w:lineRule="auto"/>
              <w:jc w:val="right"/>
              <w:rPr>
                <w:rFonts w:ascii="Times New Roman" w:cs="Times New Roman" w:eastAsia="Times New Roman" w:hAnsi="Times New Roman"/>
                <w:sz w:val="15"/>
                <w:szCs w:val="1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333333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32,-28,18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333333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1.308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333333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0.095488548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333333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1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333333" w:space="0" w:sz="8" w:val="single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1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Right superior longitudinal fasciculus III</w:t>
            </w:r>
          </w:p>
        </w:tc>
      </w:tr>
      <w:tr>
        <w:trPr>
          <w:cantSplit w:val="0"/>
          <w:trHeight w:val="719.970703125" w:hRule="atLeast"/>
          <w:tblHeader w:val="0"/>
        </w:trPr>
        <w:tc>
          <w:tcPr>
            <w:gridSpan w:val="5"/>
            <w:vMerge w:val="restart"/>
            <w:tcBorders>
              <w:top w:color="333333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180" w:line="48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Not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This table reports non-significant clusters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 .1) identified from the seed-based d-mapping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5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160.0" w:type="dxa"/>
              <w:bottom w:w="4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