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05A54" w14:textId="77777777" w:rsidR="00E04DB2" w:rsidRPr="00E04DB2" w:rsidRDefault="00E04DB2" w:rsidP="00E04DB2">
      <w:pPr>
        <w:rPr>
          <w:rFonts w:ascii="Times New Roman" w:hAnsi="Times New Roman" w:cs="Times New Roman"/>
          <w:bCs/>
          <w:sz w:val="28"/>
          <w:szCs w:val="32"/>
        </w:rPr>
      </w:pPr>
      <w:bookmarkStart w:id="0" w:name="_Hlk94726878"/>
      <w:bookmarkStart w:id="1" w:name="_Hlk83892678"/>
      <w:bookmarkEnd w:id="0"/>
      <w:bookmarkEnd w:id="1"/>
      <w:r w:rsidRPr="00E04DB2">
        <w:rPr>
          <w:rFonts w:ascii="Times New Roman" w:hAnsi="Times New Roman" w:cs="Times New Roman"/>
          <w:bCs/>
          <w:sz w:val="28"/>
          <w:szCs w:val="32"/>
        </w:rPr>
        <w:t>Supplementary Information for</w:t>
      </w:r>
    </w:p>
    <w:p w14:paraId="27259C64" w14:textId="692DAFC8" w:rsidR="00D243CE" w:rsidRDefault="00D243CE" w:rsidP="00E04DB2">
      <w:pPr>
        <w:rPr>
          <w:rFonts w:ascii="Times New Roman" w:hAnsi="Times New Roman" w:cs="Times New Roman"/>
          <w:b/>
          <w:bCs/>
          <w:sz w:val="28"/>
          <w:szCs w:val="32"/>
        </w:rPr>
      </w:pPr>
      <w:r w:rsidRPr="00D243CE">
        <w:rPr>
          <w:rFonts w:ascii="Times New Roman" w:hAnsi="Times New Roman" w:cs="Times New Roman"/>
          <w:b/>
          <w:bCs/>
          <w:sz w:val="28"/>
          <w:szCs w:val="32"/>
        </w:rPr>
        <w:t>Aurignacian dynamics in Southeastern Europe based on spatial analysis, sediment geochemistry, raw materials, lithic analysis and use-wear from Românești-</w:t>
      </w:r>
      <w:r w:rsidRPr="00D243CE">
        <w:rPr>
          <w:rFonts w:ascii="Times New Roman" w:hAnsi="Times New Roman" w:cs="Times New Roman"/>
          <w:b/>
          <w:bCs/>
          <w:i/>
          <w:iCs/>
          <w:sz w:val="28"/>
          <w:szCs w:val="32"/>
        </w:rPr>
        <w:t>Dumbrăvița</w:t>
      </w:r>
    </w:p>
    <w:p w14:paraId="22668425" w14:textId="4A90915E" w:rsidR="00E04DB2" w:rsidRPr="00E04DB2" w:rsidRDefault="00E04DB2" w:rsidP="00E04DB2">
      <w:pPr>
        <w:rPr>
          <w:rFonts w:ascii="Times New Roman" w:hAnsi="Times New Roman" w:cs="Times New Roman"/>
          <w:sz w:val="24"/>
          <w:szCs w:val="24"/>
        </w:rPr>
      </w:pPr>
      <w:r w:rsidRPr="00E04DB2">
        <w:rPr>
          <w:rFonts w:ascii="Times New Roman" w:hAnsi="Times New Roman" w:cs="Times New Roman"/>
          <w:sz w:val="24"/>
          <w:szCs w:val="24"/>
        </w:rPr>
        <w:t>Wei Chu</w:t>
      </w:r>
      <w:r w:rsidRPr="00E04DB2">
        <w:rPr>
          <w:rFonts w:ascii="Times New Roman" w:hAnsi="Times New Roman" w:cs="Times New Roman"/>
          <w:sz w:val="24"/>
          <w:szCs w:val="24"/>
          <w:vertAlign w:val="superscript"/>
        </w:rPr>
        <w:t>*</w:t>
      </w:r>
      <w:r w:rsidRPr="00E04DB2">
        <w:rPr>
          <w:rFonts w:ascii="Times New Roman" w:hAnsi="Times New Roman" w:cs="Times New Roman"/>
          <w:sz w:val="24"/>
          <w:szCs w:val="24"/>
        </w:rPr>
        <w:t>, Scott McLin, Luisa Wöstehoff, Alexandru Ciornei,</w:t>
      </w:r>
      <w:r w:rsidRPr="00E04DB2">
        <w:rPr>
          <w:rFonts w:ascii="Times New Roman" w:hAnsi="Times New Roman" w:cs="Times New Roman"/>
          <w:sz w:val="24"/>
          <w:szCs w:val="24"/>
          <w:vertAlign w:val="superscript"/>
        </w:rPr>
        <w:t xml:space="preserve"> </w:t>
      </w:r>
      <w:r w:rsidRPr="00E04DB2">
        <w:rPr>
          <w:rFonts w:ascii="Times New Roman" w:hAnsi="Times New Roman" w:cs="Times New Roman"/>
          <w:sz w:val="24"/>
          <w:szCs w:val="24"/>
        </w:rPr>
        <w:t>Jacopo Gennai,</w:t>
      </w:r>
      <w:r w:rsidRPr="00E04DB2">
        <w:rPr>
          <w:rFonts w:ascii="Times New Roman" w:hAnsi="Times New Roman" w:cs="Times New Roman"/>
          <w:sz w:val="24"/>
          <w:szCs w:val="24"/>
          <w:vertAlign w:val="superscript"/>
        </w:rPr>
        <w:t xml:space="preserve"> </w:t>
      </w:r>
      <w:r w:rsidRPr="00E04DB2">
        <w:rPr>
          <w:rFonts w:ascii="Times New Roman" w:hAnsi="Times New Roman" w:cs="Times New Roman"/>
          <w:sz w:val="24"/>
          <w:szCs w:val="24"/>
        </w:rPr>
        <w:t>João Marreiros,</w:t>
      </w:r>
      <w:r w:rsidRPr="00E04DB2">
        <w:rPr>
          <w:rFonts w:ascii="Times New Roman" w:hAnsi="Times New Roman" w:cs="Times New Roman"/>
          <w:sz w:val="24"/>
          <w:szCs w:val="24"/>
          <w:vertAlign w:val="superscript"/>
        </w:rPr>
        <w:t xml:space="preserve"> </w:t>
      </w:r>
      <w:r w:rsidRPr="00E04DB2">
        <w:rPr>
          <w:rFonts w:ascii="Times New Roman" w:hAnsi="Times New Roman" w:cs="Times New Roman"/>
          <w:sz w:val="24"/>
          <w:szCs w:val="24"/>
        </w:rPr>
        <w:t>Adrian Doboș</w:t>
      </w:r>
    </w:p>
    <w:p w14:paraId="2D7215F3" w14:textId="77777777" w:rsidR="00E04DB2" w:rsidRPr="00DC623A" w:rsidRDefault="00E04DB2" w:rsidP="00E04DB2">
      <w:pPr>
        <w:rPr>
          <w:rFonts w:ascii="Arial" w:hAnsi="Arial" w:cs="Arial"/>
          <w:sz w:val="20"/>
        </w:rPr>
      </w:pPr>
    </w:p>
    <w:p w14:paraId="0CC0D0AA" w14:textId="47EF5349" w:rsidR="00E04DB2" w:rsidRPr="00E04DB2" w:rsidRDefault="00E04DB2" w:rsidP="00E04DB2">
      <w:pPr>
        <w:rPr>
          <w:rFonts w:ascii="Times New Roman" w:hAnsi="Times New Roman" w:cs="Times New Roman"/>
        </w:rPr>
      </w:pPr>
      <w:r w:rsidRPr="00E04DB2">
        <w:rPr>
          <w:rFonts w:ascii="Times New Roman" w:hAnsi="Times New Roman" w:cs="Times New Roman"/>
        </w:rPr>
        <w:t>Corresponding author: Wei Chu, email: w.chu@arch.leidenuniv.nl</w:t>
      </w:r>
    </w:p>
    <w:p w14:paraId="35E9EBFA" w14:textId="2FF28C6A" w:rsidR="00CA1246" w:rsidRPr="007E7E25" w:rsidRDefault="00CA1246" w:rsidP="000676D7">
      <w:pPr>
        <w:spacing w:line="360" w:lineRule="auto"/>
        <w:contextualSpacing/>
        <w:rPr>
          <w:rFonts w:ascii="Times New Roman" w:hAnsi="Times New Roman" w:cs="Times New Roman"/>
          <w:noProof/>
          <w:sz w:val="24"/>
          <w:szCs w:val="24"/>
          <w:lang w:eastAsia="en-GB"/>
        </w:rPr>
      </w:pPr>
      <w:r w:rsidRPr="007E7E25">
        <w:rPr>
          <w:rFonts w:ascii="Times New Roman" w:hAnsi="Times New Roman" w:cs="Times New Roman"/>
          <w:noProof/>
          <w:sz w:val="24"/>
          <w:szCs w:val="24"/>
          <w:lang w:eastAsia="en-GB"/>
        </w:rPr>
        <w:br w:type="page"/>
      </w:r>
    </w:p>
    <w:p w14:paraId="3271ACC8" w14:textId="68F7C00B" w:rsidR="00441FF5" w:rsidRDefault="00EE5B50" w:rsidP="00EC5740">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16B20EA" wp14:editId="78E0F3D9">
            <wp:extent cx="5723890" cy="34677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3890" cy="3467735"/>
                    </a:xfrm>
                    <a:prstGeom prst="rect">
                      <a:avLst/>
                    </a:prstGeom>
                    <a:noFill/>
                    <a:ln>
                      <a:noFill/>
                    </a:ln>
                  </pic:spPr>
                </pic:pic>
              </a:graphicData>
            </a:graphic>
          </wp:inline>
        </w:drawing>
      </w:r>
    </w:p>
    <w:p w14:paraId="7808F61F" w14:textId="7CA61E17" w:rsidR="00F451AC" w:rsidRPr="003B027B" w:rsidRDefault="00E317CC" w:rsidP="00AD01D7">
      <w:pPr>
        <w:spacing w:line="360" w:lineRule="auto"/>
        <w:contextualSpacing/>
        <w:rPr>
          <w:rFonts w:ascii="Times New Roman" w:hAnsi="Times New Roman" w:cs="Times New Roman"/>
          <w:b/>
          <w:bCs/>
          <w:sz w:val="24"/>
          <w:szCs w:val="24"/>
        </w:rPr>
        <w:sectPr w:rsidR="00F451AC" w:rsidRPr="003B027B" w:rsidSect="00441FF5">
          <w:footerReference w:type="default" r:id="rId9"/>
          <w:pgSz w:w="11906" w:h="16838"/>
          <w:pgMar w:top="1440" w:right="1440" w:bottom="1440" w:left="1440" w:header="708" w:footer="708" w:gutter="0"/>
          <w:cols w:space="708"/>
          <w:docGrid w:linePitch="360"/>
        </w:sectPr>
      </w:pPr>
      <w:r w:rsidRPr="007E7E25">
        <w:rPr>
          <w:rFonts w:ascii="Times New Roman" w:hAnsi="Times New Roman" w:cs="Times New Roman"/>
          <w:b/>
          <w:bCs/>
          <w:sz w:val="24"/>
          <w:szCs w:val="24"/>
        </w:rPr>
        <w:t>S</w:t>
      </w:r>
      <w:r>
        <w:rPr>
          <w:rFonts w:ascii="Times New Roman" w:hAnsi="Times New Roman" w:cs="Times New Roman"/>
          <w:b/>
          <w:bCs/>
          <w:sz w:val="24"/>
          <w:szCs w:val="24"/>
        </w:rPr>
        <w:t>upplementary</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Figure</w:t>
      </w:r>
      <w:r w:rsidRPr="007E7E25">
        <w:rPr>
          <w:rFonts w:ascii="Times New Roman" w:hAnsi="Times New Roman" w:cs="Times New Roman"/>
          <w:b/>
          <w:bCs/>
          <w:sz w:val="24"/>
          <w:szCs w:val="24"/>
        </w:rPr>
        <w:t xml:space="preserve"> 1.</w:t>
      </w:r>
      <w:r>
        <w:rPr>
          <w:rFonts w:ascii="Times New Roman" w:hAnsi="Times New Roman" w:cs="Times New Roman"/>
          <w:b/>
          <w:bCs/>
          <w:sz w:val="24"/>
          <w:szCs w:val="24"/>
        </w:rPr>
        <w:tab/>
      </w:r>
      <w:r w:rsidR="00065F56">
        <w:rPr>
          <w:rFonts w:ascii="Times New Roman" w:hAnsi="Times New Roman" w:cs="Times New Roman"/>
          <w:sz w:val="24"/>
          <w:szCs w:val="24"/>
        </w:rPr>
        <w:t>S</w:t>
      </w:r>
      <w:r w:rsidR="009E6799" w:rsidRPr="00065F56">
        <w:rPr>
          <w:rFonts w:ascii="Times New Roman" w:hAnsi="Times New Roman" w:cs="Times New Roman"/>
          <w:sz w:val="24"/>
          <w:szCs w:val="24"/>
        </w:rPr>
        <w:t>ynthetic map of excavations at Românești-</w:t>
      </w:r>
      <w:r w:rsidR="009E6799" w:rsidRPr="007434CD">
        <w:rPr>
          <w:rFonts w:ascii="Times New Roman" w:hAnsi="Times New Roman" w:cs="Times New Roman"/>
          <w:i/>
          <w:iCs/>
          <w:sz w:val="24"/>
          <w:szCs w:val="24"/>
        </w:rPr>
        <w:t>Dumbrăvița</w:t>
      </w:r>
      <w:r w:rsidR="009E6799" w:rsidRPr="00065F56">
        <w:rPr>
          <w:rFonts w:ascii="Times New Roman" w:hAnsi="Times New Roman" w:cs="Times New Roman"/>
          <w:sz w:val="24"/>
          <w:szCs w:val="24"/>
        </w:rPr>
        <w:t xml:space="preserve"> I. Outlines of artifact levels and earlier excavations are reported after Mogoșanu</w:t>
      </w:r>
      <w:r w:rsidR="00A066BE" w:rsidRPr="00A066BE">
        <w:rPr>
          <w:rFonts w:ascii="Times New Roman" w:hAnsi="Times New Roman" w:cs="Times New Roman"/>
          <w:sz w:val="24"/>
          <w:szCs w:val="24"/>
          <w:vertAlign w:val="superscript"/>
        </w:rPr>
        <w:t>1</w:t>
      </w:r>
      <w:r w:rsidR="009E6799" w:rsidRPr="00065F56">
        <w:rPr>
          <w:rFonts w:ascii="Times New Roman" w:hAnsi="Times New Roman" w:cs="Times New Roman"/>
          <w:sz w:val="24"/>
          <w:szCs w:val="24"/>
        </w:rPr>
        <w:t xml:space="preserve"> and the 2016-19 excavations</w:t>
      </w:r>
      <w:r w:rsidR="00065F56">
        <w:rPr>
          <w:rFonts w:ascii="Times New Roman" w:hAnsi="Times New Roman" w:cs="Times New Roman"/>
          <w:sz w:val="24"/>
          <w:szCs w:val="24"/>
        </w:rPr>
        <w:t xml:space="preserve"> </w:t>
      </w:r>
      <w:r w:rsidR="009E6799" w:rsidRPr="00065F56">
        <w:rPr>
          <w:rFonts w:ascii="Times New Roman" w:hAnsi="Times New Roman" w:cs="Times New Roman"/>
          <w:sz w:val="24"/>
          <w:szCs w:val="24"/>
        </w:rPr>
        <w:t>are oriented according to the test-trenches from Sitlivy et al.</w:t>
      </w:r>
      <w:r w:rsidR="00A066BE" w:rsidRPr="00A066BE">
        <w:rPr>
          <w:rFonts w:ascii="Times New Roman" w:hAnsi="Times New Roman" w:cs="Times New Roman"/>
          <w:sz w:val="24"/>
          <w:szCs w:val="24"/>
          <w:vertAlign w:val="superscript"/>
        </w:rPr>
        <w:t>2</w:t>
      </w:r>
      <w:r w:rsidR="009E6799" w:rsidRPr="00A066BE">
        <w:rPr>
          <w:rFonts w:ascii="Times New Roman" w:hAnsi="Times New Roman" w:cs="Times New Roman"/>
          <w:sz w:val="24"/>
          <w:szCs w:val="24"/>
          <w:vertAlign w:val="superscript"/>
        </w:rPr>
        <w:t>,3</w:t>
      </w:r>
      <w:r w:rsidR="009E6799" w:rsidRPr="00065F56">
        <w:rPr>
          <w:rFonts w:ascii="Times New Roman" w:hAnsi="Times New Roman" w:cs="Times New Roman"/>
          <w:sz w:val="24"/>
          <w:szCs w:val="24"/>
        </w:rPr>
        <w:t>.</w:t>
      </w:r>
    </w:p>
    <w:p w14:paraId="4E3D9783" w14:textId="49B1B94E" w:rsidR="00F451AC" w:rsidRPr="007E7E25" w:rsidRDefault="00EE5B50" w:rsidP="00EC5740">
      <w:pPr>
        <w:spacing w:line="360" w:lineRule="auto"/>
        <w:contextualSpacing/>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26F7BAD" wp14:editId="23A9F1E6">
            <wp:extent cx="5723890" cy="28619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3890" cy="2861945"/>
                    </a:xfrm>
                    <a:prstGeom prst="rect">
                      <a:avLst/>
                    </a:prstGeom>
                    <a:noFill/>
                    <a:ln>
                      <a:noFill/>
                    </a:ln>
                  </pic:spPr>
                </pic:pic>
              </a:graphicData>
            </a:graphic>
          </wp:inline>
        </w:drawing>
      </w:r>
      <w:r w:rsidR="00F451AC" w:rsidRPr="007E7E25">
        <w:rPr>
          <w:rFonts w:ascii="Times New Roman" w:hAnsi="Times New Roman" w:cs="Times New Roman"/>
          <w:b/>
          <w:bCs/>
          <w:sz w:val="24"/>
          <w:szCs w:val="24"/>
        </w:rPr>
        <w:t>.</w:t>
      </w:r>
    </w:p>
    <w:p w14:paraId="3302ABA0" w14:textId="4422A890" w:rsidR="00DB6761" w:rsidRDefault="00E317CC" w:rsidP="003B027B">
      <w:pPr>
        <w:autoSpaceDE w:val="0"/>
        <w:autoSpaceDN w:val="0"/>
        <w:adjustRightInd w:val="0"/>
        <w:spacing w:after="0" w:line="360" w:lineRule="auto"/>
        <w:rPr>
          <w:rFonts w:ascii="Times New Roman" w:hAnsi="Times New Roman" w:cs="Times New Roman"/>
          <w:sz w:val="24"/>
          <w:szCs w:val="24"/>
          <w:lang w:bidi="fa-IR"/>
        </w:rPr>
        <w:sectPr w:rsidR="00DB6761" w:rsidSect="00441FF5">
          <w:pgSz w:w="11906" w:h="16838"/>
          <w:pgMar w:top="1440" w:right="1440" w:bottom="1440" w:left="1440" w:header="708" w:footer="708" w:gutter="0"/>
          <w:cols w:space="708"/>
          <w:docGrid w:linePitch="360"/>
        </w:sectPr>
      </w:pPr>
      <w:r w:rsidRPr="007E7E25">
        <w:rPr>
          <w:rFonts w:ascii="Times New Roman" w:hAnsi="Times New Roman" w:cs="Times New Roman"/>
          <w:b/>
          <w:bCs/>
          <w:sz w:val="24"/>
          <w:szCs w:val="24"/>
        </w:rPr>
        <w:t>S</w:t>
      </w:r>
      <w:r>
        <w:rPr>
          <w:rFonts w:ascii="Times New Roman" w:hAnsi="Times New Roman" w:cs="Times New Roman"/>
          <w:b/>
          <w:bCs/>
          <w:sz w:val="24"/>
          <w:szCs w:val="24"/>
        </w:rPr>
        <w:t>upplementary</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Figure</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2</w:t>
      </w:r>
      <w:r>
        <w:rPr>
          <w:rFonts w:ascii="Times New Roman" w:hAnsi="Times New Roman" w:cs="Times New Roman"/>
          <w:b/>
          <w:bCs/>
          <w:sz w:val="24"/>
          <w:szCs w:val="24"/>
        </w:rPr>
        <w:tab/>
      </w:r>
      <w:r w:rsidR="00065F56" w:rsidRPr="00065F56">
        <w:rPr>
          <w:rFonts w:ascii="Times New Roman" w:hAnsi="Times New Roman" w:cs="Times New Roman"/>
          <w:sz w:val="24"/>
          <w:szCs w:val="24"/>
        </w:rPr>
        <w:t>Density plots of relative abundance of lithic types in GH3 using Scott’s rule of thumb for bandwidth selection for the kernel estimation</w:t>
      </w:r>
      <w:r w:rsidR="00065F56" w:rsidRPr="00A066BE">
        <w:rPr>
          <w:rFonts w:ascii="Times New Roman" w:hAnsi="Times New Roman" w:cs="Times New Roman"/>
          <w:sz w:val="24"/>
          <w:szCs w:val="24"/>
          <w:vertAlign w:val="superscript"/>
        </w:rPr>
        <w:t>4</w:t>
      </w:r>
      <w:r w:rsidR="00065F56" w:rsidRPr="00065F56">
        <w:rPr>
          <w:rFonts w:ascii="Times New Roman" w:hAnsi="Times New Roman" w:cs="Times New Roman"/>
          <w:sz w:val="24"/>
          <w:szCs w:val="24"/>
        </w:rPr>
        <w:t>. (</w:t>
      </w:r>
      <w:r w:rsidR="00065F56" w:rsidRPr="007D2614">
        <w:rPr>
          <w:rFonts w:ascii="Times New Roman" w:hAnsi="Times New Roman" w:cs="Times New Roman"/>
          <w:b/>
          <w:bCs/>
          <w:sz w:val="24"/>
          <w:szCs w:val="24"/>
        </w:rPr>
        <w:t>a</w:t>
      </w:r>
      <w:r w:rsidR="00065F56" w:rsidRPr="00065F56">
        <w:rPr>
          <w:rFonts w:ascii="Times New Roman" w:hAnsi="Times New Roman" w:cs="Times New Roman"/>
          <w:sz w:val="24"/>
          <w:szCs w:val="24"/>
        </w:rPr>
        <w:t>) Chi squared test results showing Pearson’s residual; (</w:t>
      </w:r>
      <w:r w:rsidR="00065F56" w:rsidRPr="007D2614">
        <w:rPr>
          <w:rFonts w:ascii="Times New Roman" w:hAnsi="Times New Roman" w:cs="Times New Roman"/>
          <w:b/>
          <w:bCs/>
          <w:sz w:val="24"/>
          <w:szCs w:val="24"/>
        </w:rPr>
        <w:t>b</w:t>
      </w:r>
      <w:r w:rsidR="00065F56" w:rsidRPr="00065F56">
        <w:rPr>
          <w:rFonts w:ascii="Times New Roman" w:hAnsi="Times New Roman" w:cs="Times New Roman"/>
          <w:sz w:val="24"/>
          <w:szCs w:val="24"/>
        </w:rPr>
        <w:t>) relative risk function of lithic artifact types (</w:t>
      </w:r>
      <w:r w:rsidR="00065F56" w:rsidRPr="007D2614">
        <w:rPr>
          <w:rFonts w:ascii="Times New Roman" w:hAnsi="Times New Roman" w:cs="Times New Roman"/>
          <w:b/>
          <w:bCs/>
          <w:sz w:val="24"/>
          <w:szCs w:val="24"/>
        </w:rPr>
        <w:t>c</w:t>
      </w:r>
      <w:r w:rsidR="00065F56" w:rsidRPr="00065F56">
        <w:rPr>
          <w:rFonts w:ascii="Times New Roman" w:hAnsi="Times New Roman" w:cs="Times New Roman"/>
          <w:sz w:val="24"/>
          <w:szCs w:val="24"/>
        </w:rPr>
        <w:t>) relative risk function of blades – bladelets distributions; (</w:t>
      </w:r>
      <w:r w:rsidR="00065F56" w:rsidRPr="007D2614">
        <w:rPr>
          <w:rFonts w:ascii="Times New Roman" w:hAnsi="Times New Roman" w:cs="Times New Roman"/>
          <w:b/>
          <w:bCs/>
          <w:sz w:val="24"/>
          <w:szCs w:val="24"/>
        </w:rPr>
        <w:t>d</w:t>
      </w:r>
      <w:r w:rsidR="00065F56" w:rsidRPr="00065F56">
        <w:rPr>
          <w:rFonts w:ascii="Times New Roman" w:hAnsi="Times New Roman" w:cs="Times New Roman"/>
          <w:sz w:val="24"/>
          <w:szCs w:val="24"/>
        </w:rPr>
        <w:t>) relative risk function of bladelets – cores distributions; (</w:t>
      </w:r>
      <w:r w:rsidR="00065F56" w:rsidRPr="007D2614">
        <w:rPr>
          <w:rFonts w:ascii="Times New Roman" w:hAnsi="Times New Roman" w:cs="Times New Roman"/>
          <w:b/>
          <w:bCs/>
          <w:sz w:val="24"/>
          <w:szCs w:val="24"/>
        </w:rPr>
        <w:t>e</w:t>
      </w:r>
      <w:r w:rsidR="00065F56" w:rsidRPr="00065F56">
        <w:rPr>
          <w:rFonts w:ascii="Times New Roman" w:hAnsi="Times New Roman" w:cs="Times New Roman"/>
          <w:sz w:val="24"/>
          <w:szCs w:val="24"/>
        </w:rPr>
        <w:t>) relative risk function of blades – cores distributions. White lines show contours of significant occurrences of lithic types. Scales are estimated pieces per kernel density surface (p/kds).</w:t>
      </w:r>
    </w:p>
    <w:p w14:paraId="21E477D8" w14:textId="1B8D7C2E" w:rsidR="00DB6761" w:rsidRDefault="00EE5B50" w:rsidP="00EC5740">
      <w:pPr>
        <w:autoSpaceDE w:val="0"/>
        <w:autoSpaceDN w:val="0"/>
        <w:adjustRightInd w:val="0"/>
        <w:spacing w:after="0" w:line="240" w:lineRule="auto"/>
        <w:jc w:val="center"/>
        <w:rPr>
          <w:rFonts w:ascii="Times New Roman" w:hAnsi="Times New Roman" w:cs="Times New Roman"/>
          <w:sz w:val="24"/>
          <w:szCs w:val="24"/>
          <w:lang w:bidi="fa-IR"/>
        </w:rPr>
      </w:pPr>
      <w:r>
        <w:rPr>
          <w:rFonts w:ascii="Times New Roman" w:hAnsi="Times New Roman" w:cs="Times New Roman"/>
          <w:noProof/>
          <w:sz w:val="24"/>
          <w:szCs w:val="24"/>
          <w:lang w:bidi="fa-IR"/>
        </w:rPr>
        <w:lastRenderedPageBreak/>
        <w:drawing>
          <wp:inline distT="0" distB="0" distL="0" distR="0" wp14:anchorId="0643A5D3" wp14:editId="60F469D8">
            <wp:extent cx="5723890" cy="21259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3890" cy="2125980"/>
                    </a:xfrm>
                    <a:prstGeom prst="rect">
                      <a:avLst/>
                    </a:prstGeom>
                    <a:noFill/>
                    <a:ln>
                      <a:noFill/>
                    </a:ln>
                  </pic:spPr>
                </pic:pic>
              </a:graphicData>
            </a:graphic>
          </wp:inline>
        </w:drawing>
      </w:r>
    </w:p>
    <w:p w14:paraId="2A54FAB6" w14:textId="1A727E0F" w:rsidR="00DB6761" w:rsidRPr="00E317CC" w:rsidRDefault="00E317CC" w:rsidP="00E317CC">
      <w:pPr>
        <w:autoSpaceDE w:val="0"/>
        <w:autoSpaceDN w:val="0"/>
        <w:adjustRightInd w:val="0"/>
        <w:spacing w:after="0" w:line="360" w:lineRule="auto"/>
        <w:rPr>
          <w:rFonts w:ascii="Times New Roman" w:hAnsi="Times New Roman" w:cs="Times New Roman"/>
          <w:b/>
          <w:bCs/>
          <w:sz w:val="24"/>
          <w:szCs w:val="24"/>
        </w:rPr>
      </w:pPr>
      <w:r w:rsidRPr="007E7E25">
        <w:rPr>
          <w:rFonts w:ascii="Times New Roman" w:hAnsi="Times New Roman" w:cs="Times New Roman"/>
          <w:b/>
          <w:bCs/>
          <w:sz w:val="24"/>
          <w:szCs w:val="24"/>
        </w:rPr>
        <w:t>S</w:t>
      </w:r>
      <w:r>
        <w:rPr>
          <w:rFonts w:ascii="Times New Roman" w:hAnsi="Times New Roman" w:cs="Times New Roman"/>
          <w:b/>
          <w:bCs/>
          <w:sz w:val="24"/>
          <w:szCs w:val="24"/>
        </w:rPr>
        <w:t>upplementary</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Figure</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3</w:t>
      </w:r>
      <w:r>
        <w:rPr>
          <w:rFonts w:ascii="Times New Roman" w:hAnsi="Times New Roman" w:cs="Times New Roman"/>
          <w:b/>
          <w:bCs/>
          <w:sz w:val="24"/>
          <w:szCs w:val="24"/>
        </w:rPr>
        <w:tab/>
      </w:r>
      <w:r w:rsidR="003B027B" w:rsidRPr="003721B5">
        <w:rPr>
          <w:rFonts w:ascii="Times New Roman" w:eastAsia="Times New Roman" w:hAnsi="Times New Roman" w:cs="Times New Roman"/>
          <w:sz w:val="24"/>
          <w:szCs w:val="24"/>
        </w:rPr>
        <w:t>(</w:t>
      </w:r>
      <w:r w:rsidR="003B027B" w:rsidRPr="007D2614">
        <w:rPr>
          <w:rFonts w:ascii="Times New Roman" w:eastAsia="Times New Roman" w:hAnsi="Times New Roman" w:cs="Times New Roman"/>
          <w:b/>
          <w:bCs/>
          <w:sz w:val="24"/>
          <w:szCs w:val="24"/>
        </w:rPr>
        <w:t>a</w:t>
      </w:r>
      <w:r w:rsidR="003B027B" w:rsidRPr="003721B5">
        <w:rPr>
          <w:rFonts w:ascii="Times New Roman" w:eastAsia="Times New Roman" w:hAnsi="Times New Roman" w:cs="Times New Roman"/>
          <w:sz w:val="24"/>
          <w:szCs w:val="24"/>
        </w:rPr>
        <w:t>) Results from the Ripley’s K function; (</w:t>
      </w:r>
      <w:r w:rsidR="003B027B" w:rsidRPr="007D2614">
        <w:rPr>
          <w:rFonts w:ascii="Times New Roman" w:eastAsia="Times New Roman" w:hAnsi="Times New Roman" w:cs="Times New Roman"/>
          <w:b/>
          <w:bCs/>
          <w:sz w:val="24"/>
          <w:szCs w:val="24"/>
        </w:rPr>
        <w:t>b-d</w:t>
      </w:r>
      <w:r w:rsidR="003B027B" w:rsidRPr="003721B5">
        <w:rPr>
          <w:rFonts w:ascii="Times New Roman" w:eastAsia="Times New Roman" w:hAnsi="Times New Roman" w:cs="Times New Roman"/>
          <w:sz w:val="24"/>
          <w:szCs w:val="24"/>
        </w:rPr>
        <w:t>) results from the nearest neighbor equality function. Black line indicates observed value; red dashed line indicates the theoretical value; the Monte Carlo envelope (gray) indicates within where random distribution can be expected. If the observed value falls above the envelope, the correlation is positive, and artifacts of the same type tend to be closer than to artifacts of the other type. If the observed value falls below the envelope, the correlation is negative, and artifacts of the same type tend to repel each other. There is no correlation between the different artifact types when the observed pattern falls within the envelope</w:t>
      </w:r>
    </w:p>
    <w:p w14:paraId="53952EB2" w14:textId="77777777" w:rsidR="00841AF9" w:rsidRDefault="00841AF9" w:rsidP="00841AF9">
      <w:pPr>
        <w:autoSpaceDE w:val="0"/>
        <w:autoSpaceDN w:val="0"/>
        <w:adjustRightInd w:val="0"/>
        <w:spacing w:after="0" w:line="240" w:lineRule="auto"/>
        <w:rPr>
          <w:rFonts w:ascii="Times New Roman" w:hAnsi="Times New Roman" w:cs="Times New Roman"/>
          <w:sz w:val="24"/>
          <w:szCs w:val="24"/>
          <w:lang w:val="en-US"/>
        </w:rPr>
        <w:sectPr w:rsidR="00841AF9" w:rsidSect="00441FF5">
          <w:pgSz w:w="11906" w:h="16838"/>
          <w:pgMar w:top="1440" w:right="1440" w:bottom="1440" w:left="1440" w:header="708" w:footer="708" w:gutter="0"/>
          <w:cols w:space="708"/>
          <w:docGrid w:linePitch="360"/>
        </w:sectPr>
      </w:pPr>
    </w:p>
    <w:p w14:paraId="73F3788D" w14:textId="71873EE2" w:rsidR="002B1830" w:rsidRDefault="009E6799" w:rsidP="00EC574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570B88D6" wp14:editId="0DEDA95E">
            <wp:extent cx="5723890" cy="78378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3890" cy="7837805"/>
                    </a:xfrm>
                    <a:prstGeom prst="rect">
                      <a:avLst/>
                    </a:prstGeom>
                    <a:noFill/>
                    <a:ln>
                      <a:noFill/>
                    </a:ln>
                  </pic:spPr>
                </pic:pic>
              </a:graphicData>
            </a:graphic>
          </wp:inline>
        </w:drawing>
      </w:r>
    </w:p>
    <w:p w14:paraId="478850EB" w14:textId="7951968C" w:rsidR="00841AF9" w:rsidRPr="00E317CC" w:rsidRDefault="00E317CC" w:rsidP="00EC5740">
      <w:pPr>
        <w:autoSpaceDE w:val="0"/>
        <w:autoSpaceDN w:val="0"/>
        <w:adjustRightInd w:val="0"/>
        <w:spacing w:after="0" w:line="360" w:lineRule="auto"/>
        <w:rPr>
          <w:rFonts w:ascii="Times New Roman" w:hAnsi="Times New Roman" w:cs="Times New Roman"/>
          <w:b/>
          <w:bCs/>
          <w:sz w:val="24"/>
          <w:szCs w:val="24"/>
        </w:rPr>
      </w:pPr>
      <w:r w:rsidRPr="007E7E25">
        <w:rPr>
          <w:rFonts w:ascii="Times New Roman" w:hAnsi="Times New Roman" w:cs="Times New Roman"/>
          <w:b/>
          <w:bCs/>
          <w:sz w:val="24"/>
          <w:szCs w:val="24"/>
        </w:rPr>
        <w:t>S</w:t>
      </w:r>
      <w:r>
        <w:rPr>
          <w:rFonts w:ascii="Times New Roman" w:hAnsi="Times New Roman" w:cs="Times New Roman"/>
          <w:b/>
          <w:bCs/>
          <w:sz w:val="24"/>
          <w:szCs w:val="24"/>
        </w:rPr>
        <w:t>upplementary</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Figure</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4</w:t>
      </w:r>
      <w:r>
        <w:rPr>
          <w:rFonts w:ascii="Times New Roman" w:hAnsi="Times New Roman" w:cs="Times New Roman"/>
          <w:b/>
          <w:bCs/>
          <w:sz w:val="24"/>
          <w:szCs w:val="24"/>
        </w:rPr>
        <w:tab/>
      </w:r>
      <w:r w:rsidR="003B027B" w:rsidRPr="00E317CC">
        <w:rPr>
          <w:rFonts w:ascii="Times New Roman" w:hAnsi="Times New Roman" w:cs="Times New Roman"/>
          <w:sz w:val="24"/>
          <w:szCs w:val="24"/>
        </w:rPr>
        <w:t>Comparisons of (</w:t>
      </w:r>
      <w:r w:rsidR="003B027B" w:rsidRPr="007D2614">
        <w:rPr>
          <w:rFonts w:ascii="Times New Roman" w:hAnsi="Times New Roman" w:cs="Times New Roman"/>
          <w:b/>
          <w:bCs/>
          <w:sz w:val="24"/>
          <w:szCs w:val="24"/>
        </w:rPr>
        <w:t>a</w:t>
      </w:r>
      <w:r w:rsidR="003B027B" w:rsidRPr="00E317CC">
        <w:rPr>
          <w:rFonts w:ascii="Times New Roman" w:hAnsi="Times New Roman" w:cs="Times New Roman"/>
          <w:sz w:val="24"/>
          <w:szCs w:val="24"/>
        </w:rPr>
        <w:t>) knapped lithic artifact counts by raw material from Românești-</w:t>
      </w:r>
      <w:r w:rsidR="003B027B" w:rsidRPr="007434CD">
        <w:rPr>
          <w:rFonts w:ascii="Times New Roman" w:hAnsi="Times New Roman" w:cs="Times New Roman"/>
          <w:i/>
          <w:iCs/>
          <w:sz w:val="24"/>
          <w:szCs w:val="24"/>
        </w:rPr>
        <w:t>Dumbrăviţa</w:t>
      </w:r>
      <w:r w:rsidR="003B027B" w:rsidRPr="00E317CC">
        <w:rPr>
          <w:rFonts w:ascii="Times New Roman" w:hAnsi="Times New Roman" w:cs="Times New Roman"/>
          <w:sz w:val="24"/>
          <w:szCs w:val="24"/>
        </w:rPr>
        <w:t xml:space="preserve"> I, GH1-4 and GH3; (</w:t>
      </w:r>
      <w:r w:rsidR="003B027B" w:rsidRPr="007D2614">
        <w:rPr>
          <w:rFonts w:ascii="Times New Roman" w:hAnsi="Times New Roman" w:cs="Times New Roman"/>
          <w:b/>
          <w:bCs/>
          <w:sz w:val="24"/>
          <w:szCs w:val="24"/>
        </w:rPr>
        <w:t>b</w:t>
      </w:r>
      <w:r w:rsidR="003B027B" w:rsidRPr="00E317CC">
        <w:rPr>
          <w:rFonts w:ascii="Times New Roman" w:hAnsi="Times New Roman" w:cs="Times New Roman"/>
          <w:sz w:val="24"/>
          <w:szCs w:val="24"/>
        </w:rPr>
        <w:t>) lithic artifact counts by raw material from Românești-</w:t>
      </w:r>
      <w:r w:rsidR="003B027B" w:rsidRPr="007434CD">
        <w:rPr>
          <w:rFonts w:ascii="Times New Roman" w:hAnsi="Times New Roman" w:cs="Times New Roman"/>
          <w:i/>
          <w:iCs/>
          <w:sz w:val="24"/>
          <w:szCs w:val="24"/>
        </w:rPr>
        <w:t>Dumbrăviţa</w:t>
      </w:r>
      <w:r w:rsidR="003B027B" w:rsidRPr="00E317CC">
        <w:rPr>
          <w:rFonts w:ascii="Times New Roman" w:hAnsi="Times New Roman" w:cs="Times New Roman"/>
          <w:sz w:val="24"/>
          <w:szCs w:val="24"/>
        </w:rPr>
        <w:t xml:space="preserve"> I, GH3 and GH1-2; (</w:t>
      </w:r>
      <w:r w:rsidR="003B027B" w:rsidRPr="007D2614">
        <w:rPr>
          <w:rFonts w:ascii="Times New Roman" w:hAnsi="Times New Roman" w:cs="Times New Roman"/>
          <w:b/>
          <w:bCs/>
          <w:sz w:val="24"/>
          <w:szCs w:val="24"/>
        </w:rPr>
        <w:t>c</w:t>
      </w:r>
      <w:r w:rsidR="003B027B" w:rsidRPr="00E317CC">
        <w:rPr>
          <w:rFonts w:ascii="Times New Roman" w:hAnsi="Times New Roman" w:cs="Times New Roman"/>
          <w:sz w:val="24"/>
          <w:szCs w:val="24"/>
        </w:rPr>
        <w:t>) lithic counts by MANs from Românești-</w:t>
      </w:r>
      <w:r w:rsidR="003B027B" w:rsidRPr="007434CD">
        <w:rPr>
          <w:rFonts w:ascii="Times New Roman" w:hAnsi="Times New Roman" w:cs="Times New Roman"/>
          <w:i/>
          <w:iCs/>
          <w:sz w:val="24"/>
          <w:szCs w:val="24"/>
        </w:rPr>
        <w:t>Dumbrăviţa</w:t>
      </w:r>
      <w:r w:rsidR="003B027B" w:rsidRPr="00E317CC">
        <w:rPr>
          <w:rFonts w:ascii="Times New Roman" w:hAnsi="Times New Roman" w:cs="Times New Roman"/>
          <w:sz w:val="24"/>
          <w:szCs w:val="24"/>
        </w:rPr>
        <w:t xml:space="preserve"> I, GH3 and GH1-2</w:t>
      </w:r>
      <w:r w:rsidR="003B027B">
        <w:rPr>
          <w:rFonts w:ascii="Times New Roman" w:hAnsi="Times New Roman" w:cs="Times New Roman"/>
          <w:sz w:val="24"/>
          <w:szCs w:val="24"/>
        </w:rPr>
        <w:t>.</w:t>
      </w:r>
    </w:p>
    <w:p w14:paraId="41082EEB" w14:textId="77777777" w:rsidR="00FC6C7E" w:rsidRDefault="00FC6C7E" w:rsidP="002B1830">
      <w:pPr>
        <w:autoSpaceDE w:val="0"/>
        <w:autoSpaceDN w:val="0"/>
        <w:adjustRightInd w:val="0"/>
        <w:spacing w:after="0" w:line="240" w:lineRule="auto"/>
        <w:rPr>
          <w:rFonts w:ascii="Times New Roman" w:hAnsi="Times New Roman" w:cs="Times New Roman"/>
          <w:sz w:val="24"/>
          <w:szCs w:val="24"/>
          <w:lang w:val="en-US"/>
        </w:rPr>
        <w:sectPr w:rsidR="00FC6C7E" w:rsidSect="00441FF5">
          <w:pgSz w:w="11906" w:h="16838"/>
          <w:pgMar w:top="1440" w:right="1440" w:bottom="1440" w:left="1440" w:header="708" w:footer="708" w:gutter="0"/>
          <w:cols w:space="708"/>
          <w:docGrid w:linePitch="360"/>
        </w:sectPr>
      </w:pPr>
    </w:p>
    <w:p w14:paraId="2840971B" w14:textId="57F5C8BC" w:rsidR="00FC6C7E" w:rsidRDefault="009E6799" w:rsidP="00EC574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EC10FEB" wp14:editId="1CD95099">
            <wp:extent cx="5723890" cy="66859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3890" cy="6685915"/>
                    </a:xfrm>
                    <a:prstGeom prst="rect">
                      <a:avLst/>
                    </a:prstGeom>
                    <a:noFill/>
                    <a:ln>
                      <a:noFill/>
                    </a:ln>
                  </pic:spPr>
                </pic:pic>
              </a:graphicData>
            </a:graphic>
          </wp:inline>
        </w:drawing>
      </w:r>
    </w:p>
    <w:p w14:paraId="657BB598" w14:textId="77777777" w:rsidR="00FC6C7E" w:rsidRDefault="00FC6C7E" w:rsidP="00FC6C7E">
      <w:pPr>
        <w:autoSpaceDE w:val="0"/>
        <w:autoSpaceDN w:val="0"/>
        <w:adjustRightInd w:val="0"/>
        <w:spacing w:after="0" w:line="240" w:lineRule="auto"/>
        <w:rPr>
          <w:rFonts w:ascii="Times New Roman" w:hAnsi="Times New Roman" w:cs="Times New Roman"/>
          <w:b/>
          <w:bCs/>
          <w:sz w:val="24"/>
          <w:szCs w:val="24"/>
        </w:rPr>
      </w:pPr>
    </w:p>
    <w:p w14:paraId="72EE74EA" w14:textId="0A9542CC" w:rsidR="00FC6C7E" w:rsidRPr="00EC5740" w:rsidRDefault="00EC5740" w:rsidP="00EC5740">
      <w:pPr>
        <w:autoSpaceDE w:val="0"/>
        <w:autoSpaceDN w:val="0"/>
        <w:adjustRightInd w:val="0"/>
        <w:spacing w:after="0" w:line="360" w:lineRule="auto"/>
        <w:rPr>
          <w:rFonts w:ascii="Times New Roman" w:hAnsi="Times New Roman" w:cs="Times New Roman"/>
          <w:b/>
          <w:bCs/>
          <w:sz w:val="24"/>
          <w:szCs w:val="24"/>
        </w:rPr>
      </w:pPr>
      <w:r w:rsidRPr="007E7E25">
        <w:rPr>
          <w:rFonts w:ascii="Times New Roman" w:hAnsi="Times New Roman" w:cs="Times New Roman"/>
          <w:b/>
          <w:bCs/>
          <w:sz w:val="24"/>
          <w:szCs w:val="24"/>
        </w:rPr>
        <w:t>S</w:t>
      </w:r>
      <w:r>
        <w:rPr>
          <w:rFonts w:ascii="Times New Roman" w:hAnsi="Times New Roman" w:cs="Times New Roman"/>
          <w:b/>
          <w:bCs/>
          <w:sz w:val="24"/>
          <w:szCs w:val="24"/>
        </w:rPr>
        <w:t>upplementary</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Figure</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5</w:t>
      </w:r>
      <w:r>
        <w:rPr>
          <w:rFonts w:ascii="Times New Roman" w:hAnsi="Times New Roman" w:cs="Times New Roman"/>
          <w:b/>
          <w:bCs/>
          <w:sz w:val="24"/>
          <w:szCs w:val="24"/>
        </w:rPr>
        <w:tab/>
      </w:r>
      <w:r w:rsidR="003B027B">
        <w:rPr>
          <w:rFonts w:ascii="Times New Roman" w:hAnsi="Times New Roman" w:cs="Times New Roman"/>
          <w:sz w:val="24"/>
          <w:szCs w:val="24"/>
          <w:lang w:val="en-US"/>
        </w:rPr>
        <w:t>Counts of MANs by raw materials from Românești-</w:t>
      </w:r>
      <w:r w:rsidR="003B027B">
        <w:rPr>
          <w:rFonts w:ascii="Times New Roman,Italic" w:hAnsi="Times New Roman,Italic" w:cs="Times New Roman,Italic"/>
          <w:i/>
          <w:iCs/>
          <w:sz w:val="24"/>
          <w:szCs w:val="24"/>
          <w:lang w:val="en-US"/>
        </w:rPr>
        <w:t xml:space="preserve">Dumbrăviţa </w:t>
      </w:r>
      <w:r w:rsidR="003B027B">
        <w:rPr>
          <w:rFonts w:ascii="Times New Roman" w:hAnsi="Times New Roman" w:cs="Times New Roman"/>
          <w:sz w:val="24"/>
          <w:szCs w:val="24"/>
          <w:lang w:val="en-US"/>
        </w:rPr>
        <w:t>I, GH3 and GH1-2.</w:t>
      </w:r>
    </w:p>
    <w:p w14:paraId="40B8915D" w14:textId="77777777" w:rsidR="00946E9E" w:rsidRDefault="00946E9E" w:rsidP="00946E9E">
      <w:pPr>
        <w:autoSpaceDE w:val="0"/>
        <w:autoSpaceDN w:val="0"/>
        <w:adjustRightInd w:val="0"/>
        <w:spacing w:after="0" w:line="240" w:lineRule="auto"/>
        <w:rPr>
          <w:rFonts w:ascii="Times New Roman,Italic" w:hAnsi="Times New Roman,Italic" w:cs="Times New Roman,Italic"/>
          <w:i/>
          <w:iCs/>
          <w:sz w:val="24"/>
          <w:szCs w:val="24"/>
          <w:lang w:val="en-US"/>
        </w:rPr>
        <w:sectPr w:rsidR="00946E9E" w:rsidSect="00441FF5">
          <w:pgSz w:w="11906" w:h="16838"/>
          <w:pgMar w:top="1440" w:right="1440" w:bottom="1440" w:left="1440" w:header="708" w:footer="708" w:gutter="0"/>
          <w:cols w:space="708"/>
          <w:docGrid w:linePitch="360"/>
        </w:sectPr>
      </w:pPr>
    </w:p>
    <w:p w14:paraId="53A6CBD9" w14:textId="644F7D27" w:rsidR="00946E9E" w:rsidRDefault="007B64CB" w:rsidP="00EC574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1CE9CDA" wp14:editId="7F25B2F6">
            <wp:extent cx="5725160" cy="3061335"/>
            <wp:effectExtent l="0" t="0" r="889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5160" cy="3061335"/>
                    </a:xfrm>
                    <a:prstGeom prst="rect">
                      <a:avLst/>
                    </a:prstGeom>
                    <a:noFill/>
                    <a:ln>
                      <a:noFill/>
                    </a:ln>
                  </pic:spPr>
                </pic:pic>
              </a:graphicData>
            </a:graphic>
          </wp:inline>
        </w:drawing>
      </w:r>
    </w:p>
    <w:p w14:paraId="2EACE30C" w14:textId="379089D0" w:rsidR="00AA59A4" w:rsidRDefault="00EC5740" w:rsidP="00EC5740">
      <w:pPr>
        <w:autoSpaceDE w:val="0"/>
        <w:autoSpaceDN w:val="0"/>
        <w:adjustRightInd w:val="0"/>
        <w:spacing w:after="0" w:line="360" w:lineRule="auto"/>
        <w:rPr>
          <w:rFonts w:ascii="Times New Roman" w:hAnsi="Times New Roman" w:cs="Times New Roman"/>
          <w:sz w:val="24"/>
          <w:szCs w:val="24"/>
          <w:lang w:val="en-US"/>
        </w:rPr>
        <w:sectPr w:rsidR="00AA59A4" w:rsidSect="00441FF5">
          <w:pgSz w:w="11906" w:h="16838"/>
          <w:pgMar w:top="1440" w:right="1440" w:bottom="1440" w:left="1440" w:header="708" w:footer="708" w:gutter="0"/>
          <w:cols w:space="708"/>
          <w:docGrid w:linePitch="360"/>
        </w:sectPr>
      </w:pPr>
      <w:r w:rsidRPr="007E7E25">
        <w:rPr>
          <w:rFonts w:ascii="Times New Roman" w:hAnsi="Times New Roman" w:cs="Times New Roman"/>
          <w:b/>
          <w:bCs/>
          <w:sz w:val="24"/>
          <w:szCs w:val="24"/>
        </w:rPr>
        <w:t>S</w:t>
      </w:r>
      <w:r>
        <w:rPr>
          <w:rFonts w:ascii="Times New Roman" w:hAnsi="Times New Roman" w:cs="Times New Roman"/>
          <w:b/>
          <w:bCs/>
          <w:sz w:val="24"/>
          <w:szCs w:val="24"/>
        </w:rPr>
        <w:t>upplementary</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Figure</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6</w:t>
      </w:r>
      <w:r>
        <w:rPr>
          <w:rFonts w:ascii="Times New Roman" w:hAnsi="Times New Roman" w:cs="Times New Roman"/>
          <w:b/>
          <w:bCs/>
          <w:sz w:val="24"/>
          <w:szCs w:val="24"/>
        </w:rPr>
        <w:tab/>
      </w:r>
      <w:r w:rsidR="00065F56" w:rsidRPr="00065F56">
        <w:rPr>
          <w:rFonts w:ascii="Times New Roman" w:hAnsi="Times New Roman" w:cs="Times New Roman"/>
          <w:sz w:val="24"/>
          <w:szCs w:val="24"/>
        </w:rPr>
        <w:t>Blank dimensions from Românești-</w:t>
      </w:r>
      <w:r w:rsidR="00065F56" w:rsidRPr="007434CD">
        <w:rPr>
          <w:rFonts w:ascii="Times New Roman" w:hAnsi="Times New Roman" w:cs="Times New Roman"/>
          <w:i/>
          <w:iCs/>
          <w:sz w:val="24"/>
          <w:szCs w:val="24"/>
        </w:rPr>
        <w:t>Dumbrăviţa</w:t>
      </w:r>
      <w:r w:rsidR="00065F56" w:rsidRPr="00065F56">
        <w:rPr>
          <w:rFonts w:ascii="Times New Roman" w:hAnsi="Times New Roman" w:cs="Times New Roman"/>
          <w:sz w:val="24"/>
          <w:szCs w:val="24"/>
        </w:rPr>
        <w:t xml:space="preserve"> I, GH3. (</w:t>
      </w:r>
      <w:r w:rsidR="00065F56" w:rsidRPr="007D2614">
        <w:rPr>
          <w:rFonts w:ascii="Times New Roman" w:hAnsi="Times New Roman" w:cs="Times New Roman"/>
          <w:b/>
          <w:bCs/>
          <w:sz w:val="24"/>
          <w:szCs w:val="24"/>
        </w:rPr>
        <w:t>a</w:t>
      </w:r>
      <w:r w:rsidR="00065F56" w:rsidRPr="00065F56">
        <w:rPr>
          <w:rFonts w:ascii="Times New Roman" w:hAnsi="Times New Roman" w:cs="Times New Roman"/>
          <w:sz w:val="24"/>
          <w:szCs w:val="24"/>
        </w:rPr>
        <w:t>) Length was determined with complete blanks only while (</w:t>
      </w:r>
      <w:r w:rsidR="00065F56" w:rsidRPr="007D2614">
        <w:rPr>
          <w:rFonts w:ascii="Times New Roman" w:hAnsi="Times New Roman" w:cs="Times New Roman"/>
          <w:b/>
          <w:bCs/>
          <w:sz w:val="24"/>
          <w:szCs w:val="24"/>
        </w:rPr>
        <w:t>b</w:t>
      </w:r>
      <w:r w:rsidR="00065F56" w:rsidRPr="00065F56">
        <w:rPr>
          <w:rFonts w:ascii="Times New Roman" w:hAnsi="Times New Roman" w:cs="Times New Roman"/>
          <w:sz w:val="24"/>
          <w:szCs w:val="24"/>
        </w:rPr>
        <w:t>) width and (</w:t>
      </w:r>
      <w:r w:rsidR="00065F56" w:rsidRPr="007D2614">
        <w:rPr>
          <w:rFonts w:ascii="Times New Roman" w:hAnsi="Times New Roman" w:cs="Times New Roman"/>
          <w:b/>
          <w:bCs/>
          <w:sz w:val="24"/>
          <w:szCs w:val="24"/>
        </w:rPr>
        <w:t>c</w:t>
      </w:r>
      <w:r w:rsidR="00065F56" w:rsidRPr="00065F56">
        <w:rPr>
          <w:rFonts w:ascii="Times New Roman" w:hAnsi="Times New Roman" w:cs="Times New Roman"/>
          <w:sz w:val="24"/>
          <w:szCs w:val="24"/>
        </w:rPr>
        <w:t>) thickness were determined with complete and semi-complete blanks. Dashed line represents the 12 mm threshold between blades and bladelets.</w:t>
      </w:r>
    </w:p>
    <w:p w14:paraId="4370E1E2" w14:textId="690F1895" w:rsidR="00AA59A4" w:rsidRDefault="007B64CB" w:rsidP="00EC574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49957CC" wp14:editId="48C32840">
            <wp:extent cx="5689941" cy="24411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98827" cy="2444918"/>
                    </a:xfrm>
                    <a:prstGeom prst="rect">
                      <a:avLst/>
                    </a:prstGeom>
                    <a:noFill/>
                    <a:ln>
                      <a:noFill/>
                    </a:ln>
                  </pic:spPr>
                </pic:pic>
              </a:graphicData>
            </a:graphic>
          </wp:inline>
        </w:drawing>
      </w:r>
    </w:p>
    <w:p w14:paraId="0F8597A0" w14:textId="04837986" w:rsidR="00E04DB2" w:rsidRPr="003B027B" w:rsidRDefault="00EC5740" w:rsidP="003B027B">
      <w:pPr>
        <w:autoSpaceDE w:val="0"/>
        <w:autoSpaceDN w:val="0"/>
        <w:adjustRightInd w:val="0"/>
        <w:spacing w:after="0" w:line="360" w:lineRule="auto"/>
        <w:rPr>
          <w:rFonts w:ascii="Times New Roman" w:hAnsi="Times New Roman" w:cs="Times New Roman"/>
          <w:b/>
          <w:bCs/>
          <w:sz w:val="24"/>
          <w:szCs w:val="24"/>
        </w:rPr>
        <w:sectPr w:rsidR="00E04DB2" w:rsidRPr="003B027B" w:rsidSect="00441FF5">
          <w:pgSz w:w="11906" w:h="16838"/>
          <w:pgMar w:top="1440" w:right="1440" w:bottom="1440" w:left="1440" w:header="708" w:footer="708" w:gutter="0"/>
          <w:cols w:space="708"/>
          <w:docGrid w:linePitch="360"/>
        </w:sectPr>
      </w:pPr>
      <w:r w:rsidRPr="007E7E25">
        <w:rPr>
          <w:rFonts w:ascii="Times New Roman" w:hAnsi="Times New Roman" w:cs="Times New Roman"/>
          <w:b/>
          <w:bCs/>
          <w:sz w:val="24"/>
          <w:szCs w:val="24"/>
        </w:rPr>
        <w:t>S</w:t>
      </w:r>
      <w:r>
        <w:rPr>
          <w:rFonts w:ascii="Times New Roman" w:hAnsi="Times New Roman" w:cs="Times New Roman"/>
          <w:b/>
          <w:bCs/>
          <w:sz w:val="24"/>
          <w:szCs w:val="24"/>
        </w:rPr>
        <w:t>upplementary</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Figure</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7</w:t>
      </w:r>
      <w:r>
        <w:rPr>
          <w:rFonts w:ascii="Times New Roman" w:hAnsi="Times New Roman" w:cs="Times New Roman"/>
          <w:b/>
          <w:bCs/>
          <w:sz w:val="24"/>
          <w:szCs w:val="24"/>
        </w:rPr>
        <w:tab/>
      </w:r>
      <w:r w:rsidR="00065F56" w:rsidRPr="00065F56">
        <w:rPr>
          <w:rFonts w:ascii="Times New Roman" w:hAnsi="Times New Roman" w:cs="Times New Roman"/>
          <w:sz w:val="24"/>
          <w:szCs w:val="24"/>
        </w:rPr>
        <w:t>Column chart of the types of use-wear traces found on lithic artifacts from Românești-</w:t>
      </w:r>
      <w:r w:rsidR="00065F56" w:rsidRPr="007434CD">
        <w:rPr>
          <w:rFonts w:ascii="Times New Roman" w:hAnsi="Times New Roman" w:cs="Times New Roman"/>
          <w:i/>
          <w:iCs/>
          <w:sz w:val="24"/>
          <w:szCs w:val="24"/>
        </w:rPr>
        <w:t>Dumbrăviţa</w:t>
      </w:r>
      <w:r w:rsidR="00065F56" w:rsidRPr="00065F56">
        <w:rPr>
          <w:rFonts w:ascii="Times New Roman" w:hAnsi="Times New Roman" w:cs="Times New Roman"/>
          <w:sz w:val="24"/>
          <w:szCs w:val="24"/>
        </w:rPr>
        <w:t xml:space="preserve"> I (N=43).</w:t>
      </w:r>
    </w:p>
    <w:p w14:paraId="17FE5736" w14:textId="26432A60" w:rsidR="00EE5B50" w:rsidRDefault="009E6799" w:rsidP="00EE5B50">
      <w:pPr>
        <w:spacing w:line="360" w:lineRule="auto"/>
        <w:contextualSpacing/>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820E4EF" wp14:editId="34A12CDF">
            <wp:extent cx="5723890" cy="606806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3890" cy="6068060"/>
                    </a:xfrm>
                    <a:prstGeom prst="rect">
                      <a:avLst/>
                    </a:prstGeom>
                    <a:noFill/>
                    <a:ln>
                      <a:noFill/>
                    </a:ln>
                  </pic:spPr>
                </pic:pic>
              </a:graphicData>
            </a:graphic>
          </wp:inline>
        </w:drawing>
      </w:r>
    </w:p>
    <w:p w14:paraId="4C0BF7C7" w14:textId="228A8414" w:rsidR="00EE5B50" w:rsidRPr="00EE5B50" w:rsidRDefault="00EE5B50" w:rsidP="00EE5B50">
      <w:pPr>
        <w:spacing w:line="360" w:lineRule="auto"/>
        <w:contextualSpacing/>
        <w:rPr>
          <w:rFonts w:ascii="Times New Roman" w:eastAsia="Times New Roman" w:hAnsi="Times New Roman" w:cs="Times New Roman"/>
          <w:sz w:val="24"/>
          <w:szCs w:val="24"/>
        </w:rPr>
        <w:sectPr w:rsidR="00EE5B50" w:rsidRPr="00EE5B50" w:rsidSect="00441FF5">
          <w:pgSz w:w="11906" w:h="16838"/>
          <w:pgMar w:top="1440" w:right="1440" w:bottom="1440" w:left="1440" w:header="708" w:footer="708" w:gutter="0"/>
          <w:cols w:space="708"/>
          <w:docGrid w:linePitch="360"/>
        </w:sectPr>
      </w:pPr>
      <w:r w:rsidRPr="007E7E25">
        <w:rPr>
          <w:rFonts w:ascii="Times New Roman" w:hAnsi="Times New Roman" w:cs="Times New Roman"/>
          <w:b/>
          <w:bCs/>
          <w:sz w:val="24"/>
          <w:szCs w:val="24"/>
        </w:rPr>
        <w:t>S</w:t>
      </w:r>
      <w:r>
        <w:rPr>
          <w:rFonts w:ascii="Times New Roman" w:hAnsi="Times New Roman" w:cs="Times New Roman"/>
          <w:b/>
          <w:bCs/>
          <w:sz w:val="24"/>
          <w:szCs w:val="24"/>
        </w:rPr>
        <w:t>upplementary</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Figure</w:t>
      </w:r>
      <w:r w:rsidRPr="007E7E25">
        <w:rPr>
          <w:rFonts w:ascii="Times New Roman" w:hAnsi="Times New Roman" w:cs="Times New Roman"/>
          <w:b/>
          <w:bCs/>
          <w:sz w:val="24"/>
          <w:szCs w:val="24"/>
        </w:rPr>
        <w:t xml:space="preserve"> </w:t>
      </w:r>
      <w:r>
        <w:rPr>
          <w:rFonts w:ascii="Times New Roman" w:hAnsi="Times New Roman" w:cs="Times New Roman"/>
          <w:b/>
          <w:bCs/>
          <w:sz w:val="24"/>
          <w:szCs w:val="24"/>
        </w:rPr>
        <w:t>8</w:t>
      </w:r>
      <w:r w:rsidRPr="007E7E25">
        <w:rPr>
          <w:rFonts w:ascii="Times New Roman" w:hAnsi="Times New Roman" w:cs="Times New Roman"/>
          <w:b/>
          <w:bCs/>
          <w:sz w:val="24"/>
          <w:szCs w:val="24"/>
        </w:rPr>
        <w:t>.</w:t>
      </w:r>
      <w:r>
        <w:rPr>
          <w:rFonts w:ascii="Times New Roman" w:hAnsi="Times New Roman" w:cs="Times New Roman"/>
          <w:b/>
          <w:bCs/>
          <w:sz w:val="24"/>
          <w:szCs w:val="24"/>
        </w:rPr>
        <w:tab/>
      </w:r>
      <w:r w:rsidR="009E6799">
        <w:rPr>
          <w:rFonts w:ascii="Times New Roman" w:hAnsi="Times New Roman" w:cs="Times New Roman"/>
          <w:sz w:val="24"/>
          <w:szCs w:val="24"/>
          <w:lang w:val="en-US"/>
        </w:rPr>
        <w:t>Use-wear traces found on the two manuports (groundstones) from Românești-</w:t>
      </w:r>
      <w:r w:rsidR="009E6799">
        <w:rPr>
          <w:rFonts w:ascii="Times New Roman,Italic" w:hAnsi="Times New Roman,Italic" w:cs="Times New Roman,Italic"/>
          <w:i/>
          <w:iCs/>
          <w:sz w:val="24"/>
          <w:szCs w:val="24"/>
          <w:lang w:val="en-US"/>
        </w:rPr>
        <w:t xml:space="preserve">Dumbrăvița </w:t>
      </w:r>
      <w:r w:rsidR="009E6799">
        <w:rPr>
          <w:rFonts w:ascii="Times New Roman" w:hAnsi="Times New Roman" w:cs="Times New Roman"/>
          <w:sz w:val="24"/>
          <w:szCs w:val="24"/>
          <w:lang w:val="en-US"/>
        </w:rPr>
        <w:t>I, GH3 (</w:t>
      </w:r>
      <w:r w:rsidR="007D2614" w:rsidRPr="007D2614">
        <w:rPr>
          <w:rFonts w:ascii="Times New Roman" w:hAnsi="Times New Roman" w:cs="Times New Roman"/>
          <w:b/>
          <w:bCs/>
          <w:sz w:val="24"/>
          <w:szCs w:val="24"/>
          <w:lang w:val="en-US"/>
        </w:rPr>
        <w:t>a</w:t>
      </w:r>
      <w:r w:rsidR="009E6799">
        <w:rPr>
          <w:rFonts w:ascii="Times New Roman" w:hAnsi="Times New Roman" w:cs="Times New Roman"/>
          <w:sz w:val="24"/>
          <w:szCs w:val="24"/>
          <w:lang w:val="en-US"/>
        </w:rPr>
        <w:t>) Manuport and micrographs of a concave grove running along the</w:t>
      </w:r>
      <w:r w:rsidR="009E6799">
        <w:rPr>
          <w:rFonts w:ascii="Arial" w:hAnsi="Arial" w:cs="Arial"/>
          <w:lang w:val="en-US"/>
        </w:rPr>
        <w:t xml:space="preserve"> </w:t>
      </w:r>
      <w:r w:rsidR="009E6799">
        <w:rPr>
          <w:rFonts w:ascii="Times New Roman" w:hAnsi="Times New Roman" w:cs="Times New Roman"/>
          <w:sz w:val="24"/>
          <w:szCs w:val="24"/>
          <w:lang w:val="en-US"/>
        </w:rPr>
        <w:t>longitudinal axis of the manuport (on the right, showing smother surface texture, including</w:t>
      </w:r>
      <w:r w:rsidR="009E6799">
        <w:rPr>
          <w:rFonts w:ascii="Arial" w:hAnsi="Arial" w:cs="Arial"/>
          <w:lang w:val="en-US"/>
        </w:rPr>
        <w:t xml:space="preserve"> </w:t>
      </w:r>
      <w:r w:rsidR="009E6799">
        <w:rPr>
          <w:rFonts w:ascii="Times New Roman" w:hAnsi="Times New Roman" w:cs="Times New Roman"/>
          <w:sz w:val="24"/>
          <w:szCs w:val="24"/>
          <w:lang w:val="en-US"/>
        </w:rPr>
        <w:t>longitudinal striations) and (on the left) the opposite unused surface for comparison; (</w:t>
      </w:r>
      <w:r w:rsidR="007D2614" w:rsidRPr="007D2614">
        <w:rPr>
          <w:rFonts w:ascii="Times New Roman" w:hAnsi="Times New Roman" w:cs="Times New Roman"/>
          <w:b/>
          <w:bCs/>
          <w:sz w:val="24"/>
          <w:szCs w:val="24"/>
          <w:lang w:val="en-US"/>
        </w:rPr>
        <w:t>b</w:t>
      </w:r>
      <w:r w:rsidR="009E6799">
        <w:rPr>
          <w:rFonts w:ascii="Times New Roman" w:hAnsi="Times New Roman" w:cs="Times New Roman"/>
          <w:sz w:val="24"/>
          <w:szCs w:val="24"/>
          <w:lang w:val="en-US"/>
        </w:rPr>
        <w:t>)</w:t>
      </w:r>
      <w:r w:rsidR="009E6799">
        <w:rPr>
          <w:rFonts w:ascii="Arial" w:hAnsi="Arial" w:cs="Arial"/>
          <w:lang w:val="en-US"/>
        </w:rPr>
        <w:t xml:space="preserve"> </w:t>
      </w:r>
      <w:r w:rsidR="009E6799">
        <w:rPr>
          <w:rFonts w:ascii="Times New Roman" w:hAnsi="Times New Roman" w:cs="Times New Roman"/>
          <w:sz w:val="24"/>
          <w:szCs w:val="24"/>
          <w:lang w:val="en-US"/>
        </w:rPr>
        <w:t>manuport and micrographs of both surfaces of the tool. On the right at the lowest point of the</w:t>
      </w:r>
      <w:r w:rsidR="009E6799">
        <w:rPr>
          <w:rFonts w:ascii="Arial" w:hAnsi="Arial" w:cs="Arial"/>
          <w:lang w:val="en-US"/>
        </w:rPr>
        <w:t xml:space="preserve"> </w:t>
      </w:r>
      <w:r w:rsidR="009E6799">
        <w:rPr>
          <w:rFonts w:ascii="Times New Roman" w:hAnsi="Times New Roman" w:cs="Times New Roman"/>
          <w:sz w:val="24"/>
          <w:szCs w:val="24"/>
          <w:lang w:val="en-US"/>
        </w:rPr>
        <w:t>concave groove running through the center of the longest axis and the opposite side, where no</w:t>
      </w:r>
      <w:r w:rsidR="009E6799">
        <w:rPr>
          <w:rFonts w:ascii="Arial" w:hAnsi="Arial" w:cs="Arial"/>
          <w:lang w:val="en-US"/>
        </w:rPr>
        <w:t xml:space="preserve"> </w:t>
      </w:r>
      <w:r w:rsidR="009E6799">
        <w:rPr>
          <w:rFonts w:ascii="Times New Roman" w:hAnsi="Times New Roman" w:cs="Times New Roman"/>
          <w:sz w:val="24"/>
          <w:szCs w:val="24"/>
          <w:lang w:val="en-US"/>
        </w:rPr>
        <w:t>use-wear has been found for comparison. The surfaces interpreted as used on both manuports</w:t>
      </w:r>
      <w:r w:rsidR="009E6799">
        <w:rPr>
          <w:rFonts w:ascii="Arial" w:hAnsi="Arial" w:cs="Arial"/>
          <w:lang w:val="en-US"/>
        </w:rPr>
        <w:t xml:space="preserve"> </w:t>
      </w:r>
      <w:r w:rsidR="009E6799">
        <w:rPr>
          <w:rFonts w:ascii="Times New Roman" w:hAnsi="Times New Roman" w:cs="Times New Roman"/>
          <w:sz w:val="24"/>
          <w:szCs w:val="24"/>
          <w:lang w:val="en-US"/>
        </w:rPr>
        <w:t>show smoother surface texture, including longitudinal striations, when compared with the</w:t>
      </w:r>
      <w:r w:rsidR="009E6799">
        <w:rPr>
          <w:rFonts w:ascii="Arial" w:hAnsi="Arial" w:cs="Arial"/>
          <w:lang w:val="en-US"/>
        </w:rPr>
        <w:t xml:space="preserve"> </w:t>
      </w:r>
      <w:r w:rsidR="009E6799">
        <w:rPr>
          <w:rFonts w:ascii="Times New Roman" w:hAnsi="Times New Roman" w:cs="Times New Roman"/>
          <w:sz w:val="24"/>
          <w:szCs w:val="24"/>
          <w:lang w:val="en-US"/>
        </w:rPr>
        <w:t>opposite surface.</w:t>
      </w:r>
    </w:p>
    <w:p w14:paraId="0E7AD8F6" w14:textId="073D9D59" w:rsidR="00E04DB2" w:rsidRPr="00EC5740" w:rsidRDefault="00E04DB2" w:rsidP="00E04DB2">
      <w:pPr>
        <w:pStyle w:val="Heading1"/>
        <w:rPr>
          <w:rFonts w:ascii="Times New Roman" w:hAnsi="Times New Roman" w:cs="Times New Roman"/>
          <w:b/>
          <w:bCs/>
          <w:color w:val="auto"/>
          <w:sz w:val="28"/>
          <w:szCs w:val="28"/>
          <w:lang w:val="en-US"/>
        </w:rPr>
      </w:pPr>
      <w:r w:rsidRPr="00EC5740">
        <w:rPr>
          <w:rFonts w:ascii="Times New Roman" w:hAnsi="Times New Roman" w:cs="Times New Roman"/>
          <w:b/>
          <w:bCs/>
          <w:color w:val="auto"/>
          <w:sz w:val="28"/>
          <w:szCs w:val="28"/>
          <w:lang w:val="en-US"/>
        </w:rPr>
        <w:lastRenderedPageBreak/>
        <w:t>Supplementary References</w:t>
      </w:r>
    </w:p>
    <w:p w14:paraId="007FA3D6" w14:textId="77777777" w:rsidR="00A066BE" w:rsidRDefault="00A066BE" w:rsidP="00A066BE">
      <w:pPr>
        <w:pStyle w:val="ListParagraph"/>
        <w:ind w:left="360"/>
      </w:pPr>
    </w:p>
    <w:p w14:paraId="764E9BF5" w14:textId="62E51B01" w:rsidR="00A066BE" w:rsidRDefault="00A066BE" w:rsidP="00A066BE">
      <w:pPr>
        <w:pStyle w:val="ListParagraph"/>
        <w:numPr>
          <w:ilvl w:val="0"/>
          <w:numId w:val="1"/>
        </w:numPr>
        <w:spacing w:line="480" w:lineRule="auto"/>
      </w:pPr>
      <w:r w:rsidRPr="00311B60">
        <w:t xml:space="preserve">Mogoșanu, F. </w:t>
      </w:r>
      <w:r w:rsidRPr="00A066BE">
        <w:rPr>
          <w:i/>
          <w:iCs/>
        </w:rPr>
        <w:t>Paleoliticul din Banat</w:t>
      </w:r>
      <w:r w:rsidRPr="00311B60">
        <w:t xml:space="preserve">. vol. 32 (Editura Academiei Republicii Socialiste Romānia, </w:t>
      </w:r>
      <w:r>
        <w:br/>
        <w:t xml:space="preserve"> </w:t>
      </w:r>
      <w:r>
        <w:tab/>
      </w:r>
      <w:r w:rsidRPr="00311B60">
        <w:t>1978).</w:t>
      </w:r>
    </w:p>
    <w:p w14:paraId="120C8A08" w14:textId="733E7A3A" w:rsidR="00A066BE" w:rsidRDefault="00A066BE" w:rsidP="00A066BE">
      <w:pPr>
        <w:pStyle w:val="ListParagraph"/>
        <w:numPr>
          <w:ilvl w:val="0"/>
          <w:numId w:val="1"/>
        </w:numPr>
        <w:spacing w:line="480" w:lineRule="auto"/>
      </w:pPr>
      <w:r w:rsidRPr="00311B60">
        <w:t xml:space="preserve">Sitlivy, V. </w:t>
      </w:r>
      <w:r w:rsidRPr="00A066BE">
        <w:rPr>
          <w:i/>
          <w:iCs/>
        </w:rPr>
        <w:t>et al.</w:t>
      </w:r>
      <w:r w:rsidRPr="00311B60">
        <w:t xml:space="preserve"> The earliest Aurignacian in Romania: new investigations at the open air site of </w:t>
      </w:r>
      <w:r>
        <w:br/>
        <w:t xml:space="preserve"> </w:t>
      </w:r>
      <w:r>
        <w:tab/>
      </w:r>
      <w:r w:rsidRPr="00311B60">
        <w:t xml:space="preserve">Româneşti-Dumbrăviţa I (Banat). </w:t>
      </w:r>
      <w:r w:rsidRPr="00A066BE">
        <w:rPr>
          <w:i/>
          <w:iCs/>
        </w:rPr>
        <w:t>Quartär</w:t>
      </w:r>
      <w:r w:rsidRPr="00311B60">
        <w:t xml:space="preserve"> </w:t>
      </w:r>
      <w:r w:rsidRPr="00A066BE">
        <w:rPr>
          <w:b/>
          <w:bCs/>
        </w:rPr>
        <w:t>59</w:t>
      </w:r>
      <w:r w:rsidRPr="00311B60">
        <w:t>, 85–130 (2012).</w:t>
      </w:r>
    </w:p>
    <w:p w14:paraId="3D22867E" w14:textId="4CC5659A" w:rsidR="00A066BE" w:rsidRDefault="00A066BE" w:rsidP="00A066BE">
      <w:pPr>
        <w:pStyle w:val="ListParagraph"/>
        <w:numPr>
          <w:ilvl w:val="0"/>
          <w:numId w:val="1"/>
        </w:numPr>
        <w:spacing w:line="480" w:lineRule="auto"/>
      </w:pPr>
      <w:r w:rsidRPr="00311B60">
        <w:t xml:space="preserve">Sitlivy, V. </w:t>
      </w:r>
      <w:r w:rsidRPr="00A066BE">
        <w:rPr>
          <w:i/>
          <w:iCs/>
        </w:rPr>
        <w:t>et al.</w:t>
      </w:r>
      <w:r w:rsidRPr="00311B60">
        <w:t xml:space="preserve"> Placing the Aurignacian from Banat (southwestern Romania) into the European </w:t>
      </w:r>
      <w:r>
        <w:br/>
        <w:t xml:space="preserve"> </w:t>
      </w:r>
      <w:r>
        <w:tab/>
      </w:r>
      <w:r w:rsidRPr="00311B60">
        <w:t xml:space="preserve">Early Upper Paleolithic Context. in </w:t>
      </w:r>
      <w:r w:rsidRPr="00A066BE">
        <w:rPr>
          <w:i/>
          <w:iCs/>
        </w:rPr>
        <w:t xml:space="preserve">Modes de contactes et de deplacements au Paléolithique </w:t>
      </w:r>
      <w:r>
        <w:rPr>
          <w:i/>
          <w:iCs/>
        </w:rPr>
        <w:br/>
        <w:t xml:space="preserve"> </w:t>
      </w:r>
      <w:r>
        <w:rPr>
          <w:i/>
          <w:iCs/>
        </w:rPr>
        <w:tab/>
      </w:r>
      <w:r w:rsidRPr="00A066BE">
        <w:rPr>
          <w:i/>
          <w:iCs/>
        </w:rPr>
        <w:t>Eurasiatique</w:t>
      </w:r>
      <w:r w:rsidRPr="00311B60">
        <w:t xml:space="preserve"> (eds. Otte, M. &amp; Brun-Ricalens, F. L.) vol. 8 243–277 (ERAUL, 2014).</w:t>
      </w:r>
    </w:p>
    <w:p w14:paraId="4F80AEF6" w14:textId="09EBFBAB" w:rsidR="00A066BE" w:rsidRPr="0010596E" w:rsidRDefault="00A066BE" w:rsidP="00A066BE">
      <w:pPr>
        <w:pStyle w:val="ListParagraph"/>
        <w:numPr>
          <w:ilvl w:val="0"/>
          <w:numId w:val="1"/>
        </w:numPr>
        <w:spacing w:line="480" w:lineRule="auto"/>
      </w:pPr>
      <w:r w:rsidRPr="0010596E">
        <w:t xml:space="preserve">Scott, D. W. Theory, Practice and Visualization. </w:t>
      </w:r>
      <w:r w:rsidRPr="00A066BE">
        <w:rPr>
          <w:i/>
          <w:iCs/>
        </w:rPr>
        <w:t>NY John Wiley Sons</w:t>
      </w:r>
      <w:r w:rsidRPr="0010596E">
        <w:t xml:space="preserve"> (1992).</w:t>
      </w:r>
    </w:p>
    <w:p w14:paraId="37843690" w14:textId="16C4F022" w:rsidR="00A066BE" w:rsidRPr="00A066BE" w:rsidRDefault="00A066BE" w:rsidP="00A066BE"/>
    <w:p w14:paraId="1DFE5BDB" w14:textId="77777777" w:rsidR="00A066BE" w:rsidRPr="00A066BE" w:rsidRDefault="00A066BE" w:rsidP="00A066BE"/>
    <w:p w14:paraId="2EE1C1A0" w14:textId="77777777" w:rsidR="002A6448" w:rsidRPr="002A6448" w:rsidRDefault="002A6448" w:rsidP="002A6448"/>
    <w:p w14:paraId="418618A4" w14:textId="77777777" w:rsidR="00E04DB2" w:rsidRPr="00AA59A4" w:rsidRDefault="00E04DB2" w:rsidP="00194959">
      <w:pPr>
        <w:autoSpaceDE w:val="0"/>
        <w:autoSpaceDN w:val="0"/>
        <w:adjustRightInd w:val="0"/>
        <w:spacing w:after="0" w:line="240" w:lineRule="auto"/>
        <w:rPr>
          <w:rFonts w:ascii="Times New Roman" w:hAnsi="Times New Roman" w:cs="Times New Roman"/>
          <w:sz w:val="24"/>
          <w:szCs w:val="24"/>
          <w:lang w:val="en-US"/>
        </w:rPr>
      </w:pPr>
    </w:p>
    <w:sectPr w:rsidR="00E04DB2" w:rsidRPr="00AA59A4" w:rsidSect="00441F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7FA27" w14:textId="77777777" w:rsidR="003C75FC" w:rsidRDefault="003C75FC" w:rsidP="006106E4">
      <w:pPr>
        <w:spacing w:after="0" w:line="240" w:lineRule="auto"/>
      </w:pPr>
      <w:r>
        <w:separator/>
      </w:r>
    </w:p>
  </w:endnote>
  <w:endnote w:type="continuationSeparator" w:id="0">
    <w:p w14:paraId="7A410A1E" w14:textId="77777777" w:rsidR="003C75FC" w:rsidRDefault="003C75FC" w:rsidP="00610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New Roman,Italic">
    <w:altName w:val="Times New Roman"/>
    <w:panose1 w:val="0000050000000009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587085"/>
      <w:docPartObj>
        <w:docPartGallery w:val="Page Numbers (Bottom of Page)"/>
        <w:docPartUnique/>
      </w:docPartObj>
    </w:sdtPr>
    <w:sdtEndPr/>
    <w:sdtContent>
      <w:p w14:paraId="3C6897C3" w14:textId="77777777" w:rsidR="008951BD" w:rsidRDefault="008951BD">
        <w:pPr>
          <w:pStyle w:val="Footer"/>
          <w:jc w:val="center"/>
        </w:pPr>
        <w:r>
          <w:fldChar w:fldCharType="begin"/>
        </w:r>
        <w:r>
          <w:instrText>PAGE   \* MERGEFORMAT</w:instrText>
        </w:r>
        <w:r>
          <w:fldChar w:fldCharType="separate"/>
        </w:r>
        <w:r w:rsidRPr="00181EF0">
          <w:rPr>
            <w:noProof/>
            <w:lang w:val="fr-FR"/>
          </w:rPr>
          <w:t>1</w:t>
        </w:r>
        <w:r>
          <w:fldChar w:fldCharType="end"/>
        </w:r>
      </w:p>
    </w:sdtContent>
  </w:sdt>
  <w:p w14:paraId="1392E9B6" w14:textId="77777777" w:rsidR="008951BD" w:rsidRPr="006106E4" w:rsidRDefault="008951BD" w:rsidP="006106E4">
    <w:pPr>
      <w:pStyle w:val="Footer"/>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A231" w14:textId="77777777" w:rsidR="003C75FC" w:rsidRDefault="003C75FC" w:rsidP="006106E4">
      <w:pPr>
        <w:spacing w:after="0" w:line="240" w:lineRule="auto"/>
      </w:pPr>
      <w:r>
        <w:separator/>
      </w:r>
    </w:p>
  </w:footnote>
  <w:footnote w:type="continuationSeparator" w:id="0">
    <w:p w14:paraId="39DC1EB5" w14:textId="77777777" w:rsidR="003C75FC" w:rsidRDefault="003C75FC" w:rsidP="00610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10742"/>
    <w:multiLevelType w:val="hybridMultilevel"/>
    <w:tmpl w:val="39061808"/>
    <w:lvl w:ilvl="0" w:tplc="5FCA3EB0">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2797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UwMba0NDEyNTQ2N7ZU0lEKTi0uzszPAykwMqwFALGAGC4tAAAA"/>
  </w:docVars>
  <w:rsids>
    <w:rsidRoot w:val="00E74E78"/>
    <w:rsid w:val="00001FB1"/>
    <w:rsid w:val="00002412"/>
    <w:rsid w:val="0004026E"/>
    <w:rsid w:val="00045984"/>
    <w:rsid w:val="000512E3"/>
    <w:rsid w:val="000516D0"/>
    <w:rsid w:val="00065F56"/>
    <w:rsid w:val="000676D7"/>
    <w:rsid w:val="000748F7"/>
    <w:rsid w:val="0008191B"/>
    <w:rsid w:val="00084CF9"/>
    <w:rsid w:val="00093139"/>
    <w:rsid w:val="000942A2"/>
    <w:rsid w:val="00095E05"/>
    <w:rsid w:val="000E6DB7"/>
    <w:rsid w:val="000F1A44"/>
    <w:rsid w:val="000F64DB"/>
    <w:rsid w:val="0011238C"/>
    <w:rsid w:val="00113687"/>
    <w:rsid w:val="00125DE9"/>
    <w:rsid w:val="001263ED"/>
    <w:rsid w:val="0014288B"/>
    <w:rsid w:val="00162A65"/>
    <w:rsid w:val="00162A80"/>
    <w:rsid w:val="00181EF0"/>
    <w:rsid w:val="00194959"/>
    <w:rsid w:val="001A033D"/>
    <w:rsid w:val="001A0436"/>
    <w:rsid w:val="001B1D61"/>
    <w:rsid w:val="001C0AFE"/>
    <w:rsid w:val="001E55A6"/>
    <w:rsid w:val="001F1ACF"/>
    <w:rsid w:val="00204F31"/>
    <w:rsid w:val="002334AE"/>
    <w:rsid w:val="00251464"/>
    <w:rsid w:val="00292DB0"/>
    <w:rsid w:val="00297ED7"/>
    <w:rsid w:val="002A6448"/>
    <w:rsid w:val="002B1830"/>
    <w:rsid w:val="002B776A"/>
    <w:rsid w:val="002D46FE"/>
    <w:rsid w:val="002E0076"/>
    <w:rsid w:val="002E06A7"/>
    <w:rsid w:val="002F155A"/>
    <w:rsid w:val="002F15EE"/>
    <w:rsid w:val="002F4407"/>
    <w:rsid w:val="002F68C1"/>
    <w:rsid w:val="00300585"/>
    <w:rsid w:val="00300BC6"/>
    <w:rsid w:val="003116A3"/>
    <w:rsid w:val="00343011"/>
    <w:rsid w:val="00347CFF"/>
    <w:rsid w:val="00364159"/>
    <w:rsid w:val="0036421C"/>
    <w:rsid w:val="00366788"/>
    <w:rsid w:val="003962EB"/>
    <w:rsid w:val="003B027B"/>
    <w:rsid w:val="003C75FC"/>
    <w:rsid w:val="003C7B6D"/>
    <w:rsid w:val="003D2008"/>
    <w:rsid w:val="003D2A57"/>
    <w:rsid w:val="003F2113"/>
    <w:rsid w:val="0040615C"/>
    <w:rsid w:val="004207D6"/>
    <w:rsid w:val="004260D9"/>
    <w:rsid w:val="00431172"/>
    <w:rsid w:val="00431DC9"/>
    <w:rsid w:val="00433E0F"/>
    <w:rsid w:val="00441FF5"/>
    <w:rsid w:val="00455AB7"/>
    <w:rsid w:val="004759CF"/>
    <w:rsid w:val="00493761"/>
    <w:rsid w:val="004B23E0"/>
    <w:rsid w:val="004B73C4"/>
    <w:rsid w:val="004C4E21"/>
    <w:rsid w:val="004C7DF9"/>
    <w:rsid w:val="004D3722"/>
    <w:rsid w:val="004D47DB"/>
    <w:rsid w:val="004E242B"/>
    <w:rsid w:val="004E285A"/>
    <w:rsid w:val="004F61B2"/>
    <w:rsid w:val="00517F60"/>
    <w:rsid w:val="0052065D"/>
    <w:rsid w:val="005261AB"/>
    <w:rsid w:val="0055049B"/>
    <w:rsid w:val="00582CEE"/>
    <w:rsid w:val="00583339"/>
    <w:rsid w:val="00591015"/>
    <w:rsid w:val="0059630B"/>
    <w:rsid w:val="005C32D5"/>
    <w:rsid w:val="005C4DB7"/>
    <w:rsid w:val="005E7139"/>
    <w:rsid w:val="006005CC"/>
    <w:rsid w:val="0060171D"/>
    <w:rsid w:val="0060701C"/>
    <w:rsid w:val="00607953"/>
    <w:rsid w:val="006106E4"/>
    <w:rsid w:val="00611861"/>
    <w:rsid w:val="00614199"/>
    <w:rsid w:val="00640F27"/>
    <w:rsid w:val="00654093"/>
    <w:rsid w:val="00674CF2"/>
    <w:rsid w:val="00682A80"/>
    <w:rsid w:val="00683685"/>
    <w:rsid w:val="006A4784"/>
    <w:rsid w:val="006B7B6C"/>
    <w:rsid w:val="006E7B5E"/>
    <w:rsid w:val="006F3F60"/>
    <w:rsid w:val="006F4143"/>
    <w:rsid w:val="006F6FB2"/>
    <w:rsid w:val="006F7346"/>
    <w:rsid w:val="007401E0"/>
    <w:rsid w:val="007434CD"/>
    <w:rsid w:val="0074392A"/>
    <w:rsid w:val="00745148"/>
    <w:rsid w:val="007577A0"/>
    <w:rsid w:val="00767984"/>
    <w:rsid w:val="0078389F"/>
    <w:rsid w:val="00783E63"/>
    <w:rsid w:val="00792877"/>
    <w:rsid w:val="00795FB2"/>
    <w:rsid w:val="007B64CB"/>
    <w:rsid w:val="007D19F2"/>
    <w:rsid w:val="007D2614"/>
    <w:rsid w:val="007E7E25"/>
    <w:rsid w:val="008050B9"/>
    <w:rsid w:val="00817060"/>
    <w:rsid w:val="00821D88"/>
    <w:rsid w:val="0082612F"/>
    <w:rsid w:val="00841263"/>
    <w:rsid w:val="00841AF9"/>
    <w:rsid w:val="0084589D"/>
    <w:rsid w:val="008529D3"/>
    <w:rsid w:val="008649E0"/>
    <w:rsid w:val="008825B9"/>
    <w:rsid w:val="00885E17"/>
    <w:rsid w:val="008951BD"/>
    <w:rsid w:val="008A62F6"/>
    <w:rsid w:val="008B0D6B"/>
    <w:rsid w:val="008B7F41"/>
    <w:rsid w:val="008C0A80"/>
    <w:rsid w:val="008C30F3"/>
    <w:rsid w:val="008D3304"/>
    <w:rsid w:val="008E0750"/>
    <w:rsid w:val="008E2B8E"/>
    <w:rsid w:val="00900941"/>
    <w:rsid w:val="0091273E"/>
    <w:rsid w:val="00914A1D"/>
    <w:rsid w:val="00920A53"/>
    <w:rsid w:val="00927F52"/>
    <w:rsid w:val="009426B6"/>
    <w:rsid w:val="0094483C"/>
    <w:rsid w:val="00945C21"/>
    <w:rsid w:val="00946E9E"/>
    <w:rsid w:val="00947A5B"/>
    <w:rsid w:val="00947D8F"/>
    <w:rsid w:val="00956391"/>
    <w:rsid w:val="009A5AEB"/>
    <w:rsid w:val="009C010D"/>
    <w:rsid w:val="009C31BF"/>
    <w:rsid w:val="009C3F39"/>
    <w:rsid w:val="009C622F"/>
    <w:rsid w:val="009D0B5E"/>
    <w:rsid w:val="009D4809"/>
    <w:rsid w:val="009D54F1"/>
    <w:rsid w:val="009E6799"/>
    <w:rsid w:val="009E797F"/>
    <w:rsid w:val="009F3D0F"/>
    <w:rsid w:val="00A052FC"/>
    <w:rsid w:val="00A066BE"/>
    <w:rsid w:val="00A1386A"/>
    <w:rsid w:val="00A25E01"/>
    <w:rsid w:val="00A2777B"/>
    <w:rsid w:val="00A40A03"/>
    <w:rsid w:val="00A508F3"/>
    <w:rsid w:val="00A639F3"/>
    <w:rsid w:val="00A77099"/>
    <w:rsid w:val="00A874E3"/>
    <w:rsid w:val="00A87DBE"/>
    <w:rsid w:val="00A910DC"/>
    <w:rsid w:val="00A95693"/>
    <w:rsid w:val="00AA11C2"/>
    <w:rsid w:val="00AA59A4"/>
    <w:rsid w:val="00AA63D8"/>
    <w:rsid w:val="00AB2EB9"/>
    <w:rsid w:val="00AB4C0A"/>
    <w:rsid w:val="00AC6A2A"/>
    <w:rsid w:val="00AD01D7"/>
    <w:rsid w:val="00AD318F"/>
    <w:rsid w:val="00AD6000"/>
    <w:rsid w:val="00AE231B"/>
    <w:rsid w:val="00AE4E81"/>
    <w:rsid w:val="00AE5A16"/>
    <w:rsid w:val="00B1308D"/>
    <w:rsid w:val="00B14928"/>
    <w:rsid w:val="00B14E75"/>
    <w:rsid w:val="00B16CCE"/>
    <w:rsid w:val="00B21C64"/>
    <w:rsid w:val="00B221F9"/>
    <w:rsid w:val="00B30273"/>
    <w:rsid w:val="00B303D1"/>
    <w:rsid w:val="00B37E73"/>
    <w:rsid w:val="00B4027E"/>
    <w:rsid w:val="00B412C4"/>
    <w:rsid w:val="00B42BD4"/>
    <w:rsid w:val="00B543F3"/>
    <w:rsid w:val="00B62CED"/>
    <w:rsid w:val="00B65029"/>
    <w:rsid w:val="00B6524F"/>
    <w:rsid w:val="00B747FB"/>
    <w:rsid w:val="00BC68CB"/>
    <w:rsid w:val="00BD4FA2"/>
    <w:rsid w:val="00BE21E6"/>
    <w:rsid w:val="00BE22E0"/>
    <w:rsid w:val="00BE4615"/>
    <w:rsid w:val="00BF2584"/>
    <w:rsid w:val="00C01820"/>
    <w:rsid w:val="00C031B2"/>
    <w:rsid w:val="00C13B3D"/>
    <w:rsid w:val="00C30C25"/>
    <w:rsid w:val="00C407BD"/>
    <w:rsid w:val="00C55B1A"/>
    <w:rsid w:val="00C57891"/>
    <w:rsid w:val="00C62EDC"/>
    <w:rsid w:val="00C779B9"/>
    <w:rsid w:val="00C9400C"/>
    <w:rsid w:val="00CA1246"/>
    <w:rsid w:val="00CB4C85"/>
    <w:rsid w:val="00CC3491"/>
    <w:rsid w:val="00CC4604"/>
    <w:rsid w:val="00CC4CB0"/>
    <w:rsid w:val="00CC7C29"/>
    <w:rsid w:val="00CD02A4"/>
    <w:rsid w:val="00CD3390"/>
    <w:rsid w:val="00CF621C"/>
    <w:rsid w:val="00D13A86"/>
    <w:rsid w:val="00D229A7"/>
    <w:rsid w:val="00D22D17"/>
    <w:rsid w:val="00D2364F"/>
    <w:rsid w:val="00D24077"/>
    <w:rsid w:val="00D243CE"/>
    <w:rsid w:val="00D3488D"/>
    <w:rsid w:val="00D35325"/>
    <w:rsid w:val="00D37C53"/>
    <w:rsid w:val="00D43275"/>
    <w:rsid w:val="00D57AD2"/>
    <w:rsid w:val="00D60C7B"/>
    <w:rsid w:val="00D755B5"/>
    <w:rsid w:val="00D75B16"/>
    <w:rsid w:val="00DA21BB"/>
    <w:rsid w:val="00DA4D4C"/>
    <w:rsid w:val="00DB2D98"/>
    <w:rsid w:val="00DB6761"/>
    <w:rsid w:val="00DC5138"/>
    <w:rsid w:val="00DC5243"/>
    <w:rsid w:val="00DE2F45"/>
    <w:rsid w:val="00DE35D9"/>
    <w:rsid w:val="00DE5277"/>
    <w:rsid w:val="00E02E60"/>
    <w:rsid w:val="00E04DB2"/>
    <w:rsid w:val="00E07376"/>
    <w:rsid w:val="00E15D53"/>
    <w:rsid w:val="00E317CC"/>
    <w:rsid w:val="00E32239"/>
    <w:rsid w:val="00E32884"/>
    <w:rsid w:val="00E34249"/>
    <w:rsid w:val="00E34BF5"/>
    <w:rsid w:val="00E4058E"/>
    <w:rsid w:val="00E45B28"/>
    <w:rsid w:val="00E5756F"/>
    <w:rsid w:val="00E74E78"/>
    <w:rsid w:val="00E8464F"/>
    <w:rsid w:val="00E9093A"/>
    <w:rsid w:val="00E942EA"/>
    <w:rsid w:val="00E95F49"/>
    <w:rsid w:val="00EA3246"/>
    <w:rsid w:val="00EA3CF0"/>
    <w:rsid w:val="00EA44E8"/>
    <w:rsid w:val="00EB6923"/>
    <w:rsid w:val="00EC4559"/>
    <w:rsid w:val="00EC5740"/>
    <w:rsid w:val="00ED274B"/>
    <w:rsid w:val="00ED5B53"/>
    <w:rsid w:val="00ED736B"/>
    <w:rsid w:val="00EE5B50"/>
    <w:rsid w:val="00EF1926"/>
    <w:rsid w:val="00EF3433"/>
    <w:rsid w:val="00F0354A"/>
    <w:rsid w:val="00F03C65"/>
    <w:rsid w:val="00F078BF"/>
    <w:rsid w:val="00F30D5C"/>
    <w:rsid w:val="00F451AC"/>
    <w:rsid w:val="00F65B95"/>
    <w:rsid w:val="00F7256D"/>
    <w:rsid w:val="00F8491F"/>
    <w:rsid w:val="00F908D3"/>
    <w:rsid w:val="00F93643"/>
    <w:rsid w:val="00FA3196"/>
    <w:rsid w:val="00FA74BC"/>
    <w:rsid w:val="00FA7A63"/>
    <w:rsid w:val="00FC635C"/>
    <w:rsid w:val="00FC6C7E"/>
    <w:rsid w:val="00FD18FD"/>
    <w:rsid w:val="00FD48E6"/>
    <w:rsid w:val="00FD5101"/>
    <w:rsid w:val="00FF40FC"/>
    <w:rsid w:val="00FF78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675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3E0"/>
  </w:style>
  <w:style w:type="paragraph" w:styleId="Heading1">
    <w:name w:val="heading 1"/>
    <w:basedOn w:val="Normal"/>
    <w:next w:val="Normal"/>
    <w:link w:val="Heading1Char"/>
    <w:uiPriority w:val="9"/>
    <w:qFormat/>
    <w:rsid w:val="00E04D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0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0585"/>
    <w:rPr>
      <w:color w:val="808080"/>
    </w:rPr>
  </w:style>
  <w:style w:type="character" w:styleId="CommentReference">
    <w:name w:val="annotation reference"/>
    <w:basedOn w:val="DefaultParagraphFont"/>
    <w:uiPriority w:val="99"/>
    <w:semiHidden/>
    <w:unhideWhenUsed/>
    <w:rsid w:val="00D229A7"/>
    <w:rPr>
      <w:sz w:val="16"/>
      <w:szCs w:val="16"/>
    </w:rPr>
  </w:style>
  <w:style w:type="paragraph" w:styleId="CommentText">
    <w:name w:val="annotation text"/>
    <w:basedOn w:val="Normal"/>
    <w:link w:val="CommentTextChar"/>
    <w:uiPriority w:val="99"/>
    <w:semiHidden/>
    <w:unhideWhenUsed/>
    <w:rsid w:val="00D229A7"/>
    <w:pPr>
      <w:spacing w:line="240" w:lineRule="auto"/>
    </w:pPr>
    <w:rPr>
      <w:sz w:val="20"/>
      <w:szCs w:val="20"/>
    </w:rPr>
  </w:style>
  <w:style w:type="character" w:customStyle="1" w:styleId="CommentTextChar">
    <w:name w:val="Comment Text Char"/>
    <w:basedOn w:val="DefaultParagraphFont"/>
    <w:link w:val="CommentText"/>
    <w:uiPriority w:val="99"/>
    <w:semiHidden/>
    <w:rsid w:val="00D229A7"/>
    <w:rPr>
      <w:sz w:val="20"/>
      <w:szCs w:val="20"/>
    </w:rPr>
  </w:style>
  <w:style w:type="paragraph" w:styleId="CommentSubject">
    <w:name w:val="annotation subject"/>
    <w:basedOn w:val="CommentText"/>
    <w:next w:val="CommentText"/>
    <w:link w:val="CommentSubjectChar"/>
    <w:uiPriority w:val="99"/>
    <w:semiHidden/>
    <w:unhideWhenUsed/>
    <w:rsid w:val="00D229A7"/>
    <w:rPr>
      <w:b/>
      <w:bCs/>
    </w:rPr>
  </w:style>
  <w:style w:type="character" w:customStyle="1" w:styleId="CommentSubjectChar">
    <w:name w:val="Comment Subject Char"/>
    <w:basedOn w:val="CommentTextChar"/>
    <w:link w:val="CommentSubject"/>
    <w:uiPriority w:val="99"/>
    <w:semiHidden/>
    <w:rsid w:val="00D229A7"/>
    <w:rPr>
      <w:b/>
      <w:bCs/>
      <w:sz w:val="20"/>
      <w:szCs w:val="20"/>
    </w:rPr>
  </w:style>
  <w:style w:type="paragraph" w:styleId="BalloonText">
    <w:name w:val="Balloon Text"/>
    <w:basedOn w:val="Normal"/>
    <w:link w:val="BalloonTextChar"/>
    <w:uiPriority w:val="99"/>
    <w:semiHidden/>
    <w:unhideWhenUsed/>
    <w:rsid w:val="00D22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9A7"/>
    <w:rPr>
      <w:rFonts w:ascii="Segoe UI" w:hAnsi="Segoe UI" w:cs="Segoe UI"/>
      <w:sz w:val="18"/>
      <w:szCs w:val="18"/>
    </w:rPr>
  </w:style>
  <w:style w:type="paragraph" w:styleId="Header">
    <w:name w:val="header"/>
    <w:basedOn w:val="Normal"/>
    <w:link w:val="HeaderChar"/>
    <w:uiPriority w:val="99"/>
    <w:unhideWhenUsed/>
    <w:rsid w:val="00610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6E4"/>
  </w:style>
  <w:style w:type="paragraph" w:styleId="Footer">
    <w:name w:val="footer"/>
    <w:basedOn w:val="Normal"/>
    <w:link w:val="FooterChar"/>
    <w:uiPriority w:val="99"/>
    <w:unhideWhenUsed/>
    <w:rsid w:val="00610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6E4"/>
  </w:style>
  <w:style w:type="character" w:styleId="Hyperlink">
    <w:name w:val="Hyperlink"/>
    <w:basedOn w:val="DefaultParagraphFont"/>
    <w:uiPriority w:val="99"/>
    <w:unhideWhenUsed/>
    <w:rsid w:val="006106E4"/>
    <w:rPr>
      <w:color w:val="0563C1" w:themeColor="hyperlink"/>
      <w:u w:val="single"/>
    </w:rPr>
  </w:style>
  <w:style w:type="character" w:customStyle="1" w:styleId="UnresolvedMention1">
    <w:name w:val="Unresolved Mention1"/>
    <w:basedOn w:val="DefaultParagraphFont"/>
    <w:uiPriority w:val="99"/>
    <w:semiHidden/>
    <w:unhideWhenUsed/>
    <w:rsid w:val="006106E4"/>
    <w:rPr>
      <w:color w:val="808080"/>
      <w:shd w:val="clear" w:color="auto" w:fill="E6E6E6"/>
    </w:rPr>
  </w:style>
  <w:style w:type="character" w:styleId="FollowedHyperlink">
    <w:name w:val="FollowedHyperlink"/>
    <w:basedOn w:val="DefaultParagraphFont"/>
    <w:uiPriority w:val="99"/>
    <w:semiHidden/>
    <w:unhideWhenUsed/>
    <w:rsid w:val="009A5AEB"/>
    <w:rPr>
      <w:color w:val="800080"/>
      <w:u w:val="single"/>
    </w:rPr>
  </w:style>
  <w:style w:type="paragraph" w:customStyle="1" w:styleId="msonormal0">
    <w:name w:val="msonormal"/>
    <w:basedOn w:val="Normal"/>
    <w:rsid w:val="009A5AE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9A5AEB"/>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4">
    <w:name w:val="xl64"/>
    <w:basedOn w:val="Normal"/>
    <w:rsid w:val="009A5AEB"/>
    <w:pPr>
      <w:pBdr>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5">
    <w:name w:val="xl65"/>
    <w:basedOn w:val="Normal"/>
    <w:rsid w:val="009A5AEB"/>
    <w:pPr>
      <w:pBdr>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6">
    <w:name w:val="xl66"/>
    <w:basedOn w:val="Normal"/>
    <w:rsid w:val="009A5AE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9A5AEB"/>
    <w:pP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68">
    <w:name w:val="xl68"/>
    <w:basedOn w:val="Normal"/>
    <w:rsid w:val="009A5AEB"/>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9">
    <w:name w:val="xl69"/>
    <w:basedOn w:val="Normal"/>
    <w:rsid w:val="009A5AEB"/>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70">
    <w:name w:val="xl70"/>
    <w:basedOn w:val="Normal"/>
    <w:rsid w:val="009A5AE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rsid w:val="009A5AE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2">
    <w:name w:val="xl72"/>
    <w:basedOn w:val="Normal"/>
    <w:rsid w:val="009A5AEB"/>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3">
    <w:name w:val="xl73"/>
    <w:basedOn w:val="Normal"/>
    <w:rsid w:val="009A5AEB"/>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4">
    <w:name w:val="xl74"/>
    <w:basedOn w:val="Normal"/>
    <w:rsid w:val="009A5AE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75">
    <w:name w:val="xl75"/>
    <w:basedOn w:val="Normal"/>
    <w:rsid w:val="009A5AE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6">
    <w:name w:val="xl76"/>
    <w:basedOn w:val="Normal"/>
    <w:rsid w:val="009A5AE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77">
    <w:name w:val="xl77"/>
    <w:basedOn w:val="Normal"/>
    <w:rsid w:val="009A5AEB"/>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8">
    <w:name w:val="xl78"/>
    <w:basedOn w:val="Normal"/>
    <w:rsid w:val="009A5AEB"/>
    <w:pP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79">
    <w:name w:val="xl79"/>
    <w:basedOn w:val="Normal"/>
    <w:rsid w:val="009A5AEB"/>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9A5AEB"/>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1">
    <w:name w:val="xl81"/>
    <w:basedOn w:val="Normal"/>
    <w:rsid w:val="009A5AEB"/>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2">
    <w:name w:val="xl82"/>
    <w:basedOn w:val="Normal"/>
    <w:rsid w:val="009A5AE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al"/>
    <w:rsid w:val="009A5AEB"/>
    <w:pPr>
      <w:spacing w:before="100" w:beforeAutospacing="1" w:after="100" w:afterAutospacing="1" w:line="240" w:lineRule="auto"/>
    </w:pPr>
    <w:rPr>
      <w:rFonts w:ascii="Times New Roman" w:eastAsia="Times New Roman" w:hAnsi="Times New Roman" w:cs="Times New Roman"/>
      <w:b/>
      <w:bCs/>
      <w:sz w:val="24"/>
      <w:szCs w:val="24"/>
      <w:u w:val="single"/>
      <w:lang w:val="en-US"/>
    </w:rPr>
  </w:style>
  <w:style w:type="paragraph" w:customStyle="1" w:styleId="xl84">
    <w:name w:val="xl84"/>
    <w:basedOn w:val="Normal"/>
    <w:rsid w:val="009A5AE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val="en-US"/>
    </w:rPr>
  </w:style>
  <w:style w:type="paragraph" w:customStyle="1" w:styleId="xl85">
    <w:name w:val="xl85"/>
    <w:basedOn w:val="Normal"/>
    <w:rsid w:val="009A5AE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86">
    <w:name w:val="xl86"/>
    <w:basedOn w:val="Normal"/>
    <w:rsid w:val="009A5AE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7">
    <w:name w:val="xl87"/>
    <w:basedOn w:val="Normal"/>
    <w:rsid w:val="009A5AEB"/>
    <w:pPr>
      <w:spacing w:before="100" w:beforeAutospacing="1" w:after="100" w:afterAutospacing="1" w:line="240" w:lineRule="auto"/>
      <w:ind w:firstLineChars="200" w:firstLine="200"/>
    </w:pPr>
    <w:rPr>
      <w:rFonts w:ascii="Times New Roman" w:eastAsia="Times New Roman" w:hAnsi="Times New Roman" w:cs="Times New Roman"/>
      <w:i/>
      <w:iCs/>
      <w:sz w:val="24"/>
      <w:szCs w:val="24"/>
      <w:lang w:val="en-US"/>
    </w:rPr>
  </w:style>
  <w:style w:type="paragraph" w:customStyle="1" w:styleId="xl88">
    <w:name w:val="xl88"/>
    <w:basedOn w:val="Normal"/>
    <w:rsid w:val="009A5AEB"/>
    <w:pPr>
      <w:spacing w:before="100" w:beforeAutospacing="1" w:after="100" w:afterAutospacing="1" w:line="240" w:lineRule="auto"/>
      <w:ind w:firstLineChars="200" w:firstLine="200"/>
    </w:pPr>
    <w:rPr>
      <w:rFonts w:ascii="Times New Roman" w:eastAsia="Times New Roman" w:hAnsi="Times New Roman" w:cs="Times New Roman"/>
      <w:b/>
      <w:bCs/>
      <w:sz w:val="24"/>
      <w:szCs w:val="24"/>
      <w:lang w:val="en-US"/>
    </w:rPr>
  </w:style>
  <w:style w:type="paragraph" w:customStyle="1" w:styleId="xl89">
    <w:name w:val="xl89"/>
    <w:basedOn w:val="Normal"/>
    <w:rsid w:val="009A5AEB"/>
    <w:pPr>
      <w:spacing w:before="100" w:beforeAutospacing="1" w:after="100" w:afterAutospacing="1" w:line="240" w:lineRule="auto"/>
      <w:ind w:firstLineChars="200" w:firstLine="200"/>
    </w:pPr>
    <w:rPr>
      <w:rFonts w:ascii="Times New Roman" w:eastAsia="Times New Roman" w:hAnsi="Times New Roman" w:cs="Times New Roman"/>
      <w:i/>
      <w:iCs/>
      <w:sz w:val="24"/>
      <w:szCs w:val="24"/>
      <w:lang w:val="en-US"/>
    </w:rPr>
  </w:style>
  <w:style w:type="paragraph" w:customStyle="1" w:styleId="xl90">
    <w:name w:val="xl90"/>
    <w:basedOn w:val="Normal"/>
    <w:rsid w:val="009A5AE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91">
    <w:name w:val="xl91"/>
    <w:basedOn w:val="Normal"/>
    <w:rsid w:val="00AD318F"/>
    <w:pPr>
      <w:spacing w:before="100" w:beforeAutospacing="1" w:after="100" w:afterAutospacing="1" w:line="240" w:lineRule="auto"/>
      <w:ind w:firstLineChars="200" w:firstLine="200"/>
    </w:pPr>
    <w:rPr>
      <w:rFonts w:ascii="Times New Roman" w:eastAsia="Times New Roman" w:hAnsi="Times New Roman" w:cs="Times New Roman"/>
      <w:i/>
      <w:iCs/>
      <w:sz w:val="24"/>
      <w:szCs w:val="24"/>
      <w:lang w:val="en-US"/>
    </w:rPr>
  </w:style>
  <w:style w:type="paragraph" w:customStyle="1" w:styleId="xl92">
    <w:name w:val="xl92"/>
    <w:basedOn w:val="Normal"/>
    <w:rsid w:val="00AD318F"/>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93">
    <w:name w:val="xl93"/>
    <w:basedOn w:val="Normal"/>
    <w:rsid w:val="00C13B3D"/>
    <w:pPr>
      <w:spacing w:before="100" w:beforeAutospacing="1" w:after="100" w:afterAutospacing="1" w:line="240" w:lineRule="auto"/>
      <w:ind w:firstLineChars="200" w:firstLine="200"/>
    </w:pPr>
    <w:rPr>
      <w:rFonts w:ascii="Times New Roman" w:eastAsia="Times New Roman" w:hAnsi="Times New Roman" w:cs="Times New Roman"/>
      <w:i/>
      <w:iCs/>
      <w:sz w:val="24"/>
      <w:szCs w:val="24"/>
      <w:lang w:val="en-US"/>
    </w:rPr>
  </w:style>
  <w:style w:type="paragraph" w:customStyle="1" w:styleId="xl94">
    <w:name w:val="xl94"/>
    <w:basedOn w:val="Normal"/>
    <w:rsid w:val="00C13B3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styleId="Bibliography">
    <w:name w:val="Bibliography"/>
    <w:basedOn w:val="Normal"/>
    <w:next w:val="Normal"/>
    <w:uiPriority w:val="37"/>
    <w:semiHidden/>
    <w:unhideWhenUsed/>
    <w:rsid w:val="00E04DB2"/>
  </w:style>
  <w:style w:type="character" w:customStyle="1" w:styleId="Heading1Char">
    <w:name w:val="Heading 1 Char"/>
    <w:basedOn w:val="DefaultParagraphFont"/>
    <w:link w:val="Heading1"/>
    <w:uiPriority w:val="9"/>
    <w:rsid w:val="00E04DB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06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7939">
      <w:bodyDiv w:val="1"/>
      <w:marLeft w:val="0"/>
      <w:marRight w:val="0"/>
      <w:marTop w:val="0"/>
      <w:marBottom w:val="0"/>
      <w:divBdr>
        <w:top w:val="none" w:sz="0" w:space="0" w:color="auto"/>
        <w:left w:val="none" w:sz="0" w:space="0" w:color="auto"/>
        <w:bottom w:val="none" w:sz="0" w:space="0" w:color="auto"/>
        <w:right w:val="none" w:sz="0" w:space="0" w:color="auto"/>
      </w:divBdr>
    </w:div>
    <w:div w:id="278921357">
      <w:bodyDiv w:val="1"/>
      <w:marLeft w:val="0"/>
      <w:marRight w:val="0"/>
      <w:marTop w:val="0"/>
      <w:marBottom w:val="0"/>
      <w:divBdr>
        <w:top w:val="none" w:sz="0" w:space="0" w:color="auto"/>
        <w:left w:val="none" w:sz="0" w:space="0" w:color="auto"/>
        <w:bottom w:val="none" w:sz="0" w:space="0" w:color="auto"/>
        <w:right w:val="none" w:sz="0" w:space="0" w:color="auto"/>
      </w:divBdr>
    </w:div>
    <w:div w:id="360010402">
      <w:bodyDiv w:val="1"/>
      <w:marLeft w:val="0"/>
      <w:marRight w:val="0"/>
      <w:marTop w:val="0"/>
      <w:marBottom w:val="0"/>
      <w:divBdr>
        <w:top w:val="none" w:sz="0" w:space="0" w:color="auto"/>
        <w:left w:val="none" w:sz="0" w:space="0" w:color="auto"/>
        <w:bottom w:val="none" w:sz="0" w:space="0" w:color="auto"/>
        <w:right w:val="none" w:sz="0" w:space="0" w:color="auto"/>
      </w:divBdr>
    </w:div>
    <w:div w:id="371079413">
      <w:bodyDiv w:val="1"/>
      <w:marLeft w:val="0"/>
      <w:marRight w:val="0"/>
      <w:marTop w:val="0"/>
      <w:marBottom w:val="0"/>
      <w:divBdr>
        <w:top w:val="none" w:sz="0" w:space="0" w:color="auto"/>
        <w:left w:val="none" w:sz="0" w:space="0" w:color="auto"/>
        <w:bottom w:val="none" w:sz="0" w:space="0" w:color="auto"/>
        <w:right w:val="none" w:sz="0" w:space="0" w:color="auto"/>
      </w:divBdr>
    </w:div>
    <w:div w:id="518544051">
      <w:bodyDiv w:val="1"/>
      <w:marLeft w:val="0"/>
      <w:marRight w:val="0"/>
      <w:marTop w:val="0"/>
      <w:marBottom w:val="0"/>
      <w:divBdr>
        <w:top w:val="none" w:sz="0" w:space="0" w:color="auto"/>
        <w:left w:val="none" w:sz="0" w:space="0" w:color="auto"/>
        <w:bottom w:val="none" w:sz="0" w:space="0" w:color="auto"/>
        <w:right w:val="none" w:sz="0" w:space="0" w:color="auto"/>
      </w:divBdr>
    </w:div>
    <w:div w:id="684208707">
      <w:bodyDiv w:val="1"/>
      <w:marLeft w:val="0"/>
      <w:marRight w:val="0"/>
      <w:marTop w:val="0"/>
      <w:marBottom w:val="0"/>
      <w:divBdr>
        <w:top w:val="none" w:sz="0" w:space="0" w:color="auto"/>
        <w:left w:val="none" w:sz="0" w:space="0" w:color="auto"/>
        <w:bottom w:val="none" w:sz="0" w:space="0" w:color="auto"/>
        <w:right w:val="none" w:sz="0" w:space="0" w:color="auto"/>
      </w:divBdr>
    </w:div>
    <w:div w:id="1100183844">
      <w:bodyDiv w:val="1"/>
      <w:marLeft w:val="0"/>
      <w:marRight w:val="0"/>
      <w:marTop w:val="0"/>
      <w:marBottom w:val="0"/>
      <w:divBdr>
        <w:top w:val="none" w:sz="0" w:space="0" w:color="auto"/>
        <w:left w:val="none" w:sz="0" w:space="0" w:color="auto"/>
        <w:bottom w:val="none" w:sz="0" w:space="0" w:color="auto"/>
        <w:right w:val="none" w:sz="0" w:space="0" w:color="auto"/>
      </w:divBdr>
    </w:div>
    <w:div w:id="1643996652">
      <w:bodyDiv w:val="1"/>
      <w:marLeft w:val="0"/>
      <w:marRight w:val="0"/>
      <w:marTop w:val="0"/>
      <w:marBottom w:val="0"/>
      <w:divBdr>
        <w:top w:val="none" w:sz="0" w:space="0" w:color="auto"/>
        <w:left w:val="none" w:sz="0" w:space="0" w:color="auto"/>
        <w:bottom w:val="none" w:sz="0" w:space="0" w:color="auto"/>
        <w:right w:val="none" w:sz="0" w:space="0" w:color="auto"/>
      </w:divBdr>
    </w:div>
    <w:div w:id="1690598237">
      <w:bodyDiv w:val="1"/>
      <w:marLeft w:val="0"/>
      <w:marRight w:val="0"/>
      <w:marTop w:val="0"/>
      <w:marBottom w:val="0"/>
      <w:divBdr>
        <w:top w:val="none" w:sz="0" w:space="0" w:color="auto"/>
        <w:left w:val="none" w:sz="0" w:space="0" w:color="auto"/>
        <w:bottom w:val="none" w:sz="0" w:space="0" w:color="auto"/>
        <w:right w:val="none" w:sz="0" w:space="0" w:color="auto"/>
      </w:divBdr>
    </w:div>
    <w:div w:id="184018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811C2-E378-46F1-B2FB-3C7D0DB94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619</Words>
  <Characters>3531</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2020-04-29T20:48:00Z</cp:lastPrinted>
  <dcterms:created xsi:type="dcterms:W3CDTF">2022-02-02T19:34:00Z</dcterms:created>
  <dcterms:modified xsi:type="dcterms:W3CDTF">2022-06-20T10:09:00Z</dcterms:modified>
</cp:coreProperties>
</file>