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839" w:rsidRPr="007A2839" w:rsidRDefault="007A2839" w:rsidP="007A2839">
      <w:pPr>
        <w:rPr>
          <w:rFonts w:ascii="Times New Roman" w:eastAsia="Times New Roman" w:hAnsi="Times New Roman" w:cs="Times New Roman"/>
          <w:b/>
          <w:sz w:val="28"/>
        </w:rPr>
      </w:pPr>
      <w:r w:rsidRPr="007A2839">
        <w:rPr>
          <w:rFonts w:ascii="Times New Roman" w:eastAsia="Times New Roman" w:hAnsi="Times New Roman" w:cs="Times New Roman"/>
          <w:b/>
          <w:sz w:val="28"/>
        </w:rPr>
        <w:t>Supplemental files</w:t>
      </w:r>
    </w:p>
    <w:p w:rsidR="007A2839" w:rsidRPr="007A2839" w:rsidRDefault="007A2839" w:rsidP="007A2839">
      <w:pPr>
        <w:rPr>
          <w:rFonts w:ascii="Times New Roman" w:eastAsia="Times New Roman" w:hAnsi="Times New Roman" w:cs="Times New Roman"/>
          <w:b/>
          <w:sz w:val="24"/>
        </w:rPr>
      </w:pPr>
      <w:r w:rsidRPr="007A2839">
        <w:rPr>
          <w:rFonts w:ascii="Times New Roman" w:eastAsia="Times New Roman" w:hAnsi="Times New Roman" w:cs="Times New Roman"/>
          <w:b/>
          <w:sz w:val="24"/>
        </w:rPr>
        <w:t>Figure A:</w:t>
      </w:r>
    </w:p>
    <w:p w:rsidR="007A2839" w:rsidRPr="007A2839" w:rsidRDefault="007A2839" w:rsidP="007A2839">
      <w:pPr>
        <w:rPr>
          <w:rFonts w:ascii="Times New Roman" w:eastAsia="Times New Roman" w:hAnsi="Times New Roman" w:cs="Times New Roman"/>
          <w:sz w:val="24"/>
        </w:rPr>
      </w:pPr>
      <w:r w:rsidRPr="007A2839">
        <w:rPr>
          <w:rFonts w:ascii="Times New Roman" w:eastAsia="Times New Roman" w:hAnsi="Times New Roman" w:cs="Times New Roman"/>
          <w:sz w:val="24"/>
        </w:rPr>
        <w:t xml:space="preserve">Schedule of </w:t>
      </w:r>
      <w:r w:rsidRPr="007A2839">
        <w:rPr>
          <w:rFonts w:ascii="Times New Roman" w:eastAsia="Times New Roman" w:hAnsi="Times New Roman" w:cs="Times New Roman"/>
          <w:sz w:val="24"/>
          <w:vertAlign w:val="superscript"/>
        </w:rPr>
        <w:t>18</w:t>
      </w:r>
      <w:r w:rsidRPr="007A2839">
        <w:rPr>
          <w:rFonts w:ascii="Times New Roman" w:eastAsia="Times New Roman" w:hAnsi="Times New Roman" w:cs="Times New Roman"/>
          <w:sz w:val="24"/>
        </w:rPr>
        <w:t>F-FDG PET/CT imaging in the present study:</w:t>
      </w:r>
    </w:p>
    <w:p w:rsidR="007A2839" w:rsidRPr="007A2839" w:rsidRDefault="007A2839" w:rsidP="007A2839">
      <w:pPr>
        <w:rPr>
          <w:rFonts w:ascii="Times New Roman" w:eastAsia="Times New Roman" w:hAnsi="Times New Roman" w:cs="Times New Roman"/>
          <w:sz w:val="24"/>
        </w:rPr>
      </w:pPr>
      <w:r w:rsidRPr="007A2839">
        <w:rPr>
          <w:rFonts w:ascii="Times New Roman" w:eastAsia="Times New Roman" w:hAnsi="Times New Roman" w:cs="Times New Roman"/>
          <w:sz w:val="24"/>
          <w:vertAlign w:val="superscript"/>
        </w:rPr>
        <w:t>18</w:t>
      </w:r>
      <w:r w:rsidRPr="007A2839">
        <w:rPr>
          <w:rFonts w:ascii="Times New Roman" w:eastAsia="Times New Roman" w:hAnsi="Times New Roman" w:cs="Times New Roman"/>
          <w:sz w:val="24"/>
        </w:rPr>
        <w:t xml:space="preserve">F-FDG PET/CT imaging at baseline is performed within 30 days of study registration. Second and third PETs are planned to be performed at 4 and 9 weeks after PD-1 blockade monotherapy. </w:t>
      </w:r>
    </w:p>
    <w:p w:rsidR="007A2839" w:rsidRPr="007A2839" w:rsidRDefault="007A2839" w:rsidP="007A2839">
      <w:pPr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7A2839" w:rsidRPr="007A2839" w:rsidRDefault="007A2839" w:rsidP="007A2839">
      <w:pPr>
        <w:rPr>
          <w:rFonts w:ascii="Times New Roman" w:eastAsia="Times New Roman" w:hAnsi="Times New Roman" w:cs="Times New Roman"/>
          <w:b/>
          <w:sz w:val="24"/>
        </w:rPr>
      </w:pPr>
      <w:r w:rsidRPr="007A2839">
        <w:rPr>
          <w:rFonts w:ascii="Times New Roman" w:eastAsia="Times New Roman" w:hAnsi="Times New Roman" w:cs="Times New Roman"/>
          <w:b/>
          <w:sz w:val="24"/>
        </w:rPr>
        <w:t>Figure B:</w:t>
      </w:r>
    </w:p>
    <w:p w:rsidR="007A2839" w:rsidRPr="007A2839" w:rsidRDefault="007A2839" w:rsidP="007A2839">
      <w:pPr>
        <w:rPr>
          <w:rFonts w:ascii="Times New Roman" w:eastAsia="Times New Roman" w:hAnsi="Times New Roman" w:cs="Times New Roman"/>
          <w:sz w:val="24"/>
        </w:rPr>
      </w:pPr>
      <w:r w:rsidRPr="007A2839">
        <w:rPr>
          <w:rFonts w:ascii="Times New Roman" w:eastAsia="Times New Roman" w:hAnsi="Times New Roman" w:cs="Times New Roman"/>
          <w:sz w:val="24"/>
        </w:rPr>
        <w:t>Progression-free survival (PFS) (B</w:t>
      </w:r>
      <w:r w:rsidRPr="007A2839">
        <w:rPr>
          <w:rFonts w:ascii="Times New Roman" w:eastAsia="Times New Roman" w:hAnsi="Times New Roman" w:cs="Times New Roman"/>
          <w:b/>
          <w:sz w:val="24"/>
        </w:rPr>
        <w:t>1</w:t>
      </w:r>
      <w:r w:rsidRPr="007A2839">
        <w:rPr>
          <w:rFonts w:ascii="Times New Roman" w:eastAsia="Times New Roman" w:hAnsi="Times New Roman" w:cs="Times New Roman"/>
          <w:sz w:val="24"/>
        </w:rPr>
        <w:t>) and overall survival (OS) (</w:t>
      </w:r>
      <w:r w:rsidRPr="007A2839">
        <w:rPr>
          <w:rFonts w:ascii="Times New Roman" w:eastAsia="Times New Roman" w:hAnsi="Times New Roman" w:cs="Times New Roman"/>
          <w:b/>
          <w:sz w:val="24"/>
        </w:rPr>
        <w:t>B2</w:t>
      </w:r>
      <w:r w:rsidRPr="007A2839">
        <w:rPr>
          <w:rFonts w:ascii="Times New Roman" w:eastAsia="Times New Roman" w:hAnsi="Times New Roman" w:cs="Times New Roman"/>
          <w:sz w:val="24"/>
        </w:rPr>
        <w:t xml:space="preserve">) according to objective response confirmed based on RECIST. </w:t>
      </w:r>
    </w:p>
    <w:p w:rsidR="007A2839" w:rsidRPr="007A2839" w:rsidRDefault="007A2839" w:rsidP="007A2839">
      <w:pPr>
        <w:rPr>
          <w:rFonts w:ascii="Times New Roman" w:eastAsia="Times New Roman" w:hAnsi="Times New Roman" w:cs="Times New Roman"/>
          <w:sz w:val="24"/>
        </w:rPr>
      </w:pPr>
      <w:r w:rsidRPr="007A2839">
        <w:rPr>
          <w:rFonts w:ascii="Times New Roman" w:eastAsia="Times New Roman" w:hAnsi="Times New Roman" w:cs="Times New Roman"/>
          <w:sz w:val="24"/>
        </w:rPr>
        <w:t xml:space="preserve">The median PFS and OS of PR, SD, and PD were 435, 168, and 65 days, respectively (PR vs. SD, </w:t>
      </w:r>
      <w:r w:rsidRPr="007A2839">
        <w:rPr>
          <w:rFonts w:ascii="Times New Roman" w:eastAsia="Times New Roman" w:hAnsi="Times New Roman" w:cs="Times New Roman"/>
          <w:i/>
          <w:sz w:val="24"/>
        </w:rPr>
        <w:t>p</w:t>
      </w:r>
      <w:r w:rsidRPr="007A2839">
        <w:rPr>
          <w:rFonts w:ascii="Times New Roman" w:eastAsia="Times New Roman" w:hAnsi="Times New Roman" w:cs="Times New Roman"/>
          <w:sz w:val="24"/>
        </w:rPr>
        <w:t xml:space="preserve">=0.029; SD vs. PD, </w:t>
      </w:r>
      <w:r w:rsidRPr="007A2839">
        <w:rPr>
          <w:rFonts w:ascii="Times New Roman" w:eastAsia="Times New Roman" w:hAnsi="Times New Roman" w:cs="Times New Roman"/>
          <w:i/>
          <w:sz w:val="24"/>
        </w:rPr>
        <w:t>p</w:t>
      </w:r>
      <w:r w:rsidRPr="007A2839">
        <w:rPr>
          <w:rFonts w:ascii="Times New Roman" w:eastAsia="Times New Roman" w:hAnsi="Times New Roman" w:cs="Times New Roman"/>
          <w:sz w:val="24"/>
        </w:rPr>
        <w:t xml:space="preserve">=0.001), and not reached, 305, and 282 days, respectively (PR vs. SD, </w:t>
      </w:r>
      <w:r w:rsidRPr="007A2839">
        <w:rPr>
          <w:rFonts w:ascii="Times New Roman" w:eastAsia="Times New Roman" w:hAnsi="Times New Roman" w:cs="Times New Roman"/>
          <w:i/>
          <w:sz w:val="24"/>
        </w:rPr>
        <w:t>p</w:t>
      </w:r>
      <w:r w:rsidRPr="007A2839">
        <w:rPr>
          <w:rFonts w:ascii="Times New Roman" w:eastAsia="Times New Roman" w:hAnsi="Times New Roman" w:cs="Times New Roman"/>
          <w:sz w:val="24"/>
        </w:rPr>
        <w:t xml:space="preserve">=0.004; SD vs. PD, </w:t>
      </w:r>
      <w:r w:rsidRPr="007A2839">
        <w:rPr>
          <w:rFonts w:ascii="Times New Roman" w:eastAsia="Times New Roman" w:hAnsi="Times New Roman" w:cs="Times New Roman"/>
          <w:i/>
          <w:sz w:val="24"/>
        </w:rPr>
        <w:t>p</w:t>
      </w:r>
      <w:r w:rsidRPr="007A2839">
        <w:rPr>
          <w:rFonts w:ascii="Times New Roman" w:eastAsia="Times New Roman" w:hAnsi="Times New Roman" w:cs="Times New Roman"/>
          <w:sz w:val="24"/>
        </w:rPr>
        <w:t xml:space="preserve">=0.276). </w:t>
      </w:r>
    </w:p>
    <w:p w:rsidR="007A2839" w:rsidRPr="007A2839" w:rsidRDefault="007A2839" w:rsidP="007A2839">
      <w:pPr>
        <w:rPr>
          <w:rFonts w:ascii="Times New Roman" w:hAnsi="Times New Roman" w:cs="Times New Roman"/>
          <w:sz w:val="24"/>
          <w:szCs w:val="24"/>
        </w:rPr>
      </w:pPr>
    </w:p>
    <w:p w:rsidR="007A2839" w:rsidRPr="007A2839" w:rsidRDefault="007A2839" w:rsidP="007A2839">
      <w:pPr>
        <w:rPr>
          <w:rFonts w:ascii="Times New Roman" w:hAnsi="Times New Roman" w:cs="Times New Roman"/>
          <w:b/>
          <w:sz w:val="24"/>
          <w:szCs w:val="24"/>
        </w:rPr>
      </w:pPr>
      <w:r w:rsidRPr="007A2839">
        <w:rPr>
          <w:rFonts w:ascii="Times New Roman" w:hAnsi="Times New Roman" w:cs="Times New Roman"/>
          <w:b/>
          <w:sz w:val="24"/>
          <w:szCs w:val="24"/>
        </w:rPr>
        <w:t xml:space="preserve">Figure C: </w:t>
      </w:r>
    </w:p>
    <w:p w:rsidR="007A2839" w:rsidRPr="007A2839" w:rsidRDefault="007A2839" w:rsidP="007A2839">
      <w:pPr>
        <w:rPr>
          <w:rFonts w:ascii="Times New Roman" w:hAnsi="Times New Roman" w:cs="Times New Roman"/>
          <w:sz w:val="24"/>
          <w:szCs w:val="24"/>
        </w:rPr>
      </w:pPr>
      <w:r w:rsidRPr="007A2839">
        <w:rPr>
          <w:rFonts w:ascii="Times New Roman" w:hAnsi="Times New Roman" w:cs="Times New Roman"/>
          <w:sz w:val="24"/>
          <w:szCs w:val="24"/>
        </w:rPr>
        <w:t xml:space="preserve">Concordance rate between Response by RECIST and </w:t>
      </w:r>
      <w:proofErr w:type="spellStart"/>
      <w:r w:rsidRPr="007A2839">
        <w:rPr>
          <w:rFonts w:ascii="Times New Roman" w:hAnsi="Times New Roman" w:cs="Times New Roman"/>
          <w:sz w:val="24"/>
          <w:szCs w:val="24"/>
        </w:rPr>
        <w:t>tumor</w:t>
      </w:r>
      <w:proofErr w:type="spellEnd"/>
      <w:r w:rsidRPr="007A2839">
        <w:rPr>
          <w:rFonts w:ascii="Times New Roman" w:hAnsi="Times New Roman" w:cs="Times New Roman"/>
          <w:sz w:val="24"/>
          <w:szCs w:val="24"/>
        </w:rPr>
        <w:t xml:space="preserve"> response at 4 weeks and 9 weeks after PD-1 blockade according to treatment lines and histological types; concordance rate at 4 weeks (C1) and 9 weeks (C2) in patients with adenocarcinoma, that at 4 weeks (C3) and 9 weeks (C4) in those with non-adenocarcinoma, that at 4 weeks (C5) and 9 weeks (C6) in those treated with first-line PD-1 blockade, and that at 4 weeks (C7) and 9 weeks (C8) in those receiving second-line or more PD-1 blockade. </w:t>
      </w:r>
    </w:p>
    <w:p w:rsidR="004F6068" w:rsidRPr="007A2839" w:rsidRDefault="004F6068"/>
    <w:sectPr w:rsidR="004F6068" w:rsidRPr="007A28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839"/>
    <w:rsid w:val="000112DC"/>
    <w:rsid w:val="0016092B"/>
    <w:rsid w:val="001F5BB8"/>
    <w:rsid w:val="001F60AB"/>
    <w:rsid w:val="0025714D"/>
    <w:rsid w:val="00264948"/>
    <w:rsid w:val="003408F4"/>
    <w:rsid w:val="003676EA"/>
    <w:rsid w:val="003E1631"/>
    <w:rsid w:val="003E4EBA"/>
    <w:rsid w:val="00420DF0"/>
    <w:rsid w:val="00423EB7"/>
    <w:rsid w:val="004F6068"/>
    <w:rsid w:val="00590E7A"/>
    <w:rsid w:val="00594214"/>
    <w:rsid w:val="005D0841"/>
    <w:rsid w:val="005E69C6"/>
    <w:rsid w:val="00620E56"/>
    <w:rsid w:val="00666FBB"/>
    <w:rsid w:val="006D0850"/>
    <w:rsid w:val="00757C05"/>
    <w:rsid w:val="00761667"/>
    <w:rsid w:val="007A2839"/>
    <w:rsid w:val="007D08CC"/>
    <w:rsid w:val="00831517"/>
    <w:rsid w:val="0086309C"/>
    <w:rsid w:val="008D13CD"/>
    <w:rsid w:val="008E37A5"/>
    <w:rsid w:val="009512D2"/>
    <w:rsid w:val="00964116"/>
    <w:rsid w:val="009708F4"/>
    <w:rsid w:val="009A2941"/>
    <w:rsid w:val="00A56A32"/>
    <w:rsid w:val="00A57F9E"/>
    <w:rsid w:val="00AC5A1F"/>
    <w:rsid w:val="00B03822"/>
    <w:rsid w:val="00B44D2A"/>
    <w:rsid w:val="00BA1A56"/>
    <w:rsid w:val="00BE2594"/>
    <w:rsid w:val="00C02485"/>
    <w:rsid w:val="00CB3847"/>
    <w:rsid w:val="00D35123"/>
    <w:rsid w:val="00D367F4"/>
    <w:rsid w:val="00DB4E2E"/>
    <w:rsid w:val="00DD3B37"/>
    <w:rsid w:val="00DF7D37"/>
    <w:rsid w:val="00EA06FF"/>
    <w:rsid w:val="00EA54D1"/>
    <w:rsid w:val="00EC6419"/>
    <w:rsid w:val="00F154AA"/>
    <w:rsid w:val="00F8632D"/>
    <w:rsid w:val="00FB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2CBF52-D874-4B6A-B107-DBB87AD7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968</Characters>
  <Application>Microsoft Office Word</Application>
  <DocSecurity>0</DocSecurity>
  <Lines>8</Lines>
  <Paragraphs>2</Paragraphs>
  <ScaleCrop>false</ScaleCrop>
  <Company>HP Inc.</Company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Jeevitha T.</dc:creator>
  <cp:keywords/>
  <dc:description/>
  <cp:lastModifiedBy>Jeevitha T.</cp:lastModifiedBy>
  <cp:revision>1</cp:revision>
  <dcterms:created xsi:type="dcterms:W3CDTF">2022-07-02T07:02:00Z</dcterms:created>
  <dcterms:modified xsi:type="dcterms:W3CDTF">2022-07-02T07:03:00Z</dcterms:modified>
</cp:coreProperties>
</file>