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A1EF" w14:textId="77777777" w:rsidR="006C2B28" w:rsidRPr="00A617AF" w:rsidRDefault="006C2B28" w:rsidP="006C2B28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347BA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1:</w:t>
      </w:r>
      <w:r w:rsidRPr="00347BA2">
        <w:rPr>
          <w:rFonts w:ascii="Times New Roman" w:hAnsi="Times New Roman" w:cs="Times New Roman"/>
          <w:sz w:val="24"/>
          <w:szCs w:val="24"/>
          <w:lang w:val="en-US"/>
        </w:rPr>
        <w:t xml:space="preserve"> modification of cognitive performance in patients treated with </w:t>
      </w:r>
      <w:proofErr w:type="spellStart"/>
      <w:r w:rsidRPr="00347BA2">
        <w:rPr>
          <w:rFonts w:ascii="Times New Roman" w:hAnsi="Times New Roman" w:cs="Times New Roman"/>
          <w:sz w:val="24"/>
          <w:szCs w:val="24"/>
          <w:lang w:val="en-US"/>
        </w:rPr>
        <w:t>AChEIs</w:t>
      </w:r>
      <w:proofErr w:type="spellEnd"/>
      <w:r w:rsidRPr="00347BA2">
        <w:rPr>
          <w:rFonts w:ascii="Times New Roman" w:hAnsi="Times New Roman" w:cs="Times New Roman"/>
          <w:sz w:val="24"/>
          <w:szCs w:val="24"/>
          <w:lang w:val="en-US"/>
        </w:rPr>
        <w:t xml:space="preserve"> in the first part of follow-up (T0-T4).  LOAD: Late onset Alzheimer’s disease; VD: Vascular Dementia.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0BA4CE7" w14:textId="77777777" w:rsidR="006C2B28" w:rsidRPr="00A617AF" w:rsidRDefault="006C2B28" w:rsidP="006C2B28">
      <w:pPr>
        <w:rPr>
          <w:rFonts w:ascii="Times New Roman" w:hAnsi="Times New Roman" w:cs="Times New Roman"/>
          <w:color w:val="FF000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08"/>
        <w:gridCol w:w="1426"/>
        <w:gridCol w:w="1257"/>
        <w:gridCol w:w="1257"/>
        <w:gridCol w:w="1257"/>
        <w:gridCol w:w="1257"/>
      </w:tblGrid>
      <w:tr w:rsidR="006C2B28" w:rsidRPr="00A617AF" w14:paraId="31BCDEB3" w14:textId="77777777" w:rsidTr="00B52631">
        <w:tc>
          <w:tcPr>
            <w:tcW w:w="1208" w:type="dxa"/>
          </w:tcPr>
          <w:p w14:paraId="46251628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Hlk69819871"/>
          </w:p>
        </w:tc>
        <w:tc>
          <w:tcPr>
            <w:tcW w:w="1426" w:type="dxa"/>
          </w:tcPr>
          <w:p w14:paraId="17CFC703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Cognitive performance</w:t>
            </w:r>
          </w:p>
          <w:p w14:paraId="191286B3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(MMSE)</w:t>
            </w:r>
          </w:p>
        </w:tc>
        <w:tc>
          <w:tcPr>
            <w:tcW w:w="1257" w:type="dxa"/>
          </w:tcPr>
          <w:p w14:paraId="76C634E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T0-T1</w:t>
            </w:r>
          </w:p>
          <w:p w14:paraId="2CE769E4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0-2)</w:t>
            </w:r>
          </w:p>
        </w:tc>
        <w:tc>
          <w:tcPr>
            <w:tcW w:w="1257" w:type="dxa"/>
          </w:tcPr>
          <w:p w14:paraId="44D614B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T1-T2</w:t>
            </w:r>
          </w:p>
          <w:p w14:paraId="63E47B01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2-4.1)</w:t>
            </w:r>
          </w:p>
        </w:tc>
        <w:tc>
          <w:tcPr>
            <w:tcW w:w="1257" w:type="dxa"/>
          </w:tcPr>
          <w:p w14:paraId="4F4FB1C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T2-T3</w:t>
            </w:r>
          </w:p>
          <w:p w14:paraId="3F62EB2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4.1-5.8)</w:t>
            </w:r>
          </w:p>
        </w:tc>
        <w:tc>
          <w:tcPr>
            <w:tcW w:w="1257" w:type="dxa"/>
          </w:tcPr>
          <w:p w14:paraId="50E490FC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T3-T4</w:t>
            </w:r>
          </w:p>
          <w:p w14:paraId="6B9AEE82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5.8-7.2)</w:t>
            </w:r>
          </w:p>
        </w:tc>
      </w:tr>
      <w:bookmarkEnd w:id="0"/>
      <w:tr w:rsidR="006C2B28" w:rsidRPr="00A617AF" w14:paraId="79A9A1A4" w14:textId="77777777" w:rsidTr="00B52631">
        <w:trPr>
          <w:trHeight w:val="547"/>
        </w:trPr>
        <w:tc>
          <w:tcPr>
            <w:tcW w:w="1208" w:type="dxa"/>
            <w:vMerge w:val="restart"/>
          </w:tcPr>
          <w:p w14:paraId="35B83B0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BDC971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LOAD</w:t>
            </w:r>
          </w:p>
        </w:tc>
        <w:tc>
          <w:tcPr>
            <w:tcW w:w="1426" w:type="dxa"/>
          </w:tcPr>
          <w:p w14:paraId="46E5F9F3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17AF">
              <w:rPr>
                <w:rFonts w:ascii="Times New Roman" w:hAnsi="Times New Roman" w:cs="Times New Roman"/>
                <w:b/>
                <w:bCs/>
              </w:rPr>
              <w:t>Improved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</w:rPr>
              <w:t xml:space="preserve"> or</w:t>
            </w:r>
          </w:p>
          <w:p w14:paraId="7FB2A987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17AF">
              <w:rPr>
                <w:rFonts w:ascii="Times New Roman" w:hAnsi="Times New Roman" w:cs="Times New Roman"/>
                <w:b/>
                <w:bCs/>
              </w:rPr>
              <w:t>Stable</w:t>
            </w:r>
            <w:proofErr w:type="spellEnd"/>
          </w:p>
        </w:tc>
        <w:tc>
          <w:tcPr>
            <w:tcW w:w="1257" w:type="dxa"/>
          </w:tcPr>
          <w:p w14:paraId="041EA079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1257" w:type="dxa"/>
          </w:tcPr>
          <w:p w14:paraId="25FF0253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257" w:type="dxa"/>
          </w:tcPr>
          <w:p w14:paraId="4308DEC1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1257" w:type="dxa"/>
          </w:tcPr>
          <w:p w14:paraId="46565938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60%</w:t>
            </w:r>
          </w:p>
        </w:tc>
      </w:tr>
      <w:tr w:rsidR="006C2B28" w:rsidRPr="00A617AF" w14:paraId="30E99567" w14:textId="77777777" w:rsidTr="00B52631">
        <w:tc>
          <w:tcPr>
            <w:tcW w:w="1208" w:type="dxa"/>
            <w:vMerge/>
          </w:tcPr>
          <w:p w14:paraId="7BAB0AC8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</w:tcPr>
          <w:p w14:paraId="6BC9A4BF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17AF">
              <w:rPr>
                <w:rFonts w:ascii="Times New Roman" w:hAnsi="Times New Roman" w:cs="Times New Roman"/>
                <w:b/>
                <w:bCs/>
              </w:rPr>
              <w:t>Worsened</w:t>
            </w:r>
            <w:proofErr w:type="spellEnd"/>
          </w:p>
        </w:tc>
        <w:tc>
          <w:tcPr>
            <w:tcW w:w="1257" w:type="dxa"/>
          </w:tcPr>
          <w:p w14:paraId="31C22A99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49%</w:t>
            </w:r>
          </w:p>
        </w:tc>
        <w:tc>
          <w:tcPr>
            <w:tcW w:w="1257" w:type="dxa"/>
          </w:tcPr>
          <w:p w14:paraId="00E9092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257" w:type="dxa"/>
          </w:tcPr>
          <w:p w14:paraId="070FC66D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257" w:type="dxa"/>
          </w:tcPr>
          <w:p w14:paraId="033C071D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40%</w:t>
            </w:r>
          </w:p>
        </w:tc>
      </w:tr>
      <w:tr w:rsidR="006C2B28" w:rsidRPr="00A617AF" w14:paraId="290C8796" w14:textId="77777777" w:rsidTr="00B52631">
        <w:tc>
          <w:tcPr>
            <w:tcW w:w="7662" w:type="dxa"/>
            <w:gridSpan w:val="6"/>
          </w:tcPr>
          <w:p w14:paraId="0C15528C" w14:textId="77777777" w:rsidR="006C2B28" w:rsidRPr="00A617AF" w:rsidRDefault="006C2B28" w:rsidP="00B52631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2B28" w:rsidRPr="00A617AF" w14:paraId="1655D2FF" w14:textId="77777777" w:rsidTr="00B52631">
        <w:tc>
          <w:tcPr>
            <w:tcW w:w="1208" w:type="dxa"/>
          </w:tcPr>
          <w:p w14:paraId="60BA4298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6" w:type="dxa"/>
          </w:tcPr>
          <w:p w14:paraId="6499B325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Cognitive performance</w:t>
            </w:r>
          </w:p>
          <w:p w14:paraId="777A8694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(MMSE)</w:t>
            </w:r>
          </w:p>
        </w:tc>
        <w:tc>
          <w:tcPr>
            <w:tcW w:w="1257" w:type="dxa"/>
          </w:tcPr>
          <w:p w14:paraId="3289CA7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T0-T1</w:t>
            </w:r>
          </w:p>
          <w:p w14:paraId="6B27E91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0-1.6)</w:t>
            </w:r>
          </w:p>
        </w:tc>
        <w:tc>
          <w:tcPr>
            <w:tcW w:w="1257" w:type="dxa"/>
          </w:tcPr>
          <w:p w14:paraId="7526700C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T1-T2</w:t>
            </w:r>
          </w:p>
          <w:p w14:paraId="5EA561E3" w14:textId="77777777" w:rsidR="006C2B28" w:rsidRPr="00A617AF" w:rsidRDefault="006C2B28" w:rsidP="00B5263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1.6- 2.3)</w:t>
            </w:r>
          </w:p>
        </w:tc>
        <w:tc>
          <w:tcPr>
            <w:tcW w:w="1257" w:type="dxa"/>
          </w:tcPr>
          <w:p w14:paraId="09A9201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T2-T3</w:t>
            </w:r>
          </w:p>
          <w:p w14:paraId="384148BB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2.3-3.2)</w:t>
            </w:r>
          </w:p>
        </w:tc>
        <w:tc>
          <w:tcPr>
            <w:tcW w:w="1257" w:type="dxa"/>
          </w:tcPr>
          <w:p w14:paraId="3B900C1E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T3-T4</w:t>
            </w:r>
          </w:p>
          <w:p w14:paraId="202DC11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years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3.2-4.1)</w:t>
            </w:r>
          </w:p>
        </w:tc>
      </w:tr>
      <w:tr w:rsidR="006C2B28" w:rsidRPr="00A617AF" w14:paraId="1C56F187" w14:textId="77777777" w:rsidTr="00B52631">
        <w:trPr>
          <w:trHeight w:val="547"/>
        </w:trPr>
        <w:tc>
          <w:tcPr>
            <w:tcW w:w="1208" w:type="dxa"/>
            <w:vMerge w:val="restart"/>
          </w:tcPr>
          <w:p w14:paraId="758C3E3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3C1CC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7AF">
              <w:rPr>
                <w:rFonts w:ascii="Times New Roman" w:hAnsi="Times New Roman" w:cs="Times New Roman"/>
                <w:b/>
                <w:bCs/>
              </w:rPr>
              <w:t>VD</w:t>
            </w:r>
          </w:p>
        </w:tc>
        <w:tc>
          <w:tcPr>
            <w:tcW w:w="1426" w:type="dxa"/>
          </w:tcPr>
          <w:p w14:paraId="3D27B7F5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17AF">
              <w:rPr>
                <w:rFonts w:ascii="Times New Roman" w:hAnsi="Times New Roman" w:cs="Times New Roman"/>
                <w:b/>
                <w:bCs/>
              </w:rPr>
              <w:t>Improved</w:t>
            </w:r>
            <w:proofErr w:type="spellEnd"/>
            <w:r w:rsidRPr="00A617AF">
              <w:rPr>
                <w:rFonts w:ascii="Times New Roman" w:hAnsi="Times New Roman" w:cs="Times New Roman"/>
                <w:b/>
                <w:bCs/>
              </w:rPr>
              <w:t xml:space="preserve"> or</w:t>
            </w:r>
          </w:p>
          <w:p w14:paraId="37C91369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17AF">
              <w:rPr>
                <w:rFonts w:ascii="Times New Roman" w:hAnsi="Times New Roman" w:cs="Times New Roman"/>
                <w:b/>
                <w:bCs/>
              </w:rPr>
              <w:t>Stable</w:t>
            </w:r>
            <w:proofErr w:type="spellEnd"/>
          </w:p>
        </w:tc>
        <w:tc>
          <w:tcPr>
            <w:tcW w:w="1257" w:type="dxa"/>
          </w:tcPr>
          <w:p w14:paraId="37FA8214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257" w:type="dxa"/>
          </w:tcPr>
          <w:p w14:paraId="205D186D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257" w:type="dxa"/>
          </w:tcPr>
          <w:p w14:paraId="2E7EDB4D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257" w:type="dxa"/>
          </w:tcPr>
          <w:p w14:paraId="53AFDA4F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49%</w:t>
            </w:r>
          </w:p>
        </w:tc>
      </w:tr>
      <w:tr w:rsidR="006C2B28" w:rsidRPr="00A617AF" w14:paraId="003E312B" w14:textId="77777777" w:rsidTr="00B52631">
        <w:tc>
          <w:tcPr>
            <w:tcW w:w="1208" w:type="dxa"/>
            <w:vMerge/>
          </w:tcPr>
          <w:p w14:paraId="4E7C7FF0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14:paraId="1945075C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17AF">
              <w:rPr>
                <w:rFonts w:ascii="Times New Roman" w:hAnsi="Times New Roman" w:cs="Times New Roman"/>
                <w:b/>
                <w:bCs/>
              </w:rPr>
              <w:t>Worsened</w:t>
            </w:r>
            <w:proofErr w:type="spellEnd"/>
          </w:p>
        </w:tc>
        <w:tc>
          <w:tcPr>
            <w:tcW w:w="1257" w:type="dxa"/>
          </w:tcPr>
          <w:p w14:paraId="083820DA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257" w:type="dxa"/>
          </w:tcPr>
          <w:p w14:paraId="6C510929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257" w:type="dxa"/>
          </w:tcPr>
          <w:p w14:paraId="7BD94C0C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257" w:type="dxa"/>
          </w:tcPr>
          <w:p w14:paraId="5A4766C3" w14:textId="77777777" w:rsidR="006C2B28" w:rsidRPr="00A617AF" w:rsidRDefault="006C2B28" w:rsidP="00B5263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17AF">
              <w:rPr>
                <w:rFonts w:ascii="Times New Roman" w:hAnsi="Times New Roman" w:cs="Times New Roman"/>
              </w:rPr>
              <w:t>51%</w:t>
            </w:r>
          </w:p>
        </w:tc>
      </w:tr>
    </w:tbl>
    <w:p w14:paraId="6CF0E86E" w14:textId="77777777" w:rsidR="006C2B28" w:rsidRDefault="006C2B28" w:rsidP="006C2B28">
      <w:pPr>
        <w:rPr>
          <w:rFonts w:ascii="Times New Roman" w:hAnsi="Times New Roman" w:cs="Times New Roman"/>
          <w:color w:val="FF0000"/>
        </w:rPr>
      </w:pPr>
    </w:p>
    <w:p w14:paraId="1625E1D9" w14:textId="77777777" w:rsidR="00556CAF" w:rsidRDefault="00556CAF"/>
    <w:sectPr w:rsidR="00556CA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AF"/>
    <w:rsid w:val="00556CAF"/>
    <w:rsid w:val="006C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0022E-79CB-43F0-AA44-6CBE3483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2B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C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Zuin</dc:creator>
  <cp:keywords/>
  <dc:description/>
  <cp:lastModifiedBy>Marco Zuin</cp:lastModifiedBy>
  <cp:revision>2</cp:revision>
  <dcterms:created xsi:type="dcterms:W3CDTF">2021-05-19T16:09:00Z</dcterms:created>
  <dcterms:modified xsi:type="dcterms:W3CDTF">2021-05-19T16:09:00Z</dcterms:modified>
</cp:coreProperties>
</file>