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F68A2" w14:textId="4800FA03" w:rsidR="001E6A1B" w:rsidRPr="00E76877" w:rsidRDefault="00FA499B" w:rsidP="00A915CD">
      <w:pPr>
        <w:spacing w:line="480" w:lineRule="auto"/>
        <w:rPr>
          <w:rFonts w:ascii="Calibri" w:eastAsia="Calibri" w:hAnsi="Calibri" w:cs="Calibri"/>
          <w:b/>
          <w:bCs/>
          <w:iCs/>
          <w:sz w:val="28"/>
          <w:szCs w:val="24"/>
        </w:rPr>
      </w:pPr>
      <w:bookmarkStart w:id="0" w:name="_GoBack"/>
      <w:bookmarkEnd w:id="0"/>
      <w:r w:rsidRPr="00E76877">
        <w:rPr>
          <w:rFonts w:ascii="Calibri" w:eastAsia="Calibri" w:hAnsi="Calibri" w:cs="Calibri"/>
          <w:b/>
          <w:bCs/>
          <w:iCs/>
          <w:sz w:val="28"/>
          <w:szCs w:val="24"/>
        </w:rPr>
        <w:t>Supplementary material</w:t>
      </w:r>
    </w:p>
    <w:p w14:paraId="4891E2A7" w14:textId="189462CF" w:rsidR="00A915CD" w:rsidRPr="00E76877" w:rsidRDefault="00FA499B" w:rsidP="00A915CD">
      <w:pPr>
        <w:spacing w:line="480" w:lineRule="auto"/>
        <w:rPr>
          <w:rFonts w:ascii="Calibri" w:eastAsia="Calibri" w:hAnsi="Calibri" w:cs="Calibri"/>
          <w:b/>
          <w:bCs/>
          <w:iCs/>
          <w:sz w:val="28"/>
          <w:szCs w:val="24"/>
        </w:rPr>
      </w:pPr>
      <w:r w:rsidRPr="00E76877">
        <w:rPr>
          <w:rFonts w:ascii="Calibri" w:eastAsia="Calibri" w:hAnsi="Calibri" w:cs="Calibri"/>
          <w:b/>
          <w:bCs/>
          <w:iCs/>
          <w:sz w:val="28"/>
          <w:szCs w:val="24"/>
        </w:rPr>
        <w:t>Supplementary material S1</w:t>
      </w:r>
    </w:p>
    <w:p w14:paraId="1FB0F03E" w14:textId="3B6CC91A" w:rsidR="00A915CD" w:rsidRPr="00E76877" w:rsidRDefault="00FA499B" w:rsidP="00A915CD">
      <w:pPr>
        <w:spacing w:line="480" w:lineRule="auto"/>
        <w:rPr>
          <w:b/>
          <w:bCs/>
          <w:sz w:val="24"/>
          <w:szCs w:val="24"/>
        </w:rPr>
      </w:pPr>
      <w:r w:rsidRPr="00E76877">
        <w:rPr>
          <w:b/>
          <w:bCs/>
          <w:sz w:val="24"/>
          <w:szCs w:val="24"/>
        </w:rPr>
        <w:t>Detailed results from immunohistochemical examination of the biopsies</w:t>
      </w:r>
    </w:p>
    <w:p w14:paraId="008575BA" w14:textId="49038C53" w:rsidR="00F17253" w:rsidRPr="00E76877" w:rsidRDefault="00FA499B" w:rsidP="00F466DA">
      <w:pPr>
        <w:spacing w:after="0" w:line="480" w:lineRule="auto"/>
        <w:contextualSpacing/>
        <w:rPr>
          <w:rFonts w:cstheme="minorHAnsi"/>
          <w:sz w:val="24"/>
          <w:szCs w:val="24"/>
        </w:rPr>
      </w:pPr>
      <w:r w:rsidRPr="00E76877">
        <w:rPr>
          <w:rFonts w:cstheme="minorHAnsi"/>
          <w:sz w:val="24"/>
          <w:szCs w:val="24"/>
        </w:rPr>
        <w:t xml:space="preserve">As an additional diagnostic tool, immunohistochemistry was included in the present study. Five patients were reclassified from CD to the control group due to difficulties in </w:t>
      </w:r>
      <w:r w:rsidRPr="00E76877">
        <w:rPr>
          <w:rFonts w:ascii="Calibri" w:eastAsia="Calibri" w:hAnsi="Calibri" w:cs="Calibri"/>
          <w:sz w:val="24"/>
          <w:szCs w:val="24"/>
        </w:rPr>
        <w:t xml:space="preserve">interpreting </w:t>
      </w:r>
      <w:r w:rsidRPr="00E76877">
        <w:rPr>
          <w:rFonts w:cstheme="minorHAnsi"/>
          <w:sz w:val="24"/>
          <w:szCs w:val="24"/>
        </w:rPr>
        <w:t>the bulbar biopsies</w:t>
      </w:r>
      <w:r w:rsidRPr="00E76877">
        <w:rPr>
          <w:rFonts w:ascii="Calibri" w:eastAsia="Calibri" w:hAnsi="Calibri" w:cs="Calibr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as the </w:t>
      </w:r>
      <w:r w:rsidRPr="00E76877">
        <w:rPr>
          <w:rFonts w:ascii="Calibri" w:eastAsia="Calibri" w:hAnsi="Calibri" w:cs="Calibri"/>
          <w:sz w:val="24"/>
          <w:szCs w:val="24"/>
        </w:rPr>
        <w:t>accompanying</w:t>
      </w:r>
      <w:r w:rsidRPr="00E76877">
        <w:rPr>
          <w:rFonts w:cstheme="minorHAnsi"/>
          <w:sz w:val="24"/>
          <w:szCs w:val="24"/>
        </w:rPr>
        <w:t xml:space="preserve"> duodenal biopsies did not have intestinal lymphocytosis or increased intraepithelial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Pr="00E76877">
        <w:rPr>
          <w:rFonts w:cstheme="minorHAnsi"/>
          <w:sz w:val="24"/>
          <w:szCs w:val="24"/>
        </w:rPr>
        <w:t>+ T cell densities. Five additional participants with intestinal lymphocytosis (Mars-Oberhuber grade 1 lesion) without increased intraepithelial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Pr="00E76877">
        <w:rPr>
          <w:rFonts w:cstheme="minorHAnsi"/>
          <w:sz w:val="24"/>
          <w:szCs w:val="24"/>
        </w:rPr>
        <w:t>+ T cell densities (median &lt;1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Pr="00E76877">
        <w:rPr>
          <w:rFonts w:cstheme="minorHAnsi"/>
          <w:sz w:val="24"/>
          <w:szCs w:val="24"/>
        </w:rPr>
        <w:t>+ T cells pr. 100 epithelial cells, range 0.27-2.6) who had increased serum DGP-IgG (mean</w:t>
      </w:r>
      <w:r w:rsidR="009E179D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12</w:t>
      </w:r>
      <w:r w:rsidR="009E179D" w:rsidRPr="00E76877">
        <w:rPr>
          <w:rFonts w:cstheme="minorHAnsi"/>
          <w:sz w:val="24"/>
          <w:szCs w:val="24"/>
        </w:rPr>
        <w:t>;</w:t>
      </w:r>
      <w:r w:rsidRPr="00E76877">
        <w:rPr>
          <w:rFonts w:cstheme="minorHAnsi"/>
          <w:sz w:val="24"/>
          <w:szCs w:val="24"/>
        </w:rPr>
        <w:t xml:space="preserve"> range</w:t>
      </w:r>
      <w:r w:rsidR="009E179D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7.3-18 U/ml) but not TG2-IgA titers (&lt;1.0 U/ml), were classified as controls.</w:t>
      </w:r>
    </w:p>
    <w:p w14:paraId="0F2DDA0E" w14:textId="4552A4EB" w:rsidR="00394AF6" w:rsidRPr="00E76877" w:rsidRDefault="00FA499B" w:rsidP="00394AF6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  <w:r w:rsidRPr="00E76877">
        <w:rPr>
          <w:rFonts w:cstheme="minorHAnsi"/>
          <w:sz w:val="24"/>
          <w:szCs w:val="24"/>
        </w:rPr>
        <w:t>Eight HLA-DQ2.5</w:t>
      </w:r>
      <w:r w:rsidRPr="00E76877">
        <w:rPr>
          <w:rFonts w:ascii="Calibri" w:eastAsia="Calibri" w:hAnsi="Calibri" w:cs="Calibri"/>
          <w:sz w:val="24"/>
          <w:szCs w:val="24"/>
        </w:rPr>
        <w:t>-</w:t>
      </w:r>
      <w:r w:rsidRPr="00E76877">
        <w:rPr>
          <w:rFonts w:cstheme="minorHAnsi"/>
          <w:sz w:val="24"/>
          <w:szCs w:val="24"/>
        </w:rPr>
        <w:t xml:space="preserve"> and/or DQ8</w:t>
      </w:r>
      <w:r w:rsidRPr="00E76877">
        <w:rPr>
          <w:rFonts w:ascii="Calibri" w:eastAsia="Calibri" w:hAnsi="Calibri" w:cs="Calibri"/>
          <w:sz w:val="24"/>
          <w:szCs w:val="24"/>
        </w:rPr>
        <w:t>-</w:t>
      </w:r>
      <w:r w:rsidRPr="00E76877">
        <w:rPr>
          <w:rFonts w:cstheme="minorHAnsi"/>
          <w:sz w:val="24"/>
          <w:szCs w:val="24"/>
        </w:rPr>
        <w:t>positive participants who had increased DGP-IgG (n=7, median</w:t>
      </w:r>
      <w:r w:rsidR="00A06E35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11 U/ml</w:t>
      </w:r>
      <w:r w:rsidR="00A06E35" w:rsidRPr="00E76877">
        <w:rPr>
          <w:rFonts w:cstheme="minorHAnsi"/>
          <w:sz w:val="24"/>
          <w:szCs w:val="24"/>
        </w:rPr>
        <w:t>;</w:t>
      </w:r>
      <w:r w:rsidRPr="00E76877">
        <w:rPr>
          <w:rFonts w:cstheme="minorHAnsi"/>
          <w:sz w:val="24"/>
          <w:szCs w:val="24"/>
        </w:rPr>
        <w:t xml:space="preserve"> range</w:t>
      </w:r>
      <w:r w:rsidR="00A06E35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6.2-48) and (n=7)/or (n=1) increased TG2-IgA on inclusion (median</w:t>
      </w:r>
      <w:r w:rsidR="00A06E35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14.5 U/ml</w:t>
      </w:r>
      <w:r w:rsidR="00A06E35" w:rsidRPr="00E76877">
        <w:rPr>
          <w:rFonts w:cstheme="minorHAnsi"/>
          <w:sz w:val="24"/>
          <w:szCs w:val="24"/>
        </w:rPr>
        <w:t>;</w:t>
      </w:r>
      <w:r w:rsidRPr="00E76877">
        <w:rPr>
          <w:rFonts w:cstheme="minorHAnsi"/>
          <w:sz w:val="24"/>
          <w:szCs w:val="24"/>
        </w:rPr>
        <w:t xml:space="preserve"> range</w:t>
      </w:r>
      <w:r w:rsidR="00A06E35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4.1-82 U/ml) or on the day of attending gastroduodenoscopy (median</w:t>
      </w:r>
      <w:r w:rsidR="00A06E35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7 U/ml</w:t>
      </w:r>
      <w:r w:rsidR="00A06E35" w:rsidRPr="00E76877">
        <w:rPr>
          <w:rFonts w:cstheme="minorHAnsi"/>
          <w:sz w:val="24"/>
          <w:szCs w:val="24"/>
        </w:rPr>
        <w:t>;</w:t>
      </w:r>
      <w:r w:rsidRPr="00E76877">
        <w:rPr>
          <w:rFonts w:cstheme="minorHAnsi"/>
          <w:sz w:val="24"/>
          <w:szCs w:val="24"/>
        </w:rPr>
        <w:t xml:space="preserve"> range</w:t>
      </w:r>
      <w:r w:rsidR="00A06E35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0.6-73 U/ml), were classified as potential CD as the duodenal cryosection revealed &gt;20 intraepithelial CD3+ T cells pr. 100 epithelial cells (median</w:t>
      </w:r>
      <w:r w:rsidR="00FE15FD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31</w:t>
      </w:r>
      <w:r w:rsidR="00FE15FD" w:rsidRPr="00E76877">
        <w:rPr>
          <w:rFonts w:cstheme="minorHAnsi"/>
          <w:sz w:val="24"/>
          <w:szCs w:val="24"/>
        </w:rPr>
        <w:t>;</w:t>
      </w:r>
      <w:r w:rsidRPr="00E76877">
        <w:rPr>
          <w:rFonts w:cstheme="minorHAnsi"/>
          <w:sz w:val="24"/>
          <w:szCs w:val="24"/>
        </w:rPr>
        <w:t xml:space="preserve"> range</w:t>
      </w:r>
      <w:r w:rsidR="00FE15FD" w:rsidRPr="00E76877">
        <w:rPr>
          <w:rFonts w:cstheme="minorHAnsi"/>
          <w:sz w:val="24"/>
          <w:szCs w:val="24"/>
        </w:rPr>
        <w:t>,</w:t>
      </w:r>
      <w:r w:rsidRPr="00E76877">
        <w:rPr>
          <w:rFonts w:cstheme="minorHAnsi"/>
          <w:sz w:val="24"/>
          <w:szCs w:val="24"/>
        </w:rPr>
        <w:t xml:space="preserve"> 21-38; Mars-Oberhuber grade 0-1 lesion) and &gt;4.5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="00F17253" w:rsidRPr="00E76877">
        <w:rPr>
          <w:rFonts w:cstheme="minorHAnsi"/>
          <w:sz w:val="24"/>
          <w:szCs w:val="24"/>
        </w:rPr>
        <w:t>+ intraepithelial T cells pr. 100 epithelial cells (median</w:t>
      </w:r>
      <w:r w:rsidR="000A6C04" w:rsidRPr="00E76877">
        <w:rPr>
          <w:rFonts w:cstheme="minorHAnsi"/>
          <w:sz w:val="24"/>
          <w:szCs w:val="24"/>
        </w:rPr>
        <w:t>,</w:t>
      </w:r>
      <w:r w:rsidR="00F17253" w:rsidRPr="00E76877">
        <w:rPr>
          <w:rFonts w:cstheme="minorHAnsi"/>
          <w:sz w:val="24"/>
          <w:szCs w:val="24"/>
        </w:rPr>
        <w:t xml:space="preserve"> 9</w:t>
      </w:r>
      <w:r w:rsidR="000A6C04" w:rsidRPr="00E76877">
        <w:rPr>
          <w:rFonts w:cstheme="minorHAnsi"/>
          <w:sz w:val="24"/>
          <w:szCs w:val="24"/>
        </w:rPr>
        <w:t>;</w:t>
      </w:r>
      <w:r w:rsidR="00F17253" w:rsidRPr="00E76877">
        <w:rPr>
          <w:rFonts w:cstheme="minorHAnsi"/>
          <w:sz w:val="24"/>
          <w:szCs w:val="24"/>
        </w:rPr>
        <w:t xml:space="preserve"> range</w:t>
      </w:r>
      <w:r w:rsidR="000A6C04" w:rsidRPr="00E76877">
        <w:rPr>
          <w:rFonts w:cstheme="minorHAnsi"/>
          <w:sz w:val="24"/>
          <w:szCs w:val="24"/>
        </w:rPr>
        <w:t>,</w:t>
      </w:r>
      <w:r w:rsidR="00F17253" w:rsidRPr="00E76877">
        <w:rPr>
          <w:rFonts w:cstheme="minorHAnsi"/>
          <w:sz w:val="24"/>
          <w:szCs w:val="24"/>
        </w:rPr>
        <w:t xml:space="preserve"> 6-16) (Table 4)</w:t>
      </w:r>
      <w:r w:rsidRPr="00E76877">
        <w:rPr>
          <w:rFonts w:cstheme="minorHAnsi"/>
          <w:sz w:val="24"/>
          <w:szCs w:val="24"/>
        </w:rPr>
        <w:t>. Six of these participants had additional mucosal IgA-TG2 immune complexes (1+) but no crypt cell hyperplasia.</w:t>
      </w:r>
    </w:p>
    <w:p w14:paraId="5A9C9AA2" w14:textId="0B2050A8" w:rsidR="00F466DA" w:rsidRPr="00E76877" w:rsidRDefault="00FA499B" w:rsidP="00394AF6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  <w:r w:rsidRPr="00E76877">
        <w:rPr>
          <w:rFonts w:cstheme="minorHAnsi"/>
          <w:sz w:val="24"/>
          <w:szCs w:val="24"/>
        </w:rPr>
        <w:t>One patient was reclassified from control to CD due to epithelial lymphocytosis with increased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Pr="00E76877">
        <w:rPr>
          <w:rFonts w:cstheme="minorHAnsi"/>
          <w:sz w:val="24"/>
          <w:szCs w:val="24"/>
        </w:rPr>
        <w:t>+ T cell density, submucosal IgA-TG2 immune complexes, and crypt cell hyperplasia (Mars-Oberhuber grade 2) in the duodenal cryosection.</w:t>
      </w:r>
      <w:r w:rsidRPr="00E76877">
        <w:rPr>
          <w:rFonts w:ascii="Calibri" w:eastAsia="Calibri" w:hAnsi="Calibri" w:cs="Calibri"/>
          <w:sz w:val="24"/>
          <w:szCs w:val="24"/>
        </w:rPr>
        <w:t xml:space="preserve"> </w:t>
      </w:r>
      <w:r w:rsidRPr="00E76877">
        <w:rPr>
          <w:rFonts w:cstheme="minorHAnsi"/>
          <w:sz w:val="24"/>
          <w:szCs w:val="24"/>
        </w:rPr>
        <w:t>Only one CD patient did not have increased intraepithelial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Pr="00E76877">
        <w:rPr>
          <w:rFonts w:cstheme="minorHAnsi"/>
          <w:sz w:val="24"/>
          <w:szCs w:val="24"/>
        </w:rPr>
        <w:t>+ T cell density. This patient had</w:t>
      </w:r>
      <w:r w:rsidRPr="00E76877">
        <w:rPr>
          <w:rFonts w:ascii="Calibri" w:eastAsia="Calibri" w:hAnsi="Calibri" w:cs="Calibri"/>
          <w:sz w:val="24"/>
          <w:szCs w:val="24"/>
        </w:rPr>
        <w:t xml:space="preserve"> a</w:t>
      </w:r>
      <w:r w:rsidRPr="00E76877">
        <w:rPr>
          <w:rFonts w:cstheme="minorHAnsi"/>
          <w:sz w:val="24"/>
          <w:szCs w:val="24"/>
        </w:rPr>
        <w:t xml:space="preserve"> high serum TG2-</w:t>
      </w:r>
      <w:r w:rsidRPr="00E76877">
        <w:rPr>
          <w:rFonts w:cstheme="minorHAnsi"/>
          <w:sz w:val="24"/>
          <w:szCs w:val="24"/>
        </w:rPr>
        <w:lastRenderedPageBreak/>
        <w:t>IgA titer (128 U/ml), submucosal IgA-TG2 immune complexes (3+), severe intraepithelial lymphocytosis (51 intraepithelial T cells pr. 100 epithelial cells) and duodenal Mars-Oberhuber grade 3b lesion, but only 6% intraepithelial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Pr="00E76877">
        <w:rPr>
          <w:rFonts w:cstheme="minorHAnsi"/>
          <w:sz w:val="24"/>
          <w:szCs w:val="24"/>
        </w:rPr>
        <w:t>+ T cells (3.06 TCR</w:t>
      </w:r>
      <w:r w:rsidRPr="00E76877">
        <w:rPr>
          <w:rFonts w:ascii="Symbol" w:hAnsi="Symbol" w:cstheme="minorHAnsi"/>
          <w:sz w:val="24"/>
          <w:szCs w:val="24"/>
        </w:rPr>
        <w:sym w:font="Symbol" w:char="F067"/>
      </w:r>
      <w:r w:rsidRPr="00E76877">
        <w:rPr>
          <w:rFonts w:ascii="Symbol" w:hAnsi="Symbol" w:cstheme="minorHAnsi"/>
          <w:sz w:val="24"/>
          <w:szCs w:val="24"/>
        </w:rPr>
        <w:sym w:font="Symbol" w:char="F02F"/>
      </w:r>
      <w:r w:rsidRPr="00E76877">
        <w:rPr>
          <w:rFonts w:ascii="Symbol" w:hAnsi="Symbol" w:cstheme="minorHAnsi"/>
          <w:sz w:val="24"/>
          <w:szCs w:val="24"/>
        </w:rPr>
        <w:sym w:font="Symbol" w:char="F064"/>
      </w:r>
      <w:r w:rsidRPr="00E76877">
        <w:rPr>
          <w:rFonts w:cstheme="minorHAnsi"/>
          <w:sz w:val="24"/>
          <w:szCs w:val="24"/>
        </w:rPr>
        <w:t>+ pr. 100 epithelial cells).</w:t>
      </w:r>
    </w:p>
    <w:p w14:paraId="2491D063" w14:textId="77777777" w:rsidR="00F466DA" w:rsidRPr="00E76877" w:rsidRDefault="00F466DA" w:rsidP="00F466DA">
      <w:pPr>
        <w:spacing w:after="0" w:line="480" w:lineRule="auto"/>
        <w:contextualSpacing/>
        <w:rPr>
          <w:rFonts w:cstheme="minorHAnsi"/>
          <w:sz w:val="24"/>
          <w:szCs w:val="24"/>
        </w:rPr>
      </w:pPr>
    </w:p>
    <w:p w14:paraId="7CEB72F3" w14:textId="0A29DF4A" w:rsidR="00A50C61" w:rsidRPr="00E76877" w:rsidRDefault="00FA499B" w:rsidP="00E76877">
      <w:pPr>
        <w:spacing w:after="0" w:line="276" w:lineRule="auto"/>
        <w:contextualSpacing/>
      </w:pPr>
      <w:r w:rsidRPr="00E76877">
        <w:rPr>
          <w:rFonts w:eastAsia="Times New Roman" w:cstheme="minorHAnsi"/>
          <w:b/>
          <w:bCs/>
          <w:sz w:val="24"/>
          <w:szCs w:val="24"/>
          <w:lang w:eastAsia="nb-NO"/>
        </w:rPr>
        <w:t xml:space="preserve">Table </w:t>
      </w:r>
      <w:r w:rsidR="00F7253E" w:rsidRPr="00E76877">
        <w:rPr>
          <w:rFonts w:eastAsia="Times New Roman" w:cstheme="minorHAnsi"/>
          <w:b/>
          <w:bCs/>
          <w:sz w:val="24"/>
          <w:szCs w:val="24"/>
          <w:lang w:eastAsia="nb-NO"/>
        </w:rPr>
        <w:t>4</w:t>
      </w:r>
      <w:r w:rsidR="003872AD" w:rsidRPr="00E76877">
        <w:rPr>
          <w:rFonts w:eastAsia="Times New Roman" w:cstheme="minorHAnsi"/>
          <w:b/>
          <w:bCs/>
          <w:sz w:val="24"/>
          <w:szCs w:val="24"/>
          <w:lang w:eastAsia="nb-NO"/>
        </w:rPr>
        <w:t>.</w:t>
      </w:r>
      <w:r w:rsidRPr="00E76877">
        <w:rPr>
          <w:rFonts w:eastAsia="Times New Roman" w:cstheme="minorHAnsi"/>
          <w:b/>
          <w:bCs/>
          <w:sz w:val="24"/>
          <w:szCs w:val="24"/>
          <w:lang w:eastAsia="nb-NO"/>
        </w:rPr>
        <w:t xml:space="preserve"> </w:t>
      </w:r>
      <w:r w:rsidR="00BA1E71" w:rsidRPr="00E76877">
        <w:rPr>
          <w:rFonts w:eastAsia="Times New Roman" w:cstheme="minorHAnsi"/>
          <w:b/>
          <w:bCs/>
          <w:sz w:val="24"/>
          <w:szCs w:val="24"/>
          <w:lang w:eastAsia="nb-NO"/>
        </w:rPr>
        <w:t>Detailed diagnostic information about the participants (n=8) diagnosed with potential celiac disease</w:t>
      </w:r>
      <w:r w:rsidR="003872AD" w:rsidRPr="00E76877">
        <w:rPr>
          <w:rFonts w:eastAsia="Times New Roman" w:cstheme="minorHAnsi"/>
          <w:b/>
          <w:bCs/>
          <w:sz w:val="24"/>
          <w:szCs w:val="24"/>
          <w:lang w:eastAsia="nb-NO"/>
        </w:rPr>
        <w:t>.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134"/>
        <w:gridCol w:w="1134"/>
        <w:gridCol w:w="1417"/>
        <w:gridCol w:w="992"/>
        <w:gridCol w:w="993"/>
        <w:gridCol w:w="1275"/>
      </w:tblGrid>
      <w:tr w:rsidR="00E76877" w:rsidRPr="00E76877" w14:paraId="63CC323A" w14:textId="77777777" w:rsidTr="006C0113">
        <w:trPr>
          <w:trHeight w:val="960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B903745" w14:textId="06B9E3A6" w:rsidR="00F466DA" w:rsidRPr="00E76877" w:rsidRDefault="00FA499B" w:rsidP="00394AF6">
            <w:pPr>
              <w:spacing w:after="0" w:line="240" w:lineRule="auto"/>
              <w:jc w:val="both"/>
              <w:rPr>
                <w:rFonts w:eastAsia="Times New Roman" w:cstheme="minorHAnsi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Participant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A513EF" w14:textId="77777777" w:rsidR="00F466DA" w:rsidRPr="00E76877" w:rsidRDefault="00FA499B" w:rsidP="006C0113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DGP-IgG</w:t>
            </w:r>
          </w:p>
          <w:p w14:paraId="05FA5E57" w14:textId="4C9F8021" w:rsidR="00F466DA" w:rsidRPr="00E76877" w:rsidRDefault="00DD382F" w:rsidP="006C0113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U/ml 2008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01F104" w14:textId="679EA2D6" w:rsidR="00F466DA" w:rsidRPr="00E76877" w:rsidRDefault="00FA499B" w:rsidP="006C0113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 xml:space="preserve">TG2-IgA </w:t>
            </w:r>
            <w:r w:rsidR="00DD382F" w:rsidRPr="00E76877">
              <w:rPr>
                <w:rFonts w:eastAsia="Times New Roman" w:cstheme="minorHAnsi"/>
                <w:bCs/>
                <w:lang w:eastAsia="nb-NO"/>
              </w:rPr>
              <w:t xml:space="preserve"> U/ml 2008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88163E" w14:textId="6228993E" w:rsidR="00F466DA" w:rsidRPr="00E76877" w:rsidRDefault="00FA499B" w:rsidP="006C0113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 xml:space="preserve">TG2-IgA </w:t>
            </w:r>
            <w:r w:rsidR="00DD382F" w:rsidRPr="00E76877">
              <w:rPr>
                <w:rFonts w:eastAsia="Times New Roman" w:cstheme="minorHAnsi"/>
                <w:bCs/>
                <w:lang w:eastAsia="nb-NO"/>
              </w:rPr>
              <w:t xml:space="preserve">U/ml </w:t>
            </w:r>
            <w:r w:rsidRPr="00E76877">
              <w:rPr>
                <w:rFonts w:eastAsia="Times New Roman" w:cstheme="minorHAnsi"/>
                <w:bCs/>
                <w:lang w:eastAsia="nb-NO"/>
              </w:rPr>
              <w:t>2013</w:t>
            </w:r>
            <w:r w:rsidR="00F17253" w:rsidRPr="00E76877">
              <w:rPr>
                <w:rFonts w:eastAsia="Times New Roman" w:cstheme="minorHAnsi"/>
                <w:bCs/>
                <w:vertAlign w:val="superscript"/>
                <w:lang w:eastAsia="nb-NO"/>
              </w:rPr>
              <w:t>a</w:t>
            </w:r>
            <w:r w:rsidRPr="00E76877">
              <w:rPr>
                <w:rFonts w:eastAsia="Times New Roman" w:cstheme="minorHAnsi"/>
                <w:bCs/>
                <w:lang w:eastAsia="nb-NO"/>
              </w:rPr>
              <w:t xml:space="preserve"> </w:t>
            </w:r>
            <w:r w:rsidR="00DD382F" w:rsidRPr="00E76877">
              <w:rPr>
                <w:rFonts w:eastAsia="Times New Roman" w:cstheme="minorHAnsi"/>
                <w:bCs/>
                <w:lang w:eastAsia="nb-NO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9CA4906" w14:textId="77777777" w:rsidR="00F466DA" w:rsidRPr="00E76877" w:rsidRDefault="00FA499B" w:rsidP="006C0113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Marsh-Oberhuber classification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06058CE" w14:textId="11962443" w:rsidR="00F466DA" w:rsidRPr="00E76877" w:rsidRDefault="00FA499B" w:rsidP="006C0113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IEL/100 epithelial cells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B3B8058" w14:textId="12EAF53C" w:rsidR="00F466DA" w:rsidRPr="00E76877" w:rsidRDefault="00FA499B" w:rsidP="006C0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% TCR</w:t>
            </w:r>
            <w:r w:rsidRPr="00E76877">
              <w:rPr>
                <w:rFonts w:ascii="Times New Roman" w:eastAsia="Times New Roman" w:hAnsi="Times New Roman" w:cs="Times New Roman"/>
                <w:bCs/>
                <w:lang w:eastAsia="nb-NO"/>
              </w:rPr>
              <w:t xml:space="preserve"> </w:t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67"/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2F"/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64"/>
            </w:r>
            <w:r w:rsidRPr="00E76877">
              <w:rPr>
                <w:rFonts w:ascii="Times New Roman" w:eastAsia="Times New Roman" w:hAnsi="Times New Roman" w:cs="Times New Roman"/>
                <w:bCs/>
                <w:lang w:eastAsia="nb-NO"/>
              </w:rPr>
              <w:t xml:space="preserve">+ </w:t>
            </w:r>
            <w:r w:rsidR="00DD382F" w:rsidRPr="00E76877">
              <w:rPr>
                <w:rFonts w:eastAsia="Times New Roman" w:cstheme="minorHAnsi"/>
                <w:bCs/>
                <w:lang w:eastAsia="nb-NO"/>
              </w:rPr>
              <w:t>CD3+ IEL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D7E94DF" w14:textId="77777777" w:rsidR="00394AF6" w:rsidRPr="00E76877" w:rsidRDefault="00FA499B" w:rsidP="006C0113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TCR</w:t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67"/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2F"/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64"/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2B"/>
            </w:r>
            <w:r w:rsidRPr="00E76877">
              <w:rPr>
                <w:rFonts w:ascii="Symbol" w:eastAsia="Times New Roman" w:hAnsi="Symbol" w:cs="Times New Roman"/>
                <w:bCs/>
                <w:lang w:eastAsia="nb-NO"/>
              </w:rPr>
              <w:sym w:font="Symbol" w:char="F020"/>
            </w:r>
          </w:p>
          <w:p w14:paraId="14B7A1F0" w14:textId="32E60370" w:rsidR="00F466DA" w:rsidRPr="00E76877" w:rsidRDefault="00DD382F" w:rsidP="006C0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nb-NO"/>
              </w:rPr>
            </w:pPr>
            <w:r w:rsidRPr="00E76877">
              <w:rPr>
                <w:rFonts w:eastAsia="Times New Roman" w:cstheme="minorHAnsi"/>
                <w:bCs/>
                <w:lang w:eastAsia="nb-NO"/>
              </w:rPr>
              <w:t>CD3+</w:t>
            </w:r>
            <w:r w:rsidR="00FA499B" w:rsidRPr="00E76877">
              <w:rPr>
                <w:rFonts w:ascii="Times New Roman" w:eastAsia="Times New Roman" w:hAnsi="Times New Roman" w:cs="Times New Roman"/>
                <w:bCs/>
                <w:lang w:eastAsia="nb-NO"/>
              </w:rPr>
              <w:t>/</w:t>
            </w:r>
            <w:r w:rsidR="00FA499B" w:rsidRPr="00E76877">
              <w:rPr>
                <w:rFonts w:eastAsia="Times New Roman" w:cstheme="minorHAnsi"/>
                <w:bCs/>
                <w:lang w:eastAsia="nb-NO"/>
              </w:rPr>
              <w:t>100</w:t>
            </w:r>
            <w:r w:rsidR="00FA499B" w:rsidRPr="00E76877">
              <w:rPr>
                <w:rFonts w:ascii="Times New Roman" w:eastAsia="Times New Roman" w:hAnsi="Times New Roman" w:cs="Times New Roman"/>
                <w:bCs/>
                <w:lang w:eastAsia="nb-NO"/>
              </w:rPr>
              <w:t xml:space="preserve"> </w:t>
            </w:r>
            <w:r w:rsidR="00FA499B" w:rsidRPr="00E76877">
              <w:rPr>
                <w:rFonts w:eastAsia="Times New Roman" w:cstheme="minorHAnsi"/>
                <w:bCs/>
                <w:lang w:eastAsia="nb-NO"/>
              </w:rPr>
              <w:t>epithelial cells</w:t>
            </w:r>
          </w:p>
        </w:tc>
      </w:tr>
      <w:tr w:rsidR="00E76877" w:rsidRPr="00E76877" w14:paraId="2E3841B8" w14:textId="77777777" w:rsidTr="006C0113">
        <w:trPr>
          <w:trHeight w:val="315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BAFC432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0685F0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4CFE83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CCB585" w14:textId="3FDC0DD6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0.9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E5C5F32" w14:textId="572B34B4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BCDDA1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08F2282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E2BB7D5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3A7B748D" w14:textId="77777777" w:rsidTr="006C0113">
        <w:trPr>
          <w:trHeight w:val="315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F3DF36E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B096A8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7.6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9080BF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4.1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A817CB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CA5C30C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38B0AC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FDEA680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41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BA66B9E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16</w:t>
            </w:r>
          </w:p>
        </w:tc>
      </w:tr>
      <w:tr w:rsidR="00E76877" w:rsidRPr="00E76877" w14:paraId="1A29D2DD" w14:textId="77777777" w:rsidTr="006C0113">
        <w:trPr>
          <w:trHeight w:val="315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D330B48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449CA1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398D4D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6.7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EEA163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CB20159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3EA7784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4F7E809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58D5606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2E23AD2C" w14:textId="77777777" w:rsidTr="006C0113">
        <w:trPr>
          <w:trHeight w:val="315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18B21FB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A36EC7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DDA4E7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4.5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0C1F3D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3174185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E398DC4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1007B2F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A8291E3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6</w:t>
            </w:r>
          </w:p>
        </w:tc>
      </w:tr>
      <w:tr w:rsidR="00E76877" w:rsidRPr="00E76877" w14:paraId="774697D0" w14:textId="77777777" w:rsidTr="006C0113">
        <w:trPr>
          <w:trHeight w:val="362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9B7468E" w14:textId="4E1CAD48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5</w:t>
            </w:r>
            <w:r w:rsidR="0098662C" w:rsidRPr="00E76877">
              <w:rPr>
                <w:rFonts w:eastAsia="Times New Roman" w:cstheme="minorHAnsi"/>
                <w:sz w:val="24"/>
                <w:szCs w:val="24"/>
                <w:vertAlign w:val="superscript"/>
                <w:lang w:eastAsia="nb-NO"/>
              </w:rPr>
              <w:t>b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1A79B1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7.2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BB7FC6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21AE2A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0.6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2355EE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6A448AD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784FE0C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46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412FB7C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10</w:t>
            </w:r>
          </w:p>
        </w:tc>
      </w:tr>
      <w:tr w:rsidR="00E76877" w:rsidRPr="00E76877" w14:paraId="09DD2EEF" w14:textId="77777777" w:rsidTr="006C0113">
        <w:trPr>
          <w:trHeight w:val="315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A3B099C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EC9A08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6.2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DE287C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C3CF06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3E9F8F0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1FFEE46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264BA2A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39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D46A2B8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14</w:t>
            </w:r>
          </w:p>
        </w:tc>
      </w:tr>
      <w:tr w:rsidR="00E76877" w:rsidRPr="00E76877" w14:paraId="7DBA8D6B" w14:textId="77777777" w:rsidTr="006C0113">
        <w:trPr>
          <w:trHeight w:val="315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55E423F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201FF0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7604BE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A0BC9A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73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2700FAD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162E60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DFDDA23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EA65292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9</w:t>
            </w:r>
          </w:p>
        </w:tc>
      </w:tr>
      <w:tr w:rsidR="00E76877" w:rsidRPr="00E76877" w14:paraId="1EE70F7C" w14:textId="77777777" w:rsidTr="006C0113">
        <w:trPr>
          <w:trHeight w:val="315"/>
        </w:trPr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8D02EBD" w14:textId="0FE12EC0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9E0603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599CF1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E6D36B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449921A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576CE4D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34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9D55E86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22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99832F1" w14:textId="77777777" w:rsidR="00F466DA" w:rsidRPr="00E76877" w:rsidRDefault="00FA499B" w:rsidP="00DC250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E76877">
              <w:rPr>
                <w:rFonts w:eastAsia="Times New Roman" w:cstheme="minorHAnsi"/>
                <w:sz w:val="24"/>
                <w:szCs w:val="24"/>
                <w:lang w:eastAsia="nb-NO"/>
              </w:rPr>
              <w:t>7</w:t>
            </w:r>
          </w:p>
        </w:tc>
      </w:tr>
    </w:tbl>
    <w:p w14:paraId="2149C9E9" w14:textId="77777777" w:rsidR="00F466DA" w:rsidRPr="00E76877" w:rsidRDefault="00F466DA" w:rsidP="00F466DA">
      <w:pPr>
        <w:rPr>
          <w:rFonts w:eastAsia="Times New Roman" w:cstheme="minorHAnsi"/>
          <w:b/>
          <w:bCs/>
          <w:sz w:val="24"/>
          <w:szCs w:val="24"/>
          <w:lang w:eastAsia="nb-NO"/>
        </w:rPr>
      </w:pPr>
    </w:p>
    <w:p w14:paraId="5B892525" w14:textId="4F650B69" w:rsidR="009C2F0C" w:rsidRPr="00E76877" w:rsidRDefault="00FA499B" w:rsidP="009C2F0C">
      <w:pPr>
        <w:rPr>
          <w:rFonts w:eastAsia="Times New Roman" w:cstheme="minorHAnsi"/>
          <w:sz w:val="24"/>
          <w:szCs w:val="24"/>
          <w:lang w:eastAsia="nb-NO"/>
        </w:rPr>
      </w:pPr>
      <w:r w:rsidRPr="00E76877">
        <w:rPr>
          <w:rFonts w:eastAsia="Times New Roman" w:cstheme="minorHAnsi"/>
          <w:sz w:val="24"/>
          <w:szCs w:val="24"/>
          <w:vertAlign w:val="superscript"/>
          <w:lang w:eastAsia="nb-NO"/>
        </w:rPr>
        <w:t>a</w:t>
      </w:r>
      <w:r w:rsidRPr="00E76877">
        <w:rPr>
          <w:rFonts w:eastAsia="Times New Roman" w:cstheme="minorHAnsi"/>
          <w:sz w:val="24"/>
          <w:szCs w:val="24"/>
          <w:lang w:eastAsia="nb-NO"/>
        </w:rPr>
        <w:t xml:space="preserve">Most patients had </w:t>
      </w:r>
      <w:r w:rsidR="002A43C0" w:rsidRPr="00E76877">
        <w:rPr>
          <w:rFonts w:eastAsia="Times New Roman" w:cstheme="minorHAnsi"/>
          <w:sz w:val="24"/>
          <w:szCs w:val="24"/>
          <w:lang w:eastAsia="nb-NO"/>
        </w:rPr>
        <w:t>reduced</w:t>
      </w:r>
      <w:r w:rsidRPr="00E76877">
        <w:rPr>
          <w:rFonts w:eastAsia="Times New Roman" w:cstheme="minorHAnsi"/>
          <w:sz w:val="24"/>
          <w:szCs w:val="24"/>
          <w:lang w:eastAsia="nb-NO"/>
        </w:rPr>
        <w:t xml:space="preserve"> serum TG2-IgA levels between inclusion (2008) and time of biopsy (2013), suggesting reduced gluten intake or, alternatively, reduced immune response as illustrated in participant 5</w:t>
      </w:r>
      <w:r w:rsidR="008C7474" w:rsidRPr="00E76877">
        <w:rPr>
          <w:rFonts w:eastAsia="Times New Roman" w:cstheme="minorHAnsi"/>
          <w:sz w:val="24"/>
          <w:szCs w:val="24"/>
          <w:vertAlign w:val="superscript"/>
          <w:lang w:eastAsia="nb-NO"/>
        </w:rPr>
        <w:t>b</w:t>
      </w:r>
      <w:r w:rsidR="000142DF" w:rsidRPr="00E76877">
        <w:rPr>
          <w:rFonts w:eastAsia="Times New Roman" w:cstheme="minorHAnsi"/>
          <w:sz w:val="24"/>
          <w:szCs w:val="24"/>
          <w:lang w:eastAsia="nb-NO"/>
        </w:rPr>
        <w:t xml:space="preserve"> </w:t>
      </w:r>
      <w:r w:rsidR="00544C4E" w:rsidRPr="00E76877">
        <w:rPr>
          <w:rFonts w:eastAsia="Times New Roman" w:cstheme="minorHAnsi"/>
          <w:sz w:val="24"/>
          <w:szCs w:val="24"/>
          <w:lang w:eastAsia="nb-NO"/>
        </w:rPr>
        <w:t xml:space="preserve">, </w:t>
      </w:r>
      <w:r w:rsidRPr="00E76877">
        <w:rPr>
          <w:rFonts w:ascii="Calibri" w:eastAsia="Times New Roman" w:hAnsi="Calibri" w:cs="Calibri"/>
          <w:sz w:val="24"/>
          <w:szCs w:val="24"/>
          <w:lang w:eastAsia="nb-NO"/>
        </w:rPr>
        <w:t>who</w:t>
      </w:r>
      <w:r w:rsidR="000142DF" w:rsidRPr="00E76877">
        <w:rPr>
          <w:rFonts w:eastAsia="Times New Roman" w:cstheme="minorHAnsi"/>
          <w:sz w:val="24"/>
          <w:szCs w:val="24"/>
          <w:lang w:eastAsia="nb-NO"/>
        </w:rPr>
        <w:t xml:space="preserve"> was diagnosed with autoimmune hepatitis in 2011 and treated with prednisolone (variable dosage) and low</w:t>
      </w:r>
      <w:r w:rsidR="00544C4E" w:rsidRPr="00E76877">
        <w:rPr>
          <w:rFonts w:eastAsia="Times New Roman" w:cstheme="minorHAnsi"/>
          <w:sz w:val="24"/>
          <w:szCs w:val="24"/>
          <w:lang w:eastAsia="nb-NO"/>
        </w:rPr>
        <w:t>-</w:t>
      </w:r>
      <w:r w:rsidR="000142DF" w:rsidRPr="00E76877">
        <w:rPr>
          <w:rFonts w:eastAsia="Times New Roman" w:cstheme="minorHAnsi"/>
          <w:sz w:val="24"/>
          <w:szCs w:val="24"/>
          <w:lang w:eastAsia="nb-NO"/>
        </w:rPr>
        <w:t>dos</w:t>
      </w:r>
      <w:r w:rsidR="00544C4E" w:rsidRPr="00E76877">
        <w:rPr>
          <w:rFonts w:eastAsia="Times New Roman" w:cstheme="minorHAnsi"/>
          <w:sz w:val="24"/>
          <w:szCs w:val="24"/>
          <w:lang w:eastAsia="nb-NO"/>
        </w:rPr>
        <w:t>e</w:t>
      </w:r>
      <w:r w:rsidR="000142DF" w:rsidRPr="00E76877">
        <w:rPr>
          <w:rFonts w:eastAsia="Times New Roman" w:cstheme="minorHAnsi"/>
          <w:sz w:val="24"/>
          <w:szCs w:val="24"/>
          <w:lang w:eastAsia="nb-NO"/>
        </w:rPr>
        <w:t xml:space="preserve"> methotrexate </w:t>
      </w:r>
      <w:r w:rsidR="00523AEF" w:rsidRPr="00E76877">
        <w:rPr>
          <w:rFonts w:eastAsia="Times New Roman" w:cstheme="minorHAnsi"/>
          <w:sz w:val="24"/>
          <w:szCs w:val="24"/>
          <w:lang w:eastAsia="nb-NO"/>
        </w:rPr>
        <w:t xml:space="preserve">for </w:t>
      </w:r>
      <w:r w:rsidR="000142DF" w:rsidRPr="00E76877">
        <w:rPr>
          <w:rFonts w:eastAsia="Times New Roman" w:cstheme="minorHAnsi"/>
          <w:sz w:val="24"/>
          <w:szCs w:val="24"/>
          <w:lang w:eastAsia="nb-NO"/>
        </w:rPr>
        <w:t>immune suppression, which may have reduced the immune reaction to gliadin.</w:t>
      </w:r>
    </w:p>
    <w:p w14:paraId="07BF7CBF" w14:textId="77777777" w:rsidR="009C2F0C" w:rsidRPr="00E76877" w:rsidRDefault="009C2F0C" w:rsidP="00E673A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b-NO"/>
        </w:rPr>
      </w:pPr>
    </w:p>
    <w:p w14:paraId="4E0A8BEC" w14:textId="77777777" w:rsidR="00A915CD" w:rsidRPr="00E76877" w:rsidRDefault="00FA499B" w:rsidP="00A915CD">
      <w:pPr>
        <w:spacing w:line="480" w:lineRule="auto"/>
        <w:rPr>
          <w:rFonts w:cstheme="minorHAnsi"/>
          <w:b/>
          <w:bCs/>
          <w:sz w:val="24"/>
          <w:szCs w:val="24"/>
        </w:rPr>
      </w:pPr>
      <w:r w:rsidRPr="00E76877">
        <w:rPr>
          <w:rFonts w:cstheme="minorHAnsi"/>
          <w:b/>
          <w:bCs/>
          <w:sz w:val="24"/>
          <w:szCs w:val="24"/>
        </w:rPr>
        <w:br w:type="page"/>
      </w:r>
    </w:p>
    <w:p w14:paraId="05A6C45D" w14:textId="673DFE06" w:rsidR="00A915CD" w:rsidRPr="00E76877" w:rsidRDefault="00FA499B" w:rsidP="00A915CD">
      <w:pPr>
        <w:spacing w:after="0" w:line="480" w:lineRule="auto"/>
        <w:contextualSpacing/>
        <w:rPr>
          <w:rFonts w:cstheme="minorHAnsi"/>
          <w:b/>
          <w:bCs/>
          <w:iCs/>
          <w:sz w:val="28"/>
          <w:szCs w:val="24"/>
        </w:rPr>
      </w:pPr>
      <w:r w:rsidRPr="00E76877">
        <w:rPr>
          <w:rFonts w:cstheme="minorHAnsi"/>
          <w:b/>
          <w:bCs/>
          <w:iCs/>
          <w:sz w:val="28"/>
          <w:szCs w:val="24"/>
        </w:rPr>
        <w:lastRenderedPageBreak/>
        <w:t>Supplementary material S2</w:t>
      </w:r>
    </w:p>
    <w:p w14:paraId="69C7DF47" w14:textId="3E88861D" w:rsidR="00A915CD" w:rsidRDefault="00FA499B" w:rsidP="00E76877">
      <w:pPr>
        <w:spacing w:after="0" w:line="276" w:lineRule="auto"/>
        <w:contextualSpacing/>
        <w:rPr>
          <w:rFonts w:eastAsia="Calibri" w:cstheme="minorHAnsi"/>
          <w:b/>
          <w:sz w:val="24"/>
          <w:szCs w:val="24"/>
        </w:rPr>
      </w:pPr>
      <w:r w:rsidRPr="00E76877">
        <w:rPr>
          <w:rFonts w:eastAsia="Calibri" w:cstheme="minorHAnsi"/>
          <w:b/>
          <w:sz w:val="24"/>
          <w:szCs w:val="24"/>
        </w:rPr>
        <w:t>Different methods for estimating the prevalence of celiac disease (CD) in unbiopsied patients</w:t>
      </w:r>
    </w:p>
    <w:p w14:paraId="168DEA6B" w14:textId="77777777" w:rsidR="00E76877" w:rsidRPr="00E76877" w:rsidRDefault="00E76877" w:rsidP="00E76877">
      <w:pPr>
        <w:spacing w:after="0" w:line="276" w:lineRule="auto"/>
        <w:contextualSpacing/>
        <w:rPr>
          <w:rFonts w:eastAsia="Calibri" w:cstheme="minorHAnsi"/>
          <w:b/>
          <w:sz w:val="24"/>
          <w:szCs w:val="24"/>
        </w:rPr>
      </w:pPr>
    </w:p>
    <w:p w14:paraId="33CD892D" w14:textId="10292581" w:rsidR="00A915CD" w:rsidRPr="00E76877" w:rsidRDefault="00FA499B" w:rsidP="00A915CD">
      <w:pPr>
        <w:spacing w:after="0" w:line="480" w:lineRule="auto"/>
        <w:rPr>
          <w:rFonts w:ascii="Calibri" w:eastAsia="Calibri" w:hAnsi="Calibri" w:cs="Calibri"/>
          <w:sz w:val="24"/>
          <w:szCs w:val="24"/>
        </w:rPr>
      </w:pPr>
      <w:r w:rsidRPr="00E76877">
        <w:rPr>
          <w:rFonts w:ascii="Calibri" w:eastAsia="Calibri" w:hAnsi="Calibri" w:cs="Calibri"/>
          <w:sz w:val="24"/>
          <w:szCs w:val="24"/>
        </w:rPr>
        <w:t>Different methods were used to estimate the prevalence of CD in the unbiopsied participants and the prevalence in the population. If the prevalence of CD in the biopsied participants (4</w:t>
      </w:r>
      <w:r w:rsidR="00DD382F" w:rsidRPr="00E76877">
        <w:rPr>
          <w:rFonts w:ascii="Calibri" w:eastAsia="Calibri" w:hAnsi="Calibri" w:cs="Calibri"/>
          <w:sz w:val="24"/>
          <w:szCs w:val="24"/>
        </w:rPr>
        <w:t>9</w:t>
      </w:r>
      <w:r w:rsidRPr="00E76877">
        <w:rPr>
          <w:rFonts w:ascii="Calibri" w:eastAsia="Calibri" w:hAnsi="Calibri" w:cs="Calibri"/>
          <w:sz w:val="24"/>
          <w:szCs w:val="24"/>
        </w:rPr>
        <w:t xml:space="preserve">%) is used to estimate the prevalence in the serum positive but unbiopsied participants (n=103), then </w:t>
      </w:r>
      <w:r w:rsidR="00DD382F" w:rsidRPr="00E76877">
        <w:rPr>
          <w:rFonts w:ascii="Calibri" w:eastAsia="Calibri" w:hAnsi="Calibri" w:cs="Calibri"/>
          <w:sz w:val="24"/>
          <w:szCs w:val="24"/>
        </w:rPr>
        <w:t>49</w:t>
      </w:r>
      <w:r w:rsidRPr="00E76877">
        <w:rPr>
          <w:rFonts w:ascii="Calibri" w:eastAsia="Calibri" w:hAnsi="Calibri" w:cs="Calibri"/>
          <w:sz w:val="24"/>
          <w:szCs w:val="24"/>
        </w:rPr>
        <w:t xml:space="preserve">% of the 103 unbiopsied participants may have had CD (n=50). This simple estimation could be prone to selection bias because individuals with more symptoms and a higher risk of having CD may more </w:t>
      </w:r>
      <w:r w:rsidR="00B60E10" w:rsidRPr="00E76877">
        <w:rPr>
          <w:rFonts w:ascii="Calibri" w:eastAsia="Calibri" w:hAnsi="Calibri" w:cs="Calibri"/>
          <w:sz w:val="24"/>
          <w:szCs w:val="24"/>
        </w:rPr>
        <w:t xml:space="preserve">readily </w:t>
      </w:r>
      <w:r w:rsidRPr="00E76877">
        <w:rPr>
          <w:rFonts w:ascii="Calibri" w:eastAsia="Calibri" w:hAnsi="Calibri" w:cs="Calibri"/>
          <w:sz w:val="24"/>
          <w:szCs w:val="24"/>
        </w:rPr>
        <w:t>accept the invitation to gastroduodenoscopy.</w:t>
      </w:r>
    </w:p>
    <w:p w14:paraId="6F1449C7" w14:textId="29C27E3C" w:rsidR="00A915CD" w:rsidRPr="00E76877" w:rsidRDefault="008F28C9" w:rsidP="00A915CD">
      <w:pPr>
        <w:spacing w:after="0" w:line="480" w:lineRule="auto"/>
        <w:ind w:firstLine="708"/>
        <w:rPr>
          <w:rFonts w:ascii="Calibri" w:eastAsia="Calibri" w:hAnsi="Calibri" w:cs="Calibri"/>
          <w:sz w:val="24"/>
          <w:szCs w:val="24"/>
        </w:rPr>
      </w:pPr>
      <w:r w:rsidRPr="00E76877">
        <w:rPr>
          <w:rFonts w:ascii="Calibri" w:eastAsia="Calibri" w:hAnsi="Calibri" w:cs="Calibri"/>
          <w:sz w:val="24"/>
          <w:szCs w:val="24"/>
        </w:rPr>
        <w:t>However, the TG2</w:t>
      </w:r>
      <w:r w:rsidRPr="00E76877">
        <w:rPr>
          <w:rFonts w:ascii="Calibri" w:eastAsia="Calibri" w:hAnsi="Calibri" w:cs="Times New Roman"/>
          <w:sz w:val="24"/>
          <w:szCs w:val="24"/>
        </w:rPr>
        <w:t>-IgA titer distribution was almost identical in the two groups (see Figure 2). The prevalence may, therefore, be estimated from the serum TG2-IgA titer-associated disease prevalence in the biopsied participants.</w:t>
      </w:r>
      <w:r w:rsidR="00FA499B" w:rsidRPr="00E76877">
        <w:rPr>
          <w:rFonts w:ascii="Calibri" w:eastAsia="Calibri" w:hAnsi="Calibri" w:cs="Times New Roman"/>
          <w:sz w:val="24"/>
          <w:szCs w:val="24"/>
        </w:rPr>
        <w:t xml:space="preserve"> 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All </w:t>
      </w:r>
      <w:r w:rsidR="00580573" w:rsidRPr="00E76877">
        <w:rPr>
          <w:rFonts w:ascii="Calibri" w:eastAsia="Calibri" w:hAnsi="Calibri" w:cs="Times New Roman"/>
          <w:sz w:val="24"/>
          <w:szCs w:val="24"/>
        </w:rPr>
        <w:t xml:space="preserve">of 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those with </w:t>
      </w:r>
      <w:r w:rsidR="00FA499B" w:rsidRPr="00E76877">
        <w:rPr>
          <w:rFonts w:ascii="Calibri" w:eastAsia="Calibri" w:hAnsi="Calibri" w:cs="Times New Roman"/>
          <w:sz w:val="24"/>
          <w:szCs w:val="24"/>
        </w:rPr>
        <w:t xml:space="preserve">a </w:t>
      </w:r>
      <w:r w:rsidRPr="00E76877">
        <w:rPr>
          <w:rFonts w:ascii="Calibri" w:eastAsia="Calibri" w:hAnsi="Calibri" w:cs="Times New Roman"/>
          <w:sz w:val="24"/>
          <w:szCs w:val="24"/>
        </w:rPr>
        <w:t>serum TG2-IgA titer &gt; 25 U/ml had either active (98%; n=45) or potential CD (2%; n=1); 87% of those with a TG2-IgA titer between 25 and 10 U/ml (26/30) and 73% of those with a TG2</w:t>
      </w:r>
      <w:r w:rsidR="00FA499B" w:rsidRPr="00E76877">
        <w:rPr>
          <w:rFonts w:ascii="Calibri" w:eastAsia="Calibri" w:hAnsi="Calibri" w:cs="Times New Roman"/>
          <w:sz w:val="24"/>
          <w:szCs w:val="24"/>
        </w:rPr>
        <w:t xml:space="preserve">-IgA titer </w:t>
      </w:r>
      <w:r w:rsidR="00FA499B" w:rsidRPr="00E76877">
        <w:rPr>
          <w:rFonts w:cstheme="minorHAnsi"/>
          <w:sz w:val="24"/>
          <w:szCs w:val="24"/>
        </w:rPr>
        <w:t>≥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 seven but &lt;10 U/m</w:t>
      </w:r>
      <w:r w:rsidR="00ED771A" w:rsidRPr="00E76877">
        <w:rPr>
          <w:rFonts w:ascii="Calibri" w:eastAsia="Calibri" w:hAnsi="Calibri" w:cs="Times New Roman"/>
          <w:sz w:val="24"/>
          <w:szCs w:val="24"/>
        </w:rPr>
        <w:t>l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 (11/15) had CD. Using this TG2-IgA titer-associated disease prevalence </w:t>
      </w:r>
      <w:r w:rsidR="00FA499B" w:rsidRPr="00E76877">
        <w:rPr>
          <w:rFonts w:ascii="Calibri" w:eastAsia="Calibri" w:hAnsi="Calibri" w:cs="Times New Roman"/>
          <w:sz w:val="24"/>
          <w:szCs w:val="24"/>
        </w:rPr>
        <w:t>in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 the unbiopsied, TG2-IgA</w:t>
      </w:r>
      <w:r w:rsidR="00FA499B" w:rsidRPr="00E76877">
        <w:rPr>
          <w:rFonts w:ascii="Calibri" w:eastAsia="Calibri" w:hAnsi="Calibri" w:cs="Times New Roman"/>
          <w:sz w:val="24"/>
          <w:szCs w:val="24"/>
        </w:rPr>
        <w:t>-</w:t>
      </w:r>
      <w:r w:rsidRPr="00E76877">
        <w:rPr>
          <w:rFonts w:ascii="Calibri" w:eastAsia="Calibri" w:hAnsi="Calibri" w:cs="Times New Roman"/>
          <w:sz w:val="24"/>
          <w:szCs w:val="24"/>
        </w:rPr>
        <w:t>positive participants, 98% of the 32 unbiopsied participants with TG2-IgA</w:t>
      </w:r>
      <w:r w:rsidR="00FA499B" w:rsidRPr="00E76877">
        <w:rPr>
          <w:rFonts w:ascii="Calibri" w:eastAsia="Calibri" w:hAnsi="Calibri" w:cs="Times New Roman"/>
          <w:sz w:val="24"/>
          <w:szCs w:val="24"/>
        </w:rPr>
        <w:t xml:space="preserve"> titers </w:t>
      </w:r>
      <w:r w:rsidR="00FA499B" w:rsidRPr="00E76877">
        <w:rPr>
          <w:rFonts w:cstheme="minorHAnsi"/>
          <w:sz w:val="24"/>
          <w:szCs w:val="24"/>
        </w:rPr>
        <w:t>&gt;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25 U/ml (n=31.4), 87% of those 11 with TG2-IgA </w:t>
      </w:r>
      <w:r w:rsidR="00FA499B" w:rsidRPr="00E76877">
        <w:rPr>
          <w:rFonts w:ascii="Calibri" w:eastAsia="Calibri" w:hAnsi="Calibri" w:cs="Times New Roman"/>
          <w:sz w:val="24"/>
          <w:szCs w:val="24"/>
        </w:rPr>
        <w:t>titers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 from 10 to 25 U/m (n=9.6) and 73.3% of those 12 with TG2</w:t>
      </w:r>
      <w:r w:rsidR="00FA499B" w:rsidRPr="00E76877">
        <w:rPr>
          <w:rFonts w:ascii="Calibri" w:eastAsia="Calibri" w:hAnsi="Calibri" w:cs="Times New Roman"/>
          <w:sz w:val="24"/>
          <w:szCs w:val="24"/>
        </w:rPr>
        <w:t xml:space="preserve">-IgA titers </w:t>
      </w:r>
      <w:r w:rsidR="00FA499B" w:rsidRPr="00E76877">
        <w:rPr>
          <w:rFonts w:cstheme="minorHAnsi"/>
          <w:sz w:val="24"/>
          <w:szCs w:val="24"/>
        </w:rPr>
        <w:t>≥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 7 but &lt;10 U/m</w:t>
      </w:r>
      <w:r w:rsidR="00ED771A" w:rsidRPr="00E76877">
        <w:rPr>
          <w:rFonts w:ascii="Calibri" w:eastAsia="Calibri" w:hAnsi="Calibri" w:cs="Times New Roman"/>
          <w:sz w:val="24"/>
          <w:szCs w:val="24"/>
        </w:rPr>
        <w:t>l</w:t>
      </w:r>
      <w:r w:rsidRPr="00E76877">
        <w:rPr>
          <w:rFonts w:ascii="Calibri" w:eastAsia="Calibri" w:hAnsi="Calibri" w:cs="Times New Roman"/>
          <w:sz w:val="24"/>
          <w:szCs w:val="24"/>
        </w:rPr>
        <w:t xml:space="preserve"> (n=8.8) would have had CD. This TG2</w:t>
      </w:r>
      <w:r w:rsidR="00FA499B" w:rsidRPr="00E76877">
        <w:rPr>
          <w:rFonts w:ascii="Calibri" w:eastAsia="Calibri" w:hAnsi="Calibri" w:cs="Calibri"/>
          <w:sz w:val="24"/>
          <w:szCs w:val="24"/>
        </w:rPr>
        <w:t>-IgA titer-based estimation revealed a similar number of celiac patients (n=50) in the 103 TG2-IgA serum-positive, unbiopsied participants, as did the CD prevalence data in the biopsied participants (n=50). Adding 50 patients to those 84 who were diagnosed with biopsy verification, 134 of the 12 190 participants had previously undiagnosed CD (1.10%, 95% CI 0.91-1.27).</w:t>
      </w:r>
    </w:p>
    <w:p w14:paraId="785F4D9A" w14:textId="34B16335" w:rsidR="00A915CD" w:rsidRPr="00E76877" w:rsidRDefault="00FA499B" w:rsidP="00A915CD">
      <w:pPr>
        <w:spacing w:after="0" w:line="480" w:lineRule="auto"/>
        <w:ind w:firstLine="708"/>
        <w:rPr>
          <w:rFonts w:ascii="Calibri" w:eastAsia="Calibri" w:hAnsi="Calibri" w:cs="Calibri"/>
          <w:sz w:val="24"/>
          <w:szCs w:val="24"/>
        </w:rPr>
      </w:pPr>
      <w:r w:rsidRPr="00E76877">
        <w:rPr>
          <w:rFonts w:ascii="Calibri" w:eastAsia="Calibri" w:hAnsi="Calibri" w:cs="Calibri"/>
          <w:sz w:val="24"/>
          <w:szCs w:val="24"/>
        </w:rPr>
        <w:lastRenderedPageBreak/>
        <w:t>Finally, it is possible to use the fraction of the invited participants who accepted the invitation to gastroduodenoscopy. The 173 biopsied participants (Figure 1) represented 62.68% of the 276 invited participants. If the original screening population is reduced to the same fraction as those biopsied, then there were 84 patients with undiagnosed CD in a population of (12 190 *0.6268) = 7 641, and consequently, 1.1% had undiagnosed CD (and 8/7 641 (0.15%)) had potential CD).</w:t>
      </w:r>
    </w:p>
    <w:p w14:paraId="7B3105F4" w14:textId="2C4D62DB" w:rsidR="00A915CD" w:rsidRPr="00E76877" w:rsidRDefault="00FA499B" w:rsidP="00A915CD">
      <w:pPr>
        <w:spacing w:after="0" w:line="480" w:lineRule="auto"/>
        <w:ind w:firstLine="708"/>
        <w:rPr>
          <w:rFonts w:cstheme="minorHAnsi"/>
          <w:sz w:val="24"/>
          <w:szCs w:val="24"/>
        </w:rPr>
      </w:pPr>
      <w:r w:rsidRPr="00E76877">
        <w:rPr>
          <w:rFonts w:ascii="Calibri" w:eastAsia="Calibri" w:hAnsi="Calibri" w:cs="Calibri"/>
          <w:sz w:val="24"/>
          <w:szCs w:val="24"/>
        </w:rPr>
        <w:t>Thus, three different estimation techniques resulted in the same prevalence of undiagnosed CD. Adding this prevalence (1.10%) to that of previously diagnosed patients (0.37% of 12 981 participants), 1.47% of the population had CD (95% CI 1.26-1.66), of which 75% was previously undiagnosed.</w:t>
      </w:r>
    </w:p>
    <w:p w14:paraId="22BE48F8" w14:textId="77777777" w:rsidR="00A915CD" w:rsidRPr="00E76877" w:rsidRDefault="00A915CD" w:rsidP="00A915CD">
      <w:pPr>
        <w:spacing w:line="480" w:lineRule="auto"/>
      </w:pPr>
    </w:p>
    <w:p w14:paraId="79021826" w14:textId="77777777" w:rsidR="00A915CD" w:rsidRPr="00E76877" w:rsidRDefault="00A915CD" w:rsidP="00A915CD">
      <w:pPr>
        <w:spacing w:line="480" w:lineRule="auto"/>
      </w:pPr>
    </w:p>
    <w:p w14:paraId="606563A3" w14:textId="77777777" w:rsidR="00A915CD" w:rsidRPr="00E76877" w:rsidRDefault="00FA499B" w:rsidP="00A915CD">
      <w:pPr>
        <w:spacing w:line="480" w:lineRule="auto"/>
        <w:rPr>
          <w:rFonts w:eastAsia="Calibri" w:cstheme="minorHAnsi"/>
          <w:b/>
          <w:sz w:val="24"/>
          <w:szCs w:val="24"/>
        </w:rPr>
      </w:pPr>
      <w:r w:rsidRPr="00E76877">
        <w:rPr>
          <w:rFonts w:eastAsia="Calibri" w:cstheme="minorHAnsi"/>
          <w:b/>
          <w:sz w:val="24"/>
          <w:szCs w:val="24"/>
        </w:rPr>
        <w:br w:type="page"/>
      </w:r>
    </w:p>
    <w:p w14:paraId="2ED61030" w14:textId="147D5DE9" w:rsidR="00A915CD" w:rsidRPr="00E76877" w:rsidRDefault="00FA499B" w:rsidP="00A915CD">
      <w:pPr>
        <w:spacing w:after="0" w:line="480" w:lineRule="auto"/>
        <w:contextualSpacing/>
        <w:rPr>
          <w:rFonts w:cstheme="minorHAnsi"/>
          <w:b/>
          <w:bCs/>
          <w:iCs/>
          <w:sz w:val="28"/>
          <w:szCs w:val="24"/>
        </w:rPr>
      </w:pPr>
      <w:r w:rsidRPr="00E76877">
        <w:rPr>
          <w:rFonts w:cstheme="minorHAnsi"/>
          <w:b/>
          <w:bCs/>
          <w:iCs/>
          <w:sz w:val="28"/>
          <w:szCs w:val="24"/>
        </w:rPr>
        <w:lastRenderedPageBreak/>
        <w:t>Supplementary material S3</w:t>
      </w:r>
    </w:p>
    <w:p w14:paraId="6537C65F" w14:textId="36423358" w:rsidR="00A915CD" w:rsidRDefault="008F28C9" w:rsidP="00E76877">
      <w:pPr>
        <w:spacing w:after="0" w:line="276" w:lineRule="auto"/>
        <w:contextualSpacing/>
        <w:rPr>
          <w:rFonts w:cstheme="minorHAnsi"/>
          <w:b/>
          <w:sz w:val="24"/>
          <w:szCs w:val="24"/>
        </w:rPr>
      </w:pPr>
      <w:r w:rsidRPr="00E76877">
        <w:rPr>
          <w:rFonts w:cstheme="minorHAnsi"/>
          <w:b/>
          <w:sz w:val="24"/>
          <w:szCs w:val="24"/>
        </w:rPr>
        <w:t>Diagnosing celiac disease (CD) based on serum TG2</w:t>
      </w:r>
      <w:r w:rsidR="00FA499B" w:rsidRPr="00E76877">
        <w:rPr>
          <w:rFonts w:cstheme="minorHAnsi"/>
          <w:b/>
          <w:sz w:val="24"/>
          <w:szCs w:val="24"/>
        </w:rPr>
        <w:t>-IgA and/or DGP-IgG titers, without biopsy verification</w:t>
      </w:r>
    </w:p>
    <w:p w14:paraId="24B88652" w14:textId="77777777" w:rsidR="00E76877" w:rsidRPr="00E76877" w:rsidRDefault="00E76877" w:rsidP="00E76877">
      <w:pPr>
        <w:spacing w:after="0" w:line="276" w:lineRule="auto"/>
        <w:contextualSpacing/>
        <w:rPr>
          <w:rFonts w:cstheme="minorHAnsi"/>
          <w:b/>
          <w:sz w:val="24"/>
          <w:szCs w:val="24"/>
        </w:rPr>
      </w:pPr>
    </w:p>
    <w:p w14:paraId="27C2088C" w14:textId="5C1181C7" w:rsidR="00A915CD" w:rsidRPr="00E76877" w:rsidRDefault="008F28C9" w:rsidP="00A915CD">
      <w:pPr>
        <w:spacing w:after="0" w:line="480" w:lineRule="auto"/>
        <w:contextualSpacing/>
        <w:rPr>
          <w:rFonts w:cstheme="minorHAnsi"/>
          <w:sz w:val="24"/>
          <w:szCs w:val="24"/>
        </w:rPr>
      </w:pPr>
      <w:r w:rsidRPr="00E76877">
        <w:rPr>
          <w:rFonts w:eastAsia="Calibri" w:cstheme="minorHAnsi"/>
          <w:sz w:val="24"/>
          <w:szCs w:val="24"/>
        </w:rPr>
        <w:t>Increasing the TG2</w:t>
      </w:r>
      <w:r w:rsidR="00FA499B" w:rsidRPr="00E76877">
        <w:rPr>
          <w:rFonts w:eastAsia="Calibri" w:cstheme="minorHAnsi"/>
          <w:sz w:val="24"/>
          <w:szCs w:val="24"/>
        </w:rPr>
        <w:t xml:space="preserve">-IgA threshold to </w:t>
      </w:r>
      <w:r w:rsidR="00FA499B" w:rsidRPr="00E76877">
        <w:rPr>
          <w:rFonts w:cstheme="minorHAnsi"/>
          <w:sz w:val="24"/>
          <w:szCs w:val="24"/>
        </w:rPr>
        <w:t>≥</w:t>
      </w:r>
      <w:r w:rsidRPr="00E76877">
        <w:rPr>
          <w:rFonts w:eastAsia="Calibri" w:cstheme="minorHAnsi"/>
          <w:sz w:val="24"/>
          <w:szCs w:val="24"/>
        </w:rPr>
        <w:t>10 U/ml excluded all participants without CD autoimmunity but unfortunately also 15 patients with CD. Thus, all patients with TG2</w:t>
      </w:r>
      <w:r w:rsidR="00FA499B" w:rsidRPr="00E76877">
        <w:rPr>
          <w:rFonts w:eastAsia="Calibri" w:cstheme="minorHAnsi"/>
          <w:sz w:val="24"/>
          <w:szCs w:val="24"/>
        </w:rPr>
        <w:t xml:space="preserve">-IgA </w:t>
      </w:r>
      <w:r w:rsidR="00FA499B" w:rsidRPr="00E76877">
        <w:rPr>
          <w:rFonts w:cstheme="minorHAnsi"/>
          <w:sz w:val="24"/>
          <w:szCs w:val="24"/>
        </w:rPr>
        <w:t>≥ 10 U/ml, regardless of their DGP-IgG titers, had either active (n=70; PPV=0.93) or potential (n=5) CD.</w:t>
      </w:r>
    </w:p>
    <w:p w14:paraId="59CEBB20" w14:textId="6FF05EE1" w:rsidR="00A915CD" w:rsidRPr="00E76877" w:rsidRDefault="008F28C9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  <w:r w:rsidRPr="00E76877">
        <w:rPr>
          <w:rFonts w:cstheme="minorHAnsi"/>
          <w:sz w:val="24"/>
          <w:szCs w:val="24"/>
        </w:rPr>
        <w:t xml:space="preserve">However, using a similar diagnostic approach that has been adapted for children based on serum TG2-IgA titers only, all 26 patients with TG2-IgA serum levels ≥ 10 x upper normal limit (≥70 U/ml) would have been </w:t>
      </w:r>
      <w:r w:rsidR="006B5EFB" w:rsidRPr="00E76877">
        <w:rPr>
          <w:rFonts w:cstheme="minorHAnsi"/>
          <w:sz w:val="24"/>
          <w:szCs w:val="24"/>
        </w:rPr>
        <w:t xml:space="preserve">correctly </w:t>
      </w:r>
      <w:r w:rsidRPr="00E76877">
        <w:rPr>
          <w:rFonts w:cstheme="minorHAnsi"/>
          <w:sz w:val="24"/>
          <w:szCs w:val="24"/>
        </w:rPr>
        <w:t xml:space="preserve">diagnosed with CD, without intestinal biopsy verification. Although none of the controls had such high TG2-IgA serum titers, one patient with potential CD (Marsh-Oberhuber-1 lesion) had similarly high levels. Thus, 96% of these participants had active CD (PPV = 0.96). Using a similar argument for serum DGP-IgG titer would include only 16 patients with more than 10 x upper normal limit (≥70 U/ml), of which 14 had celiac disease and two </w:t>
      </w:r>
      <w:r w:rsidR="00AE654B" w:rsidRPr="00E76877">
        <w:rPr>
          <w:rFonts w:cstheme="minorHAnsi"/>
          <w:sz w:val="24"/>
          <w:szCs w:val="24"/>
        </w:rPr>
        <w:t>did not</w:t>
      </w:r>
      <w:r w:rsidRPr="00E76877">
        <w:rPr>
          <w:rFonts w:cstheme="minorHAnsi"/>
          <w:sz w:val="24"/>
          <w:szCs w:val="24"/>
        </w:rPr>
        <w:t xml:space="preserve"> (PPV = 0.88). All 11 biopsied participants with both TG2</w:t>
      </w:r>
      <w:r w:rsidR="00FA499B" w:rsidRPr="00E76877">
        <w:rPr>
          <w:rFonts w:cstheme="minorHAnsi"/>
          <w:sz w:val="24"/>
          <w:szCs w:val="24"/>
        </w:rPr>
        <w:t>-IgA and DGP-IgG ≥ 70 U/m</w:t>
      </w:r>
      <w:r w:rsidR="00ED771A" w:rsidRPr="00E76877">
        <w:rPr>
          <w:rFonts w:cstheme="minorHAnsi"/>
          <w:sz w:val="24"/>
          <w:szCs w:val="24"/>
        </w:rPr>
        <w:t>l</w:t>
      </w:r>
      <w:r w:rsidR="00FA499B" w:rsidRPr="00E76877">
        <w:rPr>
          <w:rFonts w:cstheme="minorHAnsi"/>
          <w:sz w:val="24"/>
          <w:szCs w:val="24"/>
        </w:rPr>
        <w:t xml:space="preserve"> had CD (PPV = 1.0), but this</w:t>
      </w:r>
      <w:r w:rsidR="006D31B0" w:rsidRPr="00E76877">
        <w:rPr>
          <w:rFonts w:cstheme="minorHAnsi"/>
          <w:sz w:val="24"/>
          <w:szCs w:val="24"/>
        </w:rPr>
        <w:t xml:space="preserve"> number</w:t>
      </w:r>
      <w:r w:rsidR="00FA499B" w:rsidRPr="00E76877">
        <w:rPr>
          <w:rFonts w:cstheme="minorHAnsi"/>
          <w:sz w:val="24"/>
          <w:szCs w:val="24"/>
        </w:rPr>
        <w:t xml:space="preserve"> accounted for only 13% of the biopsied patients with CD.</w:t>
      </w:r>
    </w:p>
    <w:p w14:paraId="14A3D1AC" w14:textId="6BAF80CF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46ED706C" w14:textId="1DFEB661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4FA7643B" w14:textId="63BCFFBA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64AB69AB" w14:textId="1F01C2EE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219FD6F7" w14:textId="0C06858B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713DE7BB" w14:textId="6EEFE0A6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038A39EB" w14:textId="68DC985A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2991DCE8" w14:textId="6EAADC77" w:rsidR="00D329F7" w:rsidRPr="00E76877" w:rsidRDefault="00FA499B" w:rsidP="00D329F7">
      <w:pPr>
        <w:spacing w:after="0" w:line="480" w:lineRule="auto"/>
        <w:contextualSpacing/>
        <w:rPr>
          <w:rFonts w:cstheme="minorHAnsi"/>
          <w:b/>
          <w:bCs/>
          <w:iCs/>
          <w:sz w:val="28"/>
          <w:szCs w:val="24"/>
        </w:rPr>
      </w:pPr>
      <w:r w:rsidRPr="00E76877">
        <w:rPr>
          <w:rFonts w:cstheme="minorHAnsi"/>
          <w:b/>
          <w:bCs/>
          <w:iCs/>
          <w:sz w:val="28"/>
          <w:szCs w:val="24"/>
        </w:rPr>
        <w:lastRenderedPageBreak/>
        <w:t>Supplementary material S4</w:t>
      </w:r>
    </w:p>
    <w:p w14:paraId="504CA158" w14:textId="187E1F99" w:rsidR="00D329F7" w:rsidRPr="00E76877" w:rsidRDefault="00FA499B" w:rsidP="00B52ADA">
      <w:pPr>
        <w:spacing w:after="0" w:line="480" w:lineRule="auto"/>
        <w:contextualSpacing/>
        <w:rPr>
          <w:rFonts w:cstheme="minorHAnsi"/>
          <w:b/>
          <w:bCs/>
          <w:sz w:val="24"/>
          <w:szCs w:val="24"/>
        </w:rPr>
      </w:pPr>
      <w:r w:rsidRPr="00E76877">
        <w:rPr>
          <w:rFonts w:cstheme="minorHAnsi"/>
          <w:b/>
          <w:bCs/>
          <w:sz w:val="24"/>
          <w:szCs w:val="24"/>
        </w:rPr>
        <w:t>Table 5: Additional information about the 84 patients diagnosed with celiac disease.</w:t>
      </w:r>
    </w:p>
    <w:tbl>
      <w:tblPr>
        <w:tblW w:w="76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80"/>
        <w:gridCol w:w="1280"/>
        <w:gridCol w:w="1400"/>
        <w:gridCol w:w="1280"/>
        <w:gridCol w:w="1180"/>
      </w:tblGrid>
      <w:tr w:rsidR="00E76877" w:rsidRPr="00E76877" w14:paraId="50561EA3" w14:textId="77777777" w:rsidTr="009C6B96">
        <w:trPr>
          <w:trHeight w:val="98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E5C3" w14:textId="44543408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 xml:space="preserve">Patient </w:t>
            </w: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(n=84)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55A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Marsh-Oberhuber scores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1CD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IEL/100 epithelial cells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6C40" w14:textId="52FFED73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DGP-IgG</w:t>
            </w:r>
            <w:r w:rsidR="009C6B96"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 xml:space="preserve">  </w:t>
            </w:r>
            <w:r w:rsidR="009C6B96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U/m</w:t>
            </w:r>
            <w:r w:rsidR="00ED771A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l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AEAA" w14:textId="7EAD0344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TG2-IgA</w:t>
            </w:r>
            <w:r w:rsidR="009C6B96"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 xml:space="preserve"> </w:t>
            </w:r>
            <w:r w:rsidR="009C6B96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U/m</w:t>
            </w:r>
            <w:r w:rsidR="00ED771A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l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7A4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HLA-DQ</w:t>
            </w:r>
          </w:p>
        </w:tc>
      </w:tr>
      <w:tr w:rsidR="00E76877" w:rsidRPr="00E76877" w14:paraId="44E6C733" w14:textId="77777777" w:rsidTr="00E673A6">
        <w:trPr>
          <w:trHeight w:val="3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297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49F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681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032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576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677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9D06A55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C53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D3E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4DB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5F6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00E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DCF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D1DE7E9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3C1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DF8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E99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C0C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EB5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0A6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6CFEDB6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E08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C52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8F6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717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8BE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A97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32FF725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0A7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2B0D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B22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426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9CB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323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E1B915C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2DF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445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7F2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45E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5.6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366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3A4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7.5</w:t>
            </w:r>
          </w:p>
        </w:tc>
      </w:tr>
      <w:tr w:rsidR="00E76877" w:rsidRPr="00E76877" w14:paraId="7681372B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288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708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CE6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198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C8C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3C6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979AF8D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55F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F3E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5CA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79A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14D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A09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AD2B2DF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B27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CEA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EE4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C47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971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3E5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270E1109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0D5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DE6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214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9A8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F38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855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0795D60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4E5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A27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A6C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BC1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A71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8E1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552A716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153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146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C3E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2A2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BF7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BD0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4374C064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F18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94A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1D7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502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4C7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A96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16078CCA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8C5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323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040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97D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493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0C2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F869B9E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D9A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C55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929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50E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71E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4EB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46678B00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D98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2E2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FEF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DBB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C5B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975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39374B9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4C0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77E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4D6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5D2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7B3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E46E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4DB8B59A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9E6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639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0B4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1C2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CB1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3EE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F9D38AE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C0B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27C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098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8DF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F11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B79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5649ADF4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62B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224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09B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16E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C98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149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1307FFEA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5B1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0E9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A30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54E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0.8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E45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156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4A95D978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724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BF1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E97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3E3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D41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756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7225CED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B46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84C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548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D29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6A6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144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A3F350B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E35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420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833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E20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EDB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C17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5DCB206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CB0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91D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340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CB5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419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2E7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44AA7801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506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FFB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053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106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078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AF6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18FED1C9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8EA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C4F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E99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0AD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5.9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A54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DC0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A1B42BC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CC6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A69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CFC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2AF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8E2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90B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9671858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CFE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E3A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1DC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D1B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B6A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79A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3F616A3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BA9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004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D5E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A92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0E4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4EA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08C89183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1BC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230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311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E52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5.8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C4D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298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4A4058EF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F8E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67A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429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553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8.2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328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8.6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783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ND</w:t>
            </w:r>
          </w:p>
        </w:tc>
      </w:tr>
      <w:tr w:rsidR="00E76877" w:rsidRPr="00E76877" w14:paraId="2DBCF3D7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991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417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A08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683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C14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A7D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58B1DCD" w14:textId="77777777" w:rsidTr="00E673A6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3CC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3E3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85F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3C1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1.6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F78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C03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</w:tbl>
    <w:p w14:paraId="4968F69D" w14:textId="77777777" w:rsidR="00D329F7" w:rsidRPr="00E76877" w:rsidRDefault="00D329F7" w:rsidP="00D329F7"/>
    <w:tbl>
      <w:tblPr>
        <w:tblW w:w="75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1300"/>
        <w:gridCol w:w="1100"/>
        <w:gridCol w:w="1200"/>
        <w:gridCol w:w="1340"/>
        <w:gridCol w:w="1180"/>
      </w:tblGrid>
      <w:tr w:rsidR="00E76877" w:rsidRPr="00E76877" w14:paraId="259870AC" w14:textId="77777777" w:rsidTr="004754AA">
        <w:trPr>
          <w:trHeight w:val="983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7BAC" w14:textId="232D6E4F" w:rsidR="00D329F7" w:rsidRPr="00E76877" w:rsidRDefault="007C4C5F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lastRenderedPageBreak/>
              <w:t>Patient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3A7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Marsh-Oberhuber scores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D8C7" w14:textId="69EAA393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IEL/100 epithelial cells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33C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DGP-IgG</w:t>
            </w:r>
          </w:p>
          <w:p w14:paraId="7C5C1E6F" w14:textId="5ACEB605" w:rsidR="004754AA" w:rsidRPr="00E76877" w:rsidRDefault="004754AA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U/m</w:t>
            </w:r>
            <w:r w:rsidR="00ED771A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436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TG2-IgA</w:t>
            </w:r>
          </w:p>
          <w:p w14:paraId="750887D9" w14:textId="4729B2A3" w:rsidR="004754AA" w:rsidRPr="00E76877" w:rsidRDefault="004754AA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U/m</w:t>
            </w:r>
            <w:r w:rsidR="00ED771A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l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960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HLA-DQ</w:t>
            </w:r>
          </w:p>
        </w:tc>
      </w:tr>
      <w:tr w:rsidR="00E76877" w:rsidRPr="00E76877" w14:paraId="73FA6FE8" w14:textId="77777777" w:rsidTr="00E673A6">
        <w:trPr>
          <w:trHeight w:val="3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DBD66" w14:textId="73633DC6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7F8C6" w14:textId="4145D43C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FB48C" w14:textId="2EEBCCA7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E3900" w14:textId="2716E7C1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D7C2F" w14:textId="34C59CB9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1DFFB" w14:textId="1C1A353C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t>2.5</w:t>
            </w:r>
          </w:p>
        </w:tc>
      </w:tr>
      <w:tr w:rsidR="00E76877" w:rsidRPr="00E76877" w14:paraId="4CAE0FF8" w14:textId="77777777" w:rsidTr="00E673A6">
        <w:trPr>
          <w:trHeight w:val="3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3D66C" w14:textId="032F8B97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5CF2A" w14:textId="2A7A7A8B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9679C" w14:textId="11E8BBA7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88E22" w14:textId="28EEE265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18C9C" w14:textId="5319CC5B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C29D7" w14:textId="1E518D35" w:rsidR="00E673A6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F756ED5" w14:textId="77777777" w:rsidTr="00E673A6">
        <w:trPr>
          <w:trHeight w:val="3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401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8DE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22C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A93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B86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8F2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AA33812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CCE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869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61E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FD6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8AB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ED2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7CF1D45C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FB0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47D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650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16B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DA5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8C8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5BCF64C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D72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548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675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DD4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069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B1F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2.2</w:t>
            </w:r>
          </w:p>
        </w:tc>
      </w:tr>
      <w:tr w:rsidR="00E76877" w:rsidRPr="00E76877" w14:paraId="4B931565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B51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703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F7C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424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14B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FE3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1EEA9B3D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961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A8E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B17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8B2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593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CC2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B915642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325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78B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C0C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346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AC5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335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13184434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05C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A16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946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19A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DF6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540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2B0C4E8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2B5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DDF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9CF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346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2AC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0CD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447FDBC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D25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608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A7E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7ED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D91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086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17B3BE1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01B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C36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9B1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5B7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92F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7.6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B49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6851CED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DD5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FC3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E80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4B4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9F4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973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B76EF50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AB4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B44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1BA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D78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DAE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156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0DCFA47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751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4FC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E16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060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440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8.9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F30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7A14E3D6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728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4F5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4DF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C22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7.3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DA3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279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227CDA5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8A4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3B5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0EC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05D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3.9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EF1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00B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C547189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DFE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53C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906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8A5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446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4B7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7B6771D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913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42CA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8AC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4C1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C6A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D1C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4A5F902E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79B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183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8D3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0FE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09F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D67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B131CBB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1A8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F43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411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CCC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85D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CA9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BCBA103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F5A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82C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F39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BAA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677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29E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1B6D472D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FA5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6DA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E3F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EA2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B49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5B4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D8F88FA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4C6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16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1EC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6DE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D8B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94E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262A9AF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C7B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C31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729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D7A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28E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6D8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2.2</w:t>
            </w:r>
          </w:p>
        </w:tc>
      </w:tr>
      <w:tr w:rsidR="00E76877" w:rsidRPr="00E76877" w14:paraId="42581B68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4901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A35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0F8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65C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1BD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DD9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05ADA834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37C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973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76A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2A6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3.6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98A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BD8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49E4113D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780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8E8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71A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54A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6DB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312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32BA23A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1ED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C59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4D9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51C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1FE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6D2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6E93511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46D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642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EEA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9AD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14F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AF3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AB641C2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7D5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DE0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A7C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6DF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83C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33B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C01BCE0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8B7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165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296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27E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D06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758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34F9533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B39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90D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274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BDF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A1E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7.7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6B6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2.2</w:t>
            </w:r>
          </w:p>
        </w:tc>
      </w:tr>
      <w:tr w:rsidR="00E76877" w:rsidRPr="00E76877" w14:paraId="37C2094F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C19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4FB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1BB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F54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9.6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73E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AAE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3039DD51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F2E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E55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BE0D" w14:textId="72063D24" w:rsidR="00D329F7" w:rsidRPr="00E76877" w:rsidRDefault="000F1359" w:rsidP="000F13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E03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D87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780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64661F53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439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F50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083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73A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BEE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895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ND</w:t>
            </w:r>
          </w:p>
        </w:tc>
      </w:tr>
      <w:tr w:rsidR="00E76877" w:rsidRPr="00E76877" w14:paraId="2D490B7B" w14:textId="77777777" w:rsidTr="00E673A6">
        <w:trPr>
          <w:trHeight w:val="3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9BC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047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42C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248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57C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80B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</w:tbl>
    <w:p w14:paraId="664A3217" w14:textId="77777777" w:rsidR="00D329F7" w:rsidRPr="00E76877" w:rsidRDefault="00D329F7" w:rsidP="00D329F7"/>
    <w:tbl>
      <w:tblPr>
        <w:tblW w:w="703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230"/>
        <w:gridCol w:w="1140"/>
        <w:gridCol w:w="1080"/>
        <w:gridCol w:w="1140"/>
        <w:gridCol w:w="1160"/>
      </w:tblGrid>
      <w:tr w:rsidR="00E76877" w:rsidRPr="00E76877" w14:paraId="4EE815AB" w14:textId="77777777" w:rsidTr="004754AA">
        <w:trPr>
          <w:trHeight w:val="961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565B" w14:textId="73E0213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lastRenderedPageBreak/>
              <w:t>Patient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B73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Marsh-Oberhuber scores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0190" w14:textId="4B9094A9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IEL/100 epithelial cells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6F3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DGP-IgG</w:t>
            </w:r>
          </w:p>
          <w:p w14:paraId="5D7BD4D1" w14:textId="31FD271B" w:rsidR="004754AA" w:rsidRPr="00E76877" w:rsidRDefault="004754AA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U/m</w:t>
            </w:r>
            <w:r w:rsidR="00ED771A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D43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TG2-IgA</w:t>
            </w:r>
          </w:p>
          <w:p w14:paraId="72A03827" w14:textId="784C7B7B" w:rsidR="004754AA" w:rsidRPr="00E76877" w:rsidRDefault="004754AA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U/m</w:t>
            </w:r>
            <w:r w:rsidR="000B53ED"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l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356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HLA-DQ</w:t>
            </w:r>
          </w:p>
        </w:tc>
      </w:tr>
      <w:tr w:rsidR="00E76877" w:rsidRPr="00E76877" w14:paraId="0D6C9637" w14:textId="77777777" w:rsidTr="00E673A6">
        <w:trPr>
          <w:trHeight w:val="33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20E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36D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036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B26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C1A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388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1159941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7E4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D39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571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D90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F34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CFC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489BDE2F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2BC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50F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5EF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E80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B31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F23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24CB87C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8A9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853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B90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815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804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1.1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5C02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77E5C3D3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14F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DA4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67E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C74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33B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67B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1106220C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688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7B5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042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46A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340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36C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5925E7C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F13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79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901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A1C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6C0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BB8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52E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</w:t>
            </w:r>
          </w:p>
        </w:tc>
      </w:tr>
      <w:tr w:rsidR="00E76877" w:rsidRPr="00E76877" w14:paraId="448A64C1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95B5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80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38B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96F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CE2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E76F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7B8B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2799B726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111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81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4693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425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6571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655D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6BF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431D28D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E1E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82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38FC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E700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C17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E39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37AE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0D943C6A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118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83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A176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3c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01A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8968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52E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7.9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D54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  <w:tr w:rsidR="00E76877" w:rsidRPr="00E76877" w14:paraId="5F49042D" w14:textId="77777777" w:rsidTr="00E673A6">
        <w:trPr>
          <w:trHeight w:val="31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768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lang w:eastAsia="nb-NO"/>
              </w:rPr>
              <w:t>84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6EC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DDC7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DD14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8.3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3489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57AA" w14:textId="77777777" w:rsidR="00D329F7" w:rsidRPr="00E76877" w:rsidRDefault="00FA499B" w:rsidP="00E6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</w:pPr>
            <w:r w:rsidRPr="00E76877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2.5</w:t>
            </w:r>
          </w:p>
        </w:tc>
      </w:tr>
    </w:tbl>
    <w:p w14:paraId="0F321003" w14:textId="77777777" w:rsidR="00D329F7" w:rsidRPr="00E76877" w:rsidRDefault="00D329F7" w:rsidP="00D329F7"/>
    <w:p w14:paraId="0E9CF884" w14:textId="765A8CB6" w:rsidR="00D329F7" w:rsidRPr="00E76877" w:rsidRDefault="00D329F7" w:rsidP="00D329F7"/>
    <w:p w14:paraId="0FE19AA8" w14:textId="77777777" w:rsidR="00D329F7" w:rsidRPr="00E76877" w:rsidRDefault="00D329F7" w:rsidP="00A915CD">
      <w:pPr>
        <w:spacing w:after="0" w:line="480" w:lineRule="auto"/>
        <w:ind w:firstLine="708"/>
        <w:contextualSpacing/>
        <w:rPr>
          <w:rFonts w:cstheme="minorHAnsi"/>
          <w:sz w:val="24"/>
          <w:szCs w:val="24"/>
        </w:rPr>
      </w:pPr>
    </w:p>
    <w:p w14:paraId="6AED936A" w14:textId="77777777" w:rsidR="00A915CD" w:rsidRPr="00E76877" w:rsidRDefault="00A915CD" w:rsidP="00A915CD">
      <w:pPr>
        <w:spacing w:after="0" w:line="480" w:lineRule="auto"/>
        <w:contextualSpacing/>
        <w:rPr>
          <w:rFonts w:eastAsia="Calibri" w:cstheme="minorHAnsi"/>
          <w:b/>
          <w:sz w:val="24"/>
          <w:szCs w:val="24"/>
        </w:rPr>
      </w:pPr>
    </w:p>
    <w:p w14:paraId="373D2CB7" w14:textId="77777777" w:rsidR="00A915CD" w:rsidRPr="00E76877" w:rsidRDefault="00A915CD" w:rsidP="00A915CD">
      <w:pPr>
        <w:spacing w:line="480" w:lineRule="auto"/>
        <w:rPr>
          <w:rFonts w:eastAsia="Calibri" w:cstheme="minorHAnsi"/>
          <w:b/>
          <w:sz w:val="28"/>
          <w:szCs w:val="24"/>
        </w:rPr>
      </w:pPr>
    </w:p>
    <w:p w14:paraId="40E92ED7" w14:textId="77777777" w:rsidR="00A915CD" w:rsidRPr="00E76877" w:rsidRDefault="00A915CD" w:rsidP="00A915CD">
      <w:pPr>
        <w:spacing w:after="0" w:line="480" w:lineRule="auto"/>
        <w:contextualSpacing/>
        <w:rPr>
          <w:rFonts w:cstheme="minorHAnsi"/>
          <w:b/>
          <w:bCs/>
          <w:sz w:val="24"/>
          <w:szCs w:val="24"/>
        </w:rPr>
      </w:pPr>
    </w:p>
    <w:p w14:paraId="42D5E497" w14:textId="77777777" w:rsidR="00562D2A" w:rsidRPr="00E76877" w:rsidRDefault="00562D2A"/>
    <w:sectPr w:rsidR="00562D2A" w:rsidRPr="00E76877" w:rsidSect="00E21C77">
      <w:footerReference w:type="default" r:id="rId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82AA6" w14:textId="77777777" w:rsidR="00E605C4" w:rsidRDefault="00E605C4">
      <w:pPr>
        <w:spacing w:after="0" w:line="240" w:lineRule="auto"/>
      </w:pPr>
      <w:r>
        <w:separator/>
      </w:r>
    </w:p>
  </w:endnote>
  <w:endnote w:type="continuationSeparator" w:id="0">
    <w:p w14:paraId="06AEF6AE" w14:textId="77777777" w:rsidR="00E605C4" w:rsidRDefault="00E60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0350866"/>
      <w:docPartObj>
        <w:docPartGallery w:val="Page Numbers (Bottom of Page)"/>
        <w:docPartUnique/>
      </w:docPartObj>
    </w:sdtPr>
    <w:sdtEndPr/>
    <w:sdtContent>
      <w:p w14:paraId="6057B5B4" w14:textId="302BCED0" w:rsidR="00E673A6" w:rsidRDefault="00FA499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C77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CD2AA" w14:textId="77777777" w:rsidR="00E605C4" w:rsidRDefault="00E605C4">
      <w:pPr>
        <w:spacing w:after="0" w:line="240" w:lineRule="auto"/>
      </w:pPr>
      <w:r>
        <w:separator/>
      </w:r>
    </w:p>
  </w:footnote>
  <w:footnote w:type="continuationSeparator" w:id="0">
    <w:p w14:paraId="6100B5D6" w14:textId="77777777" w:rsidR="00E605C4" w:rsidRDefault="00E605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CD"/>
    <w:rsid w:val="00003565"/>
    <w:rsid w:val="000142DF"/>
    <w:rsid w:val="000A6C04"/>
    <w:rsid w:val="000B53ED"/>
    <w:rsid w:val="000F1359"/>
    <w:rsid w:val="000F3BD9"/>
    <w:rsid w:val="00174655"/>
    <w:rsid w:val="0019762F"/>
    <w:rsid w:val="001E6A1B"/>
    <w:rsid w:val="002A43C0"/>
    <w:rsid w:val="002C2E92"/>
    <w:rsid w:val="002C4349"/>
    <w:rsid w:val="00343B11"/>
    <w:rsid w:val="00355C51"/>
    <w:rsid w:val="00356EC3"/>
    <w:rsid w:val="003872AD"/>
    <w:rsid w:val="003947CE"/>
    <w:rsid w:val="00394AF6"/>
    <w:rsid w:val="00420C3A"/>
    <w:rsid w:val="004754AA"/>
    <w:rsid w:val="004B62E0"/>
    <w:rsid w:val="004B7949"/>
    <w:rsid w:val="004C69EC"/>
    <w:rsid w:val="004E352A"/>
    <w:rsid w:val="0050453D"/>
    <w:rsid w:val="00523AEF"/>
    <w:rsid w:val="00540B23"/>
    <w:rsid w:val="005440AB"/>
    <w:rsid w:val="00544C4E"/>
    <w:rsid w:val="005617B5"/>
    <w:rsid w:val="00562D2A"/>
    <w:rsid w:val="00580573"/>
    <w:rsid w:val="005C30E8"/>
    <w:rsid w:val="005F7958"/>
    <w:rsid w:val="00677EA3"/>
    <w:rsid w:val="006B5EFB"/>
    <w:rsid w:val="006C0113"/>
    <w:rsid w:val="006D31B0"/>
    <w:rsid w:val="007020F6"/>
    <w:rsid w:val="00762618"/>
    <w:rsid w:val="00772687"/>
    <w:rsid w:val="0079437A"/>
    <w:rsid w:val="007A74CC"/>
    <w:rsid w:val="007C4C5F"/>
    <w:rsid w:val="007D6D82"/>
    <w:rsid w:val="008639A0"/>
    <w:rsid w:val="00892B1B"/>
    <w:rsid w:val="008C7474"/>
    <w:rsid w:val="008D6D1E"/>
    <w:rsid w:val="008F28C9"/>
    <w:rsid w:val="00932227"/>
    <w:rsid w:val="00975E3E"/>
    <w:rsid w:val="0098662C"/>
    <w:rsid w:val="00996830"/>
    <w:rsid w:val="009C2F0C"/>
    <w:rsid w:val="009C6B96"/>
    <w:rsid w:val="009E179D"/>
    <w:rsid w:val="00A02390"/>
    <w:rsid w:val="00A06E35"/>
    <w:rsid w:val="00A1377E"/>
    <w:rsid w:val="00A200A5"/>
    <w:rsid w:val="00A20F23"/>
    <w:rsid w:val="00A23FAC"/>
    <w:rsid w:val="00A50C61"/>
    <w:rsid w:val="00A915CD"/>
    <w:rsid w:val="00AA7F60"/>
    <w:rsid w:val="00AE654B"/>
    <w:rsid w:val="00AF37E1"/>
    <w:rsid w:val="00B52ADA"/>
    <w:rsid w:val="00B60E10"/>
    <w:rsid w:val="00BA1E71"/>
    <w:rsid w:val="00BE4361"/>
    <w:rsid w:val="00BE5F01"/>
    <w:rsid w:val="00C47C98"/>
    <w:rsid w:val="00C51ED5"/>
    <w:rsid w:val="00C96A03"/>
    <w:rsid w:val="00D03003"/>
    <w:rsid w:val="00D21E12"/>
    <w:rsid w:val="00D329F7"/>
    <w:rsid w:val="00D358A0"/>
    <w:rsid w:val="00D60D8E"/>
    <w:rsid w:val="00D661B5"/>
    <w:rsid w:val="00D954D8"/>
    <w:rsid w:val="00DB219D"/>
    <w:rsid w:val="00DC2501"/>
    <w:rsid w:val="00DD382F"/>
    <w:rsid w:val="00E21C77"/>
    <w:rsid w:val="00E44463"/>
    <w:rsid w:val="00E50D82"/>
    <w:rsid w:val="00E605C4"/>
    <w:rsid w:val="00E673A6"/>
    <w:rsid w:val="00E67CC7"/>
    <w:rsid w:val="00E72B5C"/>
    <w:rsid w:val="00E76877"/>
    <w:rsid w:val="00ED771A"/>
    <w:rsid w:val="00F17253"/>
    <w:rsid w:val="00F466DA"/>
    <w:rsid w:val="00F7253E"/>
    <w:rsid w:val="00FA499B"/>
    <w:rsid w:val="00FE15FD"/>
    <w:rsid w:val="00FF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3F6AE"/>
  <w15:chartTrackingRefBased/>
  <w15:docId w15:val="{8F180EA7-B884-40C8-8E52-76596139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5C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5C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91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5CD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361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F7253E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1345</Words>
  <Characters>7673</Characters>
  <Application>Microsoft Office Word</Application>
  <DocSecurity>0</DocSecurity>
  <Lines>63</Lines>
  <Paragraphs>17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Jan-Magnus Kvamme</dc:creator>
  <cp:lastModifiedBy>Vanitha M.</cp:lastModifiedBy>
  <cp:revision>4</cp:revision>
  <dcterms:created xsi:type="dcterms:W3CDTF">2022-06-23T21:33:00Z</dcterms:created>
  <dcterms:modified xsi:type="dcterms:W3CDTF">2022-07-14T09:15:00Z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2022-06-08T22:47:52Z</vt:filetime>
  </property>
  <property fmtid="{D5CDD505-2E9C-101B-9397-08002B2CF9AE}" pid="3" name="ReminderText">
    <vt:lpwstr>_3JBDTRKX</vt:lpwstr>
  </property>
</Properties>
</file>