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FBDEA6" w14:textId="73BB16F1" w:rsidR="00755D15" w:rsidRPr="00755D15" w:rsidRDefault="00755D15" w:rsidP="00755D15">
      <w:pPr>
        <w:pStyle w:val="1"/>
        <w:rPr>
          <w:b/>
          <w:bCs/>
          <w:color w:val="000000" w:themeColor="text1"/>
        </w:rPr>
      </w:pPr>
      <w:r w:rsidRPr="00755D15">
        <w:rPr>
          <w:b/>
          <w:bCs/>
          <w:color w:val="000000" w:themeColor="text1"/>
        </w:rPr>
        <w:t xml:space="preserve">Supplementary </w:t>
      </w:r>
      <w:r>
        <w:rPr>
          <w:b/>
          <w:bCs/>
          <w:color w:val="000000" w:themeColor="text1"/>
        </w:rPr>
        <w:t>Information</w:t>
      </w:r>
    </w:p>
    <w:p w14:paraId="55C851ED" w14:textId="0C5B4611" w:rsidR="00755D15" w:rsidRDefault="00755D15" w:rsidP="00755D15">
      <w:pPr>
        <w:jc w:val="center"/>
        <w:rPr>
          <w:rStyle w:val="af2"/>
          <w:color w:val="000000" w:themeColor="text1"/>
          <w:sz w:val="24"/>
          <w:szCs w:val="24"/>
        </w:rPr>
      </w:pPr>
    </w:p>
    <w:p w14:paraId="249B9FCB" w14:textId="77777777" w:rsidR="00043A9E" w:rsidRDefault="00043A9E" w:rsidP="00755D15">
      <w:pPr>
        <w:jc w:val="center"/>
        <w:rPr>
          <w:rStyle w:val="af2"/>
          <w:color w:val="000000" w:themeColor="text1"/>
          <w:sz w:val="24"/>
          <w:szCs w:val="24"/>
        </w:rPr>
      </w:pPr>
    </w:p>
    <w:p w14:paraId="6339F345" w14:textId="0694E3A4" w:rsidR="00755D15" w:rsidRDefault="00755D15" w:rsidP="00755D15">
      <w:pPr>
        <w:rPr>
          <w:rStyle w:val="af2"/>
          <w:color w:val="000000" w:themeColor="text1"/>
          <w:sz w:val="24"/>
          <w:szCs w:val="24"/>
        </w:rPr>
      </w:pPr>
      <w:r>
        <w:rPr>
          <w:rStyle w:val="af2"/>
          <w:color w:val="000000" w:themeColor="text1"/>
          <w:sz w:val="24"/>
          <w:szCs w:val="24"/>
        </w:rPr>
        <w:t>Table of contents</w:t>
      </w:r>
    </w:p>
    <w:p w14:paraId="18EDC998" w14:textId="45086AF8" w:rsidR="00755D15" w:rsidRPr="00755D15" w:rsidRDefault="00755D15" w:rsidP="005B60CB">
      <w:pPr>
        <w:ind w:right="-2"/>
        <w:rPr>
          <w:rStyle w:val="af2"/>
          <w:b w:val="0"/>
          <w:bCs w:val="0"/>
          <w:color w:val="000000" w:themeColor="text1"/>
          <w:sz w:val="24"/>
          <w:szCs w:val="24"/>
        </w:rPr>
      </w:pPr>
      <w:r w:rsidRPr="00755D15">
        <w:rPr>
          <w:rStyle w:val="af2"/>
          <w:b w:val="0"/>
          <w:bCs w:val="0"/>
          <w:color w:val="000000" w:themeColor="text1"/>
          <w:sz w:val="24"/>
          <w:szCs w:val="24"/>
        </w:rPr>
        <w:t xml:space="preserve">1. Archaeological background of the </w:t>
      </w:r>
      <w:proofErr w:type="spellStart"/>
      <w:r w:rsidRPr="00755D15">
        <w:rPr>
          <w:rStyle w:val="af2"/>
          <w:b w:val="0"/>
          <w:bCs w:val="0"/>
          <w:color w:val="000000" w:themeColor="text1"/>
          <w:sz w:val="24"/>
          <w:szCs w:val="24"/>
        </w:rPr>
        <w:t>analysed</w:t>
      </w:r>
      <w:proofErr w:type="spellEnd"/>
      <w:r w:rsidRPr="00755D15">
        <w:rPr>
          <w:rStyle w:val="af2"/>
          <w:b w:val="0"/>
          <w:bCs w:val="0"/>
          <w:color w:val="000000" w:themeColor="text1"/>
          <w:sz w:val="24"/>
          <w:szCs w:val="24"/>
        </w:rPr>
        <w:t xml:space="preserve"> samples</w:t>
      </w:r>
      <w:r w:rsidR="00043A9E">
        <w:rPr>
          <w:rStyle w:val="af2"/>
          <w:b w:val="0"/>
          <w:bCs w:val="0"/>
          <w:color w:val="000000" w:themeColor="text1"/>
          <w:sz w:val="24"/>
          <w:szCs w:val="24"/>
        </w:rPr>
        <w:t>…………………………….…</w:t>
      </w:r>
      <w:r w:rsidR="005B60CB">
        <w:rPr>
          <w:rStyle w:val="af2"/>
          <w:b w:val="0"/>
          <w:bCs w:val="0"/>
          <w:color w:val="000000" w:themeColor="text1"/>
          <w:sz w:val="24"/>
          <w:szCs w:val="24"/>
        </w:rPr>
        <w:t xml:space="preserve">  </w:t>
      </w:r>
      <w:r w:rsidR="00043A9E">
        <w:rPr>
          <w:rStyle w:val="af2"/>
          <w:b w:val="0"/>
          <w:bCs w:val="0"/>
          <w:color w:val="000000" w:themeColor="text1"/>
          <w:sz w:val="24"/>
          <w:szCs w:val="24"/>
        </w:rPr>
        <w:t>4</w:t>
      </w:r>
    </w:p>
    <w:p w14:paraId="437AA2DE" w14:textId="7C6B56C9" w:rsidR="00755D15" w:rsidRPr="00755D15" w:rsidRDefault="00755D15" w:rsidP="00755D15">
      <w:pPr>
        <w:rPr>
          <w:rStyle w:val="af2"/>
          <w:b w:val="0"/>
          <w:bCs w:val="0"/>
          <w:color w:val="000000" w:themeColor="text1"/>
          <w:sz w:val="24"/>
          <w:szCs w:val="24"/>
        </w:rPr>
      </w:pPr>
      <w:r w:rsidRPr="00755D15">
        <w:rPr>
          <w:rStyle w:val="af2"/>
          <w:b w:val="0"/>
          <w:bCs w:val="0"/>
          <w:color w:val="000000" w:themeColor="text1"/>
          <w:sz w:val="24"/>
          <w:szCs w:val="24"/>
        </w:rPr>
        <w:t>2. Sample preparation</w:t>
      </w:r>
      <w:r w:rsidR="00043A9E">
        <w:rPr>
          <w:rStyle w:val="af2"/>
          <w:b w:val="0"/>
          <w:bCs w:val="0"/>
          <w:color w:val="000000" w:themeColor="text1"/>
          <w:sz w:val="24"/>
          <w:szCs w:val="24"/>
        </w:rPr>
        <w:t>………………………………………………………….…...…</w:t>
      </w:r>
      <w:proofErr w:type="gramStart"/>
      <w:r w:rsidR="00043A9E">
        <w:rPr>
          <w:rStyle w:val="af2"/>
          <w:b w:val="0"/>
          <w:bCs w:val="0"/>
          <w:color w:val="000000" w:themeColor="text1"/>
          <w:sz w:val="24"/>
          <w:szCs w:val="24"/>
        </w:rPr>
        <w:t>…..</w:t>
      </w:r>
      <w:proofErr w:type="gramEnd"/>
      <w:r w:rsidR="00043A9E">
        <w:rPr>
          <w:rStyle w:val="af2"/>
          <w:b w:val="0"/>
          <w:bCs w:val="0"/>
          <w:color w:val="000000" w:themeColor="text1"/>
          <w:sz w:val="24"/>
          <w:szCs w:val="24"/>
        </w:rPr>
        <w:t>1</w:t>
      </w:r>
      <w:r w:rsidR="004C0420">
        <w:rPr>
          <w:rStyle w:val="af2"/>
          <w:b w:val="0"/>
          <w:bCs w:val="0"/>
          <w:color w:val="000000" w:themeColor="text1"/>
          <w:sz w:val="24"/>
          <w:szCs w:val="24"/>
        </w:rPr>
        <w:t>7</w:t>
      </w:r>
    </w:p>
    <w:p w14:paraId="211C83C4" w14:textId="4C6E46FB" w:rsidR="00755D15" w:rsidRPr="00755D15" w:rsidRDefault="00755D15" w:rsidP="00755D15">
      <w:pPr>
        <w:rPr>
          <w:rStyle w:val="af2"/>
          <w:b w:val="0"/>
          <w:bCs w:val="0"/>
          <w:color w:val="000000" w:themeColor="text1"/>
          <w:sz w:val="24"/>
          <w:szCs w:val="24"/>
        </w:rPr>
      </w:pPr>
      <w:r w:rsidRPr="00755D15">
        <w:rPr>
          <w:rStyle w:val="af2"/>
          <w:b w:val="0"/>
          <w:bCs w:val="0"/>
          <w:color w:val="000000" w:themeColor="text1"/>
          <w:sz w:val="24"/>
          <w:szCs w:val="24"/>
        </w:rPr>
        <w:t>3. Next-Generation sequencing methods</w:t>
      </w:r>
      <w:r w:rsidR="00043A9E">
        <w:rPr>
          <w:rStyle w:val="af2"/>
          <w:b w:val="0"/>
          <w:bCs w:val="0"/>
          <w:color w:val="000000" w:themeColor="text1"/>
          <w:sz w:val="24"/>
          <w:szCs w:val="24"/>
        </w:rPr>
        <w:t>……………………………………………</w:t>
      </w:r>
      <w:proofErr w:type="gramStart"/>
      <w:r w:rsidR="00043A9E">
        <w:rPr>
          <w:rStyle w:val="af2"/>
          <w:b w:val="0"/>
          <w:bCs w:val="0"/>
          <w:color w:val="000000" w:themeColor="text1"/>
          <w:sz w:val="24"/>
          <w:szCs w:val="24"/>
        </w:rPr>
        <w:t>…..</w:t>
      </w:r>
      <w:proofErr w:type="gramEnd"/>
      <w:r w:rsidR="00043A9E">
        <w:rPr>
          <w:rStyle w:val="af2"/>
          <w:b w:val="0"/>
          <w:bCs w:val="0"/>
          <w:color w:val="000000" w:themeColor="text1"/>
          <w:sz w:val="24"/>
          <w:szCs w:val="24"/>
        </w:rPr>
        <w:t>1</w:t>
      </w:r>
      <w:r w:rsidR="004C0420">
        <w:rPr>
          <w:rStyle w:val="af2"/>
          <w:b w:val="0"/>
          <w:bCs w:val="0"/>
          <w:color w:val="000000" w:themeColor="text1"/>
          <w:sz w:val="24"/>
          <w:szCs w:val="24"/>
        </w:rPr>
        <w:t>8</w:t>
      </w:r>
    </w:p>
    <w:p w14:paraId="4E8211D4" w14:textId="41CEAC0F" w:rsidR="00755D15" w:rsidRPr="00755D15" w:rsidRDefault="00755D15" w:rsidP="00755D15">
      <w:pPr>
        <w:rPr>
          <w:rStyle w:val="af2"/>
          <w:b w:val="0"/>
          <w:bCs w:val="0"/>
          <w:color w:val="000000" w:themeColor="text1"/>
          <w:sz w:val="24"/>
          <w:szCs w:val="24"/>
        </w:rPr>
      </w:pPr>
      <w:r w:rsidRPr="00755D15">
        <w:rPr>
          <w:rStyle w:val="af2"/>
          <w:b w:val="0"/>
          <w:bCs w:val="0"/>
          <w:color w:val="000000" w:themeColor="text1"/>
          <w:sz w:val="24"/>
          <w:szCs w:val="24"/>
        </w:rPr>
        <w:t xml:space="preserve">4. </w:t>
      </w:r>
      <w:r w:rsidRPr="00A90CFD">
        <w:rPr>
          <w:rStyle w:val="af2"/>
          <w:b w:val="0"/>
          <w:bCs w:val="0"/>
          <w:i/>
          <w:iCs/>
          <w:color w:val="000000" w:themeColor="text1"/>
          <w:sz w:val="24"/>
          <w:szCs w:val="24"/>
        </w:rPr>
        <w:t>Fig. S1:</w:t>
      </w:r>
      <w:r w:rsidRPr="00755D15">
        <w:rPr>
          <w:rStyle w:val="af2"/>
          <w:b w:val="0"/>
          <w:bCs w:val="0"/>
          <w:color w:val="000000" w:themeColor="text1"/>
          <w:sz w:val="24"/>
          <w:szCs w:val="24"/>
        </w:rPr>
        <w:t xml:space="preserve"> </w:t>
      </w:r>
      <w:r w:rsidRPr="00755D15">
        <w:rPr>
          <w:color w:val="000000" w:themeColor="text1"/>
          <w:sz w:val="24"/>
          <w:szCs w:val="24"/>
        </w:rPr>
        <w:t>Digital map of Europe used for the simulation with SPLATCHE2</w:t>
      </w:r>
      <w:proofErr w:type="gramStart"/>
      <w:r w:rsidR="00043A9E">
        <w:rPr>
          <w:color w:val="000000" w:themeColor="text1"/>
          <w:sz w:val="24"/>
          <w:szCs w:val="24"/>
        </w:rPr>
        <w:t>…..</w:t>
      </w:r>
      <w:proofErr w:type="gramEnd"/>
      <w:r w:rsidR="00043A9E">
        <w:rPr>
          <w:color w:val="000000" w:themeColor="text1"/>
          <w:sz w:val="24"/>
          <w:szCs w:val="24"/>
        </w:rPr>
        <w:t>……</w:t>
      </w:r>
      <w:r w:rsidR="004C0420">
        <w:rPr>
          <w:color w:val="000000" w:themeColor="text1"/>
          <w:sz w:val="24"/>
          <w:szCs w:val="24"/>
        </w:rPr>
        <w:t>2</w:t>
      </w:r>
      <w:r w:rsidR="00D457B3">
        <w:rPr>
          <w:color w:val="000000" w:themeColor="text1"/>
          <w:sz w:val="24"/>
          <w:szCs w:val="24"/>
        </w:rPr>
        <w:t>0</w:t>
      </w:r>
    </w:p>
    <w:p w14:paraId="41B311EC" w14:textId="3FCA9DBB" w:rsidR="00755D15" w:rsidRPr="00755D15" w:rsidRDefault="00755D15" w:rsidP="00755D15">
      <w:pPr>
        <w:rPr>
          <w:rStyle w:val="af2"/>
          <w:b w:val="0"/>
          <w:bCs w:val="0"/>
          <w:color w:val="000000" w:themeColor="text1"/>
          <w:sz w:val="24"/>
          <w:szCs w:val="24"/>
        </w:rPr>
      </w:pPr>
      <w:r w:rsidRPr="00755D15">
        <w:rPr>
          <w:rStyle w:val="af2"/>
          <w:b w:val="0"/>
          <w:bCs w:val="0"/>
          <w:color w:val="000000" w:themeColor="text1"/>
          <w:sz w:val="24"/>
          <w:szCs w:val="24"/>
        </w:rPr>
        <w:t xml:space="preserve">5. </w:t>
      </w:r>
      <w:r w:rsidRPr="00A90CFD">
        <w:rPr>
          <w:rStyle w:val="af2"/>
          <w:b w:val="0"/>
          <w:bCs w:val="0"/>
          <w:i/>
          <w:iCs/>
          <w:color w:val="000000" w:themeColor="text1"/>
          <w:sz w:val="24"/>
          <w:szCs w:val="24"/>
        </w:rPr>
        <w:t>Fig. S2:</w:t>
      </w:r>
      <w:r w:rsidRPr="00755D15">
        <w:rPr>
          <w:rStyle w:val="af2"/>
          <w:b w:val="0"/>
          <w:bCs w:val="0"/>
          <w:color w:val="000000" w:themeColor="text1"/>
          <w:sz w:val="24"/>
          <w:szCs w:val="24"/>
        </w:rPr>
        <w:t xml:space="preserve"> </w:t>
      </w:r>
      <w:r w:rsidRPr="00755D15">
        <w:rPr>
          <w:color w:val="000000" w:themeColor="text1"/>
          <w:sz w:val="24"/>
          <w:szCs w:val="24"/>
        </w:rPr>
        <w:t>Parameter estimation cross-validation</w:t>
      </w:r>
      <w:r w:rsidR="00043A9E">
        <w:rPr>
          <w:color w:val="000000" w:themeColor="text1"/>
          <w:sz w:val="24"/>
          <w:szCs w:val="24"/>
        </w:rPr>
        <w:t>………………………………………</w:t>
      </w:r>
      <w:r w:rsidR="004C0420">
        <w:rPr>
          <w:color w:val="000000" w:themeColor="text1"/>
          <w:sz w:val="24"/>
          <w:szCs w:val="24"/>
        </w:rPr>
        <w:t>2</w:t>
      </w:r>
      <w:r w:rsidR="00D457B3">
        <w:rPr>
          <w:color w:val="000000" w:themeColor="text1"/>
          <w:sz w:val="24"/>
          <w:szCs w:val="24"/>
        </w:rPr>
        <w:t>1</w:t>
      </w:r>
    </w:p>
    <w:p w14:paraId="3787CCA2" w14:textId="57A6166A" w:rsidR="00755D15" w:rsidRPr="007E49DC" w:rsidRDefault="00755D15" w:rsidP="00755D15">
      <w:pPr>
        <w:rPr>
          <w:rStyle w:val="af2"/>
          <w:b w:val="0"/>
          <w:bCs w:val="0"/>
          <w:color w:val="000000" w:themeColor="text1"/>
          <w:sz w:val="24"/>
          <w:szCs w:val="24"/>
        </w:rPr>
      </w:pPr>
      <w:r w:rsidRPr="00755D15">
        <w:rPr>
          <w:rStyle w:val="af2"/>
          <w:b w:val="0"/>
          <w:bCs w:val="0"/>
          <w:color w:val="000000" w:themeColor="text1"/>
          <w:sz w:val="24"/>
          <w:szCs w:val="24"/>
        </w:rPr>
        <w:t>6. References</w:t>
      </w:r>
      <w:r w:rsidR="00043A9E" w:rsidRPr="007E49DC">
        <w:rPr>
          <w:rStyle w:val="af2"/>
          <w:b w:val="0"/>
          <w:bCs w:val="0"/>
          <w:color w:val="000000" w:themeColor="text1"/>
          <w:sz w:val="24"/>
          <w:szCs w:val="24"/>
        </w:rPr>
        <w:t>……………………………………………………………………………….2</w:t>
      </w:r>
      <w:r w:rsidR="00D457B3">
        <w:rPr>
          <w:rStyle w:val="af2"/>
          <w:b w:val="0"/>
          <w:bCs w:val="0"/>
          <w:color w:val="000000" w:themeColor="text1"/>
          <w:sz w:val="24"/>
          <w:szCs w:val="24"/>
        </w:rPr>
        <w:t>2</w:t>
      </w:r>
    </w:p>
    <w:p w14:paraId="63D357BC" w14:textId="3DD9A2B6" w:rsidR="00755D15" w:rsidRDefault="00755D15" w:rsidP="00755D15">
      <w:pPr>
        <w:jc w:val="center"/>
        <w:rPr>
          <w:rStyle w:val="af2"/>
          <w:color w:val="000000" w:themeColor="text1"/>
          <w:sz w:val="24"/>
          <w:szCs w:val="24"/>
        </w:rPr>
      </w:pPr>
    </w:p>
    <w:p w14:paraId="6143EAAB" w14:textId="058E9810" w:rsidR="00755D15" w:rsidRDefault="00755D15" w:rsidP="00755D15">
      <w:pPr>
        <w:jc w:val="center"/>
        <w:rPr>
          <w:rStyle w:val="af2"/>
          <w:color w:val="000000" w:themeColor="text1"/>
          <w:sz w:val="24"/>
          <w:szCs w:val="24"/>
        </w:rPr>
      </w:pPr>
    </w:p>
    <w:p w14:paraId="4A6C4D8B" w14:textId="37E79C06" w:rsidR="00755D15" w:rsidRDefault="00755D15" w:rsidP="00755D15">
      <w:pPr>
        <w:jc w:val="center"/>
        <w:rPr>
          <w:rStyle w:val="af2"/>
          <w:color w:val="000000" w:themeColor="text1"/>
          <w:sz w:val="24"/>
          <w:szCs w:val="24"/>
        </w:rPr>
      </w:pPr>
    </w:p>
    <w:p w14:paraId="4B595371" w14:textId="4649164D" w:rsidR="00755D15" w:rsidRDefault="00755D15" w:rsidP="00755D15">
      <w:pPr>
        <w:jc w:val="center"/>
        <w:rPr>
          <w:rStyle w:val="af2"/>
          <w:color w:val="000000" w:themeColor="text1"/>
          <w:sz w:val="24"/>
          <w:szCs w:val="24"/>
        </w:rPr>
      </w:pPr>
    </w:p>
    <w:p w14:paraId="7CE97451" w14:textId="23203A4B" w:rsidR="00755D15" w:rsidRDefault="00755D15" w:rsidP="00755D15">
      <w:pPr>
        <w:jc w:val="center"/>
        <w:rPr>
          <w:rStyle w:val="af2"/>
          <w:color w:val="000000" w:themeColor="text1"/>
          <w:sz w:val="24"/>
          <w:szCs w:val="24"/>
        </w:rPr>
      </w:pPr>
    </w:p>
    <w:p w14:paraId="26691442" w14:textId="283AE69E" w:rsidR="00755D15" w:rsidRDefault="00755D15" w:rsidP="00755D15">
      <w:pPr>
        <w:jc w:val="center"/>
        <w:rPr>
          <w:rStyle w:val="af2"/>
          <w:color w:val="000000" w:themeColor="text1"/>
          <w:sz w:val="24"/>
          <w:szCs w:val="24"/>
        </w:rPr>
      </w:pPr>
    </w:p>
    <w:p w14:paraId="76AE0F8A" w14:textId="0E9720AA" w:rsidR="00755D15" w:rsidRDefault="00755D15" w:rsidP="00755D15">
      <w:pPr>
        <w:jc w:val="center"/>
        <w:rPr>
          <w:rStyle w:val="af2"/>
          <w:color w:val="000000" w:themeColor="text1"/>
          <w:sz w:val="24"/>
          <w:szCs w:val="24"/>
        </w:rPr>
      </w:pPr>
    </w:p>
    <w:p w14:paraId="56CCD33A" w14:textId="0AD03E20" w:rsidR="00755D15" w:rsidRDefault="00755D15" w:rsidP="00755D15">
      <w:pPr>
        <w:jc w:val="center"/>
        <w:rPr>
          <w:rStyle w:val="af2"/>
          <w:color w:val="000000" w:themeColor="text1"/>
          <w:sz w:val="24"/>
          <w:szCs w:val="24"/>
        </w:rPr>
      </w:pPr>
    </w:p>
    <w:p w14:paraId="71EC143C" w14:textId="08D12DFF" w:rsidR="00755D15" w:rsidRDefault="00755D15" w:rsidP="00755D15">
      <w:pPr>
        <w:jc w:val="center"/>
        <w:rPr>
          <w:rStyle w:val="af2"/>
          <w:color w:val="000000" w:themeColor="text1"/>
          <w:sz w:val="24"/>
          <w:szCs w:val="24"/>
        </w:rPr>
      </w:pPr>
    </w:p>
    <w:p w14:paraId="5BDE4E33" w14:textId="7A6AEE10" w:rsidR="00755D15" w:rsidRDefault="00755D15" w:rsidP="00755D15">
      <w:pPr>
        <w:jc w:val="center"/>
        <w:rPr>
          <w:rStyle w:val="af2"/>
          <w:color w:val="000000" w:themeColor="text1"/>
          <w:sz w:val="24"/>
          <w:szCs w:val="24"/>
        </w:rPr>
      </w:pPr>
    </w:p>
    <w:p w14:paraId="733BDF75" w14:textId="5AF89140" w:rsidR="00755D15" w:rsidRDefault="00755D15" w:rsidP="00755D15">
      <w:pPr>
        <w:jc w:val="center"/>
        <w:rPr>
          <w:rStyle w:val="af2"/>
          <w:color w:val="000000" w:themeColor="text1"/>
          <w:sz w:val="24"/>
          <w:szCs w:val="24"/>
        </w:rPr>
      </w:pPr>
    </w:p>
    <w:p w14:paraId="0CE926EF" w14:textId="67875AC4" w:rsidR="00755D15" w:rsidRDefault="00755D15" w:rsidP="00755D15">
      <w:pPr>
        <w:jc w:val="center"/>
        <w:rPr>
          <w:rStyle w:val="af2"/>
          <w:color w:val="000000" w:themeColor="text1"/>
          <w:sz w:val="24"/>
          <w:szCs w:val="24"/>
        </w:rPr>
      </w:pPr>
    </w:p>
    <w:p w14:paraId="4EB1F708" w14:textId="1C5EC1FA" w:rsidR="00755D15" w:rsidRDefault="00755D15" w:rsidP="00755D15">
      <w:pPr>
        <w:jc w:val="center"/>
        <w:rPr>
          <w:rStyle w:val="af2"/>
          <w:color w:val="000000" w:themeColor="text1"/>
          <w:sz w:val="24"/>
          <w:szCs w:val="24"/>
        </w:rPr>
      </w:pPr>
    </w:p>
    <w:p w14:paraId="7A446603" w14:textId="2D0A8B42" w:rsidR="00755D15" w:rsidRDefault="00755D15" w:rsidP="00755D15">
      <w:pPr>
        <w:jc w:val="center"/>
        <w:rPr>
          <w:rStyle w:val="af2"/>
          <w:color w:val="000000" w:themeColor="text1"/>
          <w:sz w:val="24"/>
          <w:szCs w:val="24"/>
        </w:rPr>
      </w:pPr>
    </w:p>
    <w:p w14:paraId="2179BB1D" w14:textId="77777777" w:rsidR="00986DF8" w:rsidRPr="004A2B32" w:rsidRDefault="00986DF8" w:rsidP="00986DF8">
      <w:pPr>
        <w:rPr>
          <w:b/>
          <w:color w:val="000000" w:themeColor="text1"/>
          <w:sz w:val="24"/>
          <w:szCs w:val="24"/>
        </w:rPr>
      </w:pPr>
      <w:r w:rsidRPr="004A2B32">
        <w:rPr>
          <w:rStyle w:val="af2"/>
          <w:color w:val="000000" w:themeColor="text1"/>
          <w:sz w:val="24"/>
          <w:szCs w:val="24"/>
        </w:rPr>
        <w:lastRenderedPageBreak/>
        <w:t>Ancient</w:t>
      </w:r>
      <w:r w:rsidRPr="004A2B32">
        <w:rPr>
          <w:b/>
          <w:color w:val="000000" w:themeColor="text1"/>
          <w:sz w:val="24"/>
          <w:szCs w:val="24"/>
        </w:rPr>
        <w:t xml:space="preserve"> mitochondrial diversity reveals population homogeneity in Neolithic Greece and</w:t>
      </w:r>
      <w:r>
        <w:rPr>
          <w:b/>
          <w:color w:val="000000" w:themeColor="text1"/>
          <w:sz w:val="24"/>
          <w:szCs w:val="24"/>
        </w:rPr>
        <w:t xml:space="preserve"> identifies</w:t>
      </w:r>
      <w:r w:rsidRPr="004A2B32">
        <w:rPr>
          <w:b/>
          <w:color w:val="000000" w:themeColor="text1"/>
          <w:sz w:val="24"/>
          <w:szCs w:val="24"/>
        </w:rPr>
        <w:t xml:space="preserve"> </w:t>
      </w:r>
      <w:r>
        <w:rPr>
          <w:b/>
          <w:color w:val="000000" w:themeColor="text1"/>
          <w:sz w:val="24"/>
          <w:szCs w:val="24"/>
        </w:rPr>
        <w:t xml:space="preserve">population dynamics </w:t>
      </w:r>
      <w:r w:rsidRPr="004A2B32">
        <w:rPr>
          <w:b/>
          <w:color w:val="000000" w:themeColor="text1"/>
          <w:sz w:val="24"/>
          <w:szCs w:val="24"/>
        </w:rPr>
        <w:t xml:space="preserve">along the </w:t>
      </w:r>
      <w:proofErr w:type="spellStart"/>
      <w:r w:rsidRPr="004A2B32">
        <w:rPr>
          <w:b/>
          <w:color w:val="000000" w:themeColor="text1"/>
          <w:sz w:val="24"/>
          <w:szCs w:val="24"/>
        </w:rPr>
        <w:t>Danubian</w:t>
      </w:r>
      <w:proofErr w:type="spellEnd"/>
      <w:r w:rsidRPr="004A2B32">
        <w:rPr>
          <w:b/>
          <w:color w:val="000000" w:themeColor="text1"/>
          <w:sz w:val="24"/>
          <w:szCs w:val="24"/>
        </w:rPr>
        <w:t xml:space="preserve"> expansion axis</w:t>
      </w:r>
    </w:p>
    <w:p w14:paraId="560C1981" w14:textId="77777777" w:rsidR="00986DF8" w:rsidRPr="004A2B32" w:rsidRDefault="00986DF8" w:rsidP="00986DF8">
      <w:pPr>
        <w:rPr>
          <w:color w:val="000000" w:themeColor="text1"/>
        </w:rPr>
      </w:pPr>
      <w:bookmarkStart w:id="0" w:name="_1magwgc5pua" w:colFirst="0" w:colLast="0"/>
      <w:bookmarkEnd w:id="0"/>
    </w:p>
    <w:p w14:paraId="293B5F21" w14:textId="77777777" w:rsidR="00986DF8" w:rsidRPr="004A2B32" w:rsidRDefault="00986DF8" w:rsidP="00986DF8">
      <w:pPr>
        <w:pStyle w:val="2"/>
        <w:jc w:val="both"/>
        <w:rPr>
          <w:color w:val="000000" w:themeColor="text1"/>
        </w:rPr>
      </w:pPr>
      <w:r w:rsidRPr="004A2B32">
        <w:rPr>
          <w:color w:val="000000" w:themeColor="text1"/>
        </w:rPr>
        <w:t>Authors:</w:t>
      </w:r>
    </w:p>
    <w:p w14:paraId="65BD32BA" w14:textId="5030D84E" w:rsidR="00986DF8" w:rsidRPr="004A2B32" w:rsidRDefault="00986DF8" w:rsidP="00986DF8">
      <w:pPr>
        <w:rPr>
          <w:color w:val="000000" w:themeColor="text1"/>
        </w:rPr>
      </w:pPr>
      <w:r w:rsidRPr="004A2B32">
        <w:rPr>
          <w:color w:val="000000" w:themeColor="text1"/>
        </w:rPr>
        <w:t>Nuno M. Silva</w:t>
      </w:r>
      <w:r w:rsidRPr="004A2B32">
        <w:rPr>
          <w:color w:val="000000" w:themeColor="text1"/>
          <w:vertAlign w:val="superscript"/>
        </w:rPr>
        <w:t>1 §</w:t>
      </w:r>
      <w:r w:rsidRPr="004A2B32">
        <w:rPr>
          <w:color w:val="000000" w:themeColor="text1"/>
        </w:rPr>
        <w:t>, Susanne Kreutzer</w:t>
      </w:r>
      <w:r w:rsidRPr="004A2B32">
        <w:rPr>
          <w:color w:val="000000" w:themeColor="text1"/>
          <w:vertAlign w:val="superscript"/>
        </w:rPr>
        <w:t>2 §</w:t>
      </w:r>
      <w:r w:rsidRPr="004A2B32">
        <w:rPr>
          <w:color w:val="000000" w:themeColor="text1"/>
        </w:rPr>
        <w:t>, Angelos Souleles</w:t>
      </w:r>
      <w:r w:rsidRPr="004A2B32">
        <w:rPr>
          <w:color w:val="000000" w:themeColor="text1"/>
          <w:vertAlign w:val="superscript"/>
        </w:rPr>
        <w:t>3</w:t>
      </w:r>
      <w:r w:rsidRPr="004A2B32">
        <w:rPr>
          <w:color w:val="000000" w:themeColor="text1"/>
        </w:rPr>
        <w:t xml:space="preserve">, </w:t>
      </w:r>
      <w:proofErr w:type="spellStart"/>
      <w:r w:rsidRPr="004A2B32">
        <w:rPr>
          <w:color w:val="000000" w:themeColor="text1"/>
        </w:rPr>
        <w:t>Sevasti</w:t>
      </w:r>
      <w:proofErr w:type="spellEnd"/>
      <w:r w:rsidRPr="004A2B32">
        <w:rPr>
          <w:color w:val="000000" w:themeColor="text1"/>
        </w:rPr>
        <w:t xml:space="preserve"> Triantaphyllou</w:t>
      </w:r>
      <w:r w:rsidRPr="004A2B32">
        <w:rPr>
          <w:color w:val="000000" w:themeColor="text1"/>
          <w:vertAlign w:val="superscript"/>
        </w:rPr>
        <w:t>4</w:t>
      </w:r>
      <w:r w:rsidRPr="004A2B32">
        <w:rPr>
          <w:color w:val="000000" w:themeColor="text1"/>
        </w:rPr>
        <w:t>, Kostas Kotsakis</w:t>
      </w:r>
      <w:r w:rsidRPr="004A2B32">
        <w:rPr>
          <w:color w:val="000000" w:themeColor="text1"/>
          <w:vertAlign w:val="superscript"/>
        </w:rPr>
        <w:t>4</w:t>
      </w:r>
      <w:r w:rsidRPr="004A2B32">
        <w:rPr>
          <w:color w:val="000000" w:themeColor="text1"/>
        </w:rPr>
        <w:t xml:space="preserve">, </w:t>
      </w:r>
      <w:proofErr w:type="spellStart"/>
      <w:r w:rsidRPr="004A2B32">
        <w:rPr>
          <w:color w:val="000000" w:themeColor="text1"/>
        </w:rPr>
        <w:t>Dushka</w:t>
      </w:r>
      <w:proofErr w:type="spellEnd"/>
      <w:r w:rsidRPr="004A2B32">
        <w:rPr>
          <w:color w:val="000000" w:themeColor="text1"/>
        </w:rPr>
        <w:t xml:space="preserve"> Urem-Kotsou</w:t>
      </w:r>
      <w:r w:rsidRPr="004A2B32">
        <w:rPr>
          <w:color w:val="000000" w:themeColor="text1"/>
          <w:vertAlign w:val="superscript"/>
        </w:rPr>
        <w:t>5</w:t>
      </w:r>
      <w:r w:rsidRPr="004A2B32">
        <w:rPr>
          <w:color w:val="000000" w:themeColor="text1"/>
        </w:rPr>
        <w:t>, Paul Halstead</w:t>
      </w:r>
      <w:r w:rsidRPr="004A2B32">
        <w:rPr>
          <w:color w:val="000000" w:themeColor="text1"/>
          <w:vertAlign w:val="superscript"/>
        </w:rPr>
        <w:t>6</w:t>
      </w:r>
      <w:r w:rsidRPr="004A2B32">
        <w:rPr>
          <w:color w:val="000000" w:themeColor="text1"/>
        </w:rPr>
        <w:t>, Nikos Efstratiou</w:t>
      </w:r>
      <w:r w:rsidRPr="004A2B32">
        <w:rPr>
          <w:color w:val="000000" w:themeColor="text1"/>
          <w:vertAlign w:val="superscript"/>
        </w:rPr>
        <w:t>4</w:t>
      </w:r>
      <w:r w:rsidRPr="004A2B32">
        <w:rPr>
          <w:color w:val="000000" w:themeColor="text1"/>
        </w:rPr>
        <w:t>, Stavros Kotsos</w:t>
      </w:r>
      <w:r w:rsidRPr="004A2B32">
        <w:rPr>
          <w:color w:val="000000" w:themeColor="text1"/>
          <w:vertAlign w:val="superscript"/>
        </w:rPr>
        <w:t>7</w:t>
      </w:r>
      <w:r w:rsidRPr="004A2B32">
        <w:rPr>
          <w:color w:val="000000" w:themeColor="text1"/>
        </w:rPr>
        <w:t>, Georgia Karamitrou-Mentessidi</w:t>
      </w:r>
      <w:r w:rsidRPr="004A2B32">
        <w:rPr>
          <w:color w:val="000000" w:themeColor="text1"/>
          <w:vertAlign w:val="superscript"/>
        </w:rPr>
        <w:t>8</w:t>
      </w:r>
      <w:r w:rsidRPr="004A2B32">
        <w:rPr>
          <w:color w:val="000000" w:themeColor="text1"/>
        </w:rPr>
        <w:t xml:space="preserve">, </w:t>
      </w:r>
      <w:proofErr w:type="spellStart"/>
      <w:r w:rsidRPr="004A2B32">
        <w:rPr>
          <w:color w:val="000000" w:themeColor="text1"/>
        </w:rPr>
        <w:t>Fotini</w:t>
      </w:r>
      <w:proofErr w:type="spellEnd"/>
      <w:r w:rsidRPr="004A2B32">
        <w:rPr>
          <w:color w:val="000000" w:themeColor="text1"/>
        </w:rPr>
        <w:t xml:space="preserve"> Adaktylou</w:t>
      </w:r>
      <w:r w:rsidRPr="004A2B32">
        <w:rPr>
          <w:color w:val="000000" w:themeColor="text1"/>
          <w:vertAlign w:val="superscript"/>
        </w:rPr>
        <w:t>9</w:t>
      </w:r>
      <w:r w:rsidRPr="004A2B32">
        <w:rPr>
          <w:color w:val="000000" w:themeColor="text1"/>
        </w:rPr>
        <w:t xml:space="preserve">, </w:t>
      </w:r>
      <w:proofErr w:type="spellStart"/>
      <w:r w:rsidRPr="004A2B32">
        <w:rPr>
          <w:color w:val="000000" w:themeColor="text1"/>
        </w:rPr>
        <w:t>Areti</w:t>
      </w:r>
      <w:proofErr w:type="spellEnd"/>
      <w:r w:rsidRPr="004A2B32">
        <w:rPr>
          <w:color w:val="000000" w:themeColor="text1"/>
        </w:rPr>
        <w:t xml:space="preserve"> Chondroyianni-Metoki</w:t>
      </w:r>
      <w:r w:rsidRPr="004A2B32">
        <w:rPr>
          <w:color w:val="000000" w:themeColor="text1"/>
          <w:vertAlign w:val="superscript"/>
        </w:rPr>
        <w:t>10</w:t>
      </w:r>
      <w:r w:rsidRPr="004A2B32">
        <w:rPr>
          <w:color w:val="000000" w:themeColor="text1"/>
        </w:rPr>
        <w:t>, Maria Pappa</w:t>
      </w:r>
      <w:r w:rsidRPr="004A2B32">
        <w:rPr>
          <w:color w:val="000000" w:themeColor="text1"/>
          <w:vertAlign w:val="superscript"/>
        </w:rPr>
        <w:t>11</w:t>
      </w:r>
      <w:r w:rsidRPr="004A2B32">
        <w:rPr>
          <w:color w:val="000000" w:themeColor="text1"/>
        </w:rPr>
        <w:t>, Christina Ziota</w:t>
      </w:r>
      <w:r w:rsidRPr="004A2B32">
        <w:rPr>
          <w:color w:val="000000" w:themeColor="text1"/>
          <w:vertAlign w:val="superscript"/>
        </w:rPr>
        <w:t>12</w:t>
      </w:r>
      <w:r w:rsidRPr="004A2B32">
        <w:rPr>
          <w:color w:val="000000" w:themeColor="text1"/>
        </w:rPr>
        <w:t xml:space="preserve">, </w:t>
      </w:r>
      <w:proofErr w:type="spellStart"/>
      <w:r w:rsidRPr="004A2B32">
        <w:rPr>
          <w:color w:val="000000" w:themeColor="text1"/>
        </w:rPr>
        <w:t>Adamantios</w:t>
      </w:r>
      <w:proofErr w:type="spellEnd"/>
      <w:r w:rsidRPr="004A2B32">
        <w:rPr>
          <w:color w:val="000000" w:themeColor="text1"/>
        </w:rPr>
        <w:t xml:space="preserve"> Sampson</w:t>
      </w:r>
      <w:r w:rsidRPr="004A2B32">
        <w:rPr>
          <w:color w:val="000000" w:themeColor="text1"/>
          <w:vertAlign w:val="superscript"/>
        </w:rPr>
        <w:t>13</w:t>
      </w:r>
      <w:r w:rsidRPr="004A2B32">
        <w:rPr>
          <w:color w:val="000000" w:themeColor="text1"/>
        </w:rPr>
        <w:t>, Anastasia Papathanasiou</w:t>
      </w:r>
      <w:r w:rsidRPr="004A2B32">
        <w:rPr>
          <w:color w:val="000000" w:themeColor="text1"/>
          <w:vertAlign w:val="superscript"/>
        </w:rPr>
        <w:t>14</w:t>
      </w:r>
      <w:r w:rsidRPr="004A2B32">
        <w:rPr>
          <w:color w:val="000000" w:themeColor="text1"/>
        </w:rPr>
        <w:t>, Karen Vitelli</w:t>
      </w:r>
      <w:r w:rsidRPr="004A2B32">
        <w:rPr>
          <w:color w:val="000000" w:themeColor="text1"/>
          <w:vertAlign w:val="superscript"/>
        </w:rPr>
        <w:t>15</w:t>
      </w:r>
      <w:r w:rsidRPr="004A2B32">
        <w:rPr>
          <w:color w:val="000000" w:themeColor="text1"/>
        </w:rPr>
        <w:t>, Tracey Cullen</w:t>
      </w:r>
      <w:r w:rsidRPr="004A2B32">
        <w:rPr>
          <w:color w:val="000000" w:themeColor="text1"/>
          <w:vertAlign w:val="superscript"/>
        </w:rPr>
        <w:t>16</w:t>
      </w:r>
      <w:r w:rsidRPr="004A2B32">
        <w:rPr>
          <w:color w:val="000000" w:themeColor="text1"/>
        </w:rPr>
        <w:t xml:space="preserve">, </w:t>
      </w:r>
      <w:r>
        <w:rPr>
          <w:color w:val="000000" w:themeColor="text1"/>
        </w:rPr>
        <w:t xml:space="preserve">Nina </w:t>
      </w:r>
      <w:r w:rsidRPr="004A2B32">
        <w:rPr>
          <w:color w:val="000000" w:themeColor="text1"/>
        </w:rPr>
        <w:t>Kyparissi-Apostolika</w:t>
      </w:r>
      <w:r w:rsidRPr="004A2B32">
        <w:rPr>
          <w:color w:val="000000" w:themeColor="text1"/>
          <w:vertAlign w:val="superscript"/>
        </w:rPr>
        <w:t>17</w:t>
      </w:r>
      <w:r w:rsidRPr="004A2B32">
        <w:rPr>
          <w:color w:val="000000" w:themeColor="text1"/>
        </w:rPr>
        <w:t xml:space="preserve">, Andrea </w:t>
      </w:r>
      <w:proofErr w:type="spellStart"/>
      <w:r w:rsidRPr="004A2B32">
        <w:rPr>
          <w:color w:val="000000" w:themeColor="text1"/>
        </w:rPr>
        <w:t>Zeeb</w:t>
      </w:r>
      <w:proofErr w:type="spellEnd"/>
      <w:r w:rsidRPr="004A2B32">
        <w:rPr>
          <w:color w:val="000000" w:themeColor="text1"/>
        </w:rPr>
        <w:t xml:space="preserve"> Lanz</w:t>
      </w:r>
      <w:r w:rsidRPr="004A2B32">
        <w:rPr>
          <w:color w:val="000000" w:themeColor="text1"/>
          <w:vertAlign w:val="superscript"/>
        </w:rPr>
        <w:t>18</w:t>
      </w:r>
      <w:r w:rsidRPr="004A2B32">
        <w:rPr>
          <w:color w:val="000000" w:themeColor="text1"/>
        </w:rPr>
        <w:t>, Joris Peters</w:t>
      </w:r>
      <w:r w:rsidRPr="004A2B32">
        <w:rPr>
          <w:color w:val="000000" w:themeColor="text1"/>
          <w:vertAlign w:val="superscript"/>
        </w:rPr>
        <w:t>19,20</w:t>
      </w:r>
      <w:r w:rsidRPr="004A2B32">
        <w:rPr>
          <w:color w:val="000000" w:themeColor="text1"/>
        </w:rPr>
        <w:t xml:space="preserve">, </w:t>
      </w:r>
      <w:proofErr w:type="spellStart"/>
      <w:r w:rsidRPr="004A2B32">
        <w:rPr>
          <w:color w:val="000000" w:themeColor="text1"/>
        </w:rPr>
        <w:t>Jérémy</w:t>
      </w:r>
      <w:proofErr w:type="spellEnd"/>
      <w:r w:rsidRPr="004A2B32">
        <w:rPr>
          <w:color w:val="000000" w:themeColor="text1"/>
        </w:rPr>
        <w:t xml:space="preserve"> Rio</w:t>
      </w:r>
      <w:r w:rsidRPr="004A2B32">
        <w:rPr>
          <w:color w:val="000000" w:themeColor="text1"/>
          <w:vertAlign w:val="superscript"/>
        </w:rPr>
        <w:t>1</w:t>
      </w:r>
      <w:r w:rsidRPr="004A2B32">
        <w:rPr>
          <w:color w:val="000000" w:themeColor="text1"/>
        </w:rPr>
        <w:t>, Daniel Wegmann</w:t>
      </w:r>
      <w:r w:rsidRPr="004A2B32">
        <w:rPr>
          <w:color w:val="000000" w:themeColor="text1"/>
          <w:vertAlign w:val="superscript"/>
        </w:rPr>
        <w:t>21,22</w:t>
      </w:r>
      <w:r w:rsidRPr="004A2B32">
        <w:rPr>
          <w:color w:val="000000" w:themeColor="text1"/>
        </w:rPr>
        <w:t>, Joachim Burger</w:t>
      </w:r>
      <w:r w:rsidRPr="004A2B32">
        <w:rPr>
          <w:color w:val="000000" w:themeColor="text1"/>
          <w:vertAlign w:val="superscript"/>
        </w:rPr>
        <w:t>2</w:t>
      </w:r>
      <w:r w:rsidRPr="004A2B32">
        <w:rPr>
          <w:color w:val="000000" w:themeColor="text1"/>
        </w:rPr>
        <w:t>°, Mathias Currat</w:t>
      </w:r>
      <w:r w:rsidRPr="004A2B32">
        <w:rPr>
          <w:color w:val="000000" w:themeColor="text1"/>
          <w:vertAlign w:val="superscript"/>
        </w:rPr>
        <w:t>1,23</w:t>
      </w:r>
      <w:r w:rsidRPr="004A2B32">
        <w:rPr>
          <w:color w:val="000000" w:themeColor="text1"/>
        </w:rPr>
        <w:t>°*, Christina Papageorgopoulou</w:t>
      </w:r>
      <w:r w:rsidRPr="004A2B32">
        <w:rPr>
          <w:color w:val="000000" w:themeColor="text1"/>
          <w:vertAlign w:val="superscript"/>
        </w:rPr>
        <w:t>3</w:t>
      </w:r>
      <w:r w:rsidRPr="004A2B32">
        <w:rPr>
          <w:color w:val="000000" w:themeColor="text1"/>
        </w:rPr>
        <w:t>°*</w:t>
      </w:r>
    </w:p>
    <w:p w14:paraId="264FFD30" w14:textId="77777777" w:rsidR="00986DF8" w:rsidRPr="004A2B32" w:rsidRDefault="00986DF8" w:rsidP="00986DF8">
      <w:pPr>
        <w:rPr>
          <w:color w:val="000000" w:themeColor="text1"/>
        </w:rPr>
      </w:pPr>
      <w:bookmarkStart w:id="1" w:name="_inap85pden51" w:colFirst="0" w:colLast="0"/>
      <w:bookmarkEnd w:id="1"/>
    </w:p>
    <w:p w14:paraId="65B0D854" w14:textId="77777777" w:rsidR="00986DF8" w:rsidRPr="004A2B32" w:rsidRDefault="00986DF8" w:rsidP="00986DF8">
      <w:pPr>
        <w:pStyle w:val="2"/>
        <w:jc w:val="both"/>
        <w:rPr>
          <w:color w:val="000000" w:themeColor="text1"/>
        </w:rPr>
      </w:pPr>
      <w:bookmarkStart w:id="2" w:name="_vy8gtzeo7d10" w:colFirst="0" w:colLast="0"/>
      <w:bookmarkEnd w:id="2"/>
      <w:r w:rsidRPr="004A2B32">
        <w:rPr>
          <w:color w:val="000000" w:themeColor="text1"/>
        </w:rPr>
        <w:t>Affiliations:</w:t>
      </w:r>
    </w:p>
    <w:p w14:paraId="4C67E9B4" w14:textId="6244D0B3" w:rsidR="00986DF8" w:rsidRPr="00232D77" w:rsidRDefault="00986DF8" w:rsidP="00986DF8">
      <w:pPr>
        <w:rPr>
          <w:color w:val="000000" w:themeColor="text1"/>
          <w:sz w:val="20"/>
          <w:szCs w:val="20"/>
        </w:rPr>
      </w:pPr>
      <w:r w:rsidRPr="00232D77">
        <w:rPr>
          <w:color w:val="000000" w:themeColor="text1"/>
          <w:sz w:val="20"/>
          <w:szCs w:val="20"/>
          <w:vertAlign w:val="superscript"/>
        </w:rPr>
        <w:t xml:space="preserve">1 </w:t>
      </w:r>
      <w:r w:rsidRPr="00982C8F">
        <w:rPr>
          <w:color w:val="000000" w:themeColor="text1"/>
          <w:sz w:val="20"/>
          <w:szCs w:val="20"/>
        </w:rPr>
        <w:t>Department of Genetics &amp; Evolution,</w:t>
      </w:r>
      <w:r w:rsidRPr="00232D77">
        <w:rPr>
          <w:color w:val="000000" w:themeColor="text1"/>
          <w:sz w:val="20"/>
          <w:szCs w:val="20"/>
        </w:rPr>
        <w:t xml:space="preserve"> University of Geneva, Switzerland.</w:t>
      </w:r>
    </w:p>
    <w:p w14:paraId="497D7A67" w14:textId="77777777" w:rsidR="00986DF8" w:rsidRPr="00232D77" w:rsidRDefault="00986DF8" w:rsidP="00986DF8">
      <w:pPr>
        <w:spacing w:line="276" w:lineRule="auto"/>
        <w:rPr>
          <w:color w:val="000000" w:themeColor="text1"/>
          <w:sz w:val="20"/>
          <w:szCs w:val="20"/>
          <w:highlight w:val="white"/>
        </w:rPr>
      </w:pPr>
      <w:r w:rsidRPr="00232D77">
        <w:rPr>
          <w:color w:val="000000" w:themeColor="text1"/>
          <w:sz w:val="20"/>
          <w:szCs w:val="20"/>
          <w:vertAlign w:val="superscript"/>
        </w:rPr>
        <w:t xml:space="preserve">2 </w:t>
      </w:r>
      <w:proofErr w:type="spellStart"/>
      <w:r w:rsidRPr="00232D77">
        <w:rPr>
          <w:color w:val="000000" w:themeColor="text1"/>
          <w:sz w:val="20"/>
          <w:szCs w:val="20"/>
          <w:highlight w:val="white"/>
        </w:rPr>
        <w:t>Palaeogenetics</w:t>
      </w:r>
      <w:proofErr w:type="spellEnd"/>
      <w:r w:rsidRPr="00232D77">
        <w:rPr>
          <w:color w:val="000000" w:themeColor="text1"/>
          <w:sz w:val="20"/>
          <w:szCs w:val="20"/>
          <w:highlight w:val="white"/>
        </w:rPr>
        <w:t xml:space="preserve"> Group, Institute of Organismic and Molecular Evolution (</w:t>
      </w:r>
      <w:proofErr w:type="spellStart"/>
      <w:r w:rsidRPr="00232D77">
        <w:rPr>
          <w:color w:val="000000" w:themeColor="text1"/>
          <w:sz w:val="20"/>
          <w:szCs w:val="20"/>
          <w:highlight w:val="white"/>
        </w:rPr>
        <w:t>iomE</w:t>
      </w:r>
      <w:proofErr w:type="spellEnd"/>
      <w:r w:rsidRPr="00232D77">
        <w:rPr>
          <w:color w:val="000000" w:themeColor="text1"/>
          <w:sz w:val="20"/>
          <w:szCs w:val="20"/>
          <w:highlight w:val="white"/>
        </w:rPr>
        <w:t>), Johannes Gutenberg University of Mainz, 55099 Mainz, Germany</w:t>
      </w:r>
    </w:p>
    <w:p w14:paraId="6DCD9D5A" w14:textId="77777777" w:rsidR="00986DF8" w:rsidRPr="00232D77" w:rsidRDefault="00986DF8" w:rsidP="00986DF8">
      <w:pPr>
        <w:spacing w:line="276" w:lineRule="auto"/>
        <w:rPr>
          <w:color w:val="000000" w:themeColor="text1"/>
          <w:sz w:val="20"/>
          <w:szCs w:val="20"/>
          <w:highlight w:val="white"/>
        </w:rPr>
      </w:pPr>
      <w:r w:rsidRPr="00232D77">
        <w:rPr>
          <w:color w:val="000000" w:themeColor="text1"/>
          <w:sz w:val="20"/>
          <w:szCs w:val="20"/>
          <w:highlight w:val="white"/>
        </w:rPr>
        <w:t>current address: Functional Genomics Center Zurich/GEML, ETH Zurich, Zurich, Switzerland &amp; Department of Biology, ETH, Zurich, Switzerland.</w:t>
      </w:r>
    </w:p>
    <w:p w14:paraId="041A8108" w14:textId="77777777" w:rsidR="00986DF8" w:rsidRPr="00232D77" w:rsidRDefault="00986DF8" w:rsidP="00986DF8">
      <w:pPr>
        <w:rPr>
          <w:color w:val="000000" w:themeColor="text1"/>
          <w:sz w:val="20"/>
          <w:szCs w:val="20"/>
        </w:rPr>
      </w:pPr>
      <w:r w:rsidRPr="00232D77">
        <w:rPr>
          <w:color w:val="000000" w:themeColor="text1"/>
          <w:sz w:val="20"/>
          <w:szCs w:val="20"/>
          <w:vertAlign w:val="superscript"/>
        </w:rPr>
        <w:t xml:space="preserve">3 </w:t>
      </w:r>
      <w:r w:rsidRPr="00232D77">
        <w:rPr>
          <w:color w:val="000000" w:themeColor="text1"/>
          <w:sz w:val="20"/>
          <w:szCs w:val="20"/>
        </w:rPr>
        <w:t xml:space="preserve">Laboratory of Physical Anthropology, Department of History &amp; Ethnology, Democritus University of Thrace, 69100 </w:t>
      </w:r>
      <w:proofErr w:type="spellStart"/>
      <w:r w:rsidRPr="00232D77">
        <w:rPr>
          <w:color w:val="000000" w:themeColor="text1"/>
          <w:sz w:val="20"/>
          <w:szCs w:val="20"/>
        </w:rPr>
        <w:t>Komotini</w:t>
      </w:r>
      <w:proofErr w:type="spellEnd"/>
      <w:r w:rsidRPr="00232D77">
        <w:rPr>
          <w:color w:val="000000" w:themeColor="text1"/>
          <w:sz w:val="20"/>
          <w:szCs w:val="20"/>
        </w:rPr>
        <w:t>, Greece.</w:t>
      </w:r>
    </w:p>
    <w:p w14:paraId="07D4C2C9" w14:textId="77777777" w:rsidR="00986DF8" w:rsidRPr="00232D77" w:rsidRDefault="00986DF8" w:rsidP="00986DF8">
      <w:pPr>
        <w:rPr>
          <w:color w:val="000000" w:themeColor="text1"/>
          <w:sz w:val="20"/>
          <w:szCs w:val="20"/>
        </w:rPr>
      </w:pPr>
      <w:r w:rsidRPr="00232D77">
        <w:rPr>
          <w:color w:val="000000" w:themeColor="text1"/>
          <w:sz w:val="20"/>
          <w:szCs w:val="20"/>
          <w:vertAlign w:val="superscript"/>
        </w:rPr>
        <w:t xml:space="preserve">4 </w:t>
      </w:r>
      <w:r w:rsidRPr="00232D77">
        <w:rPr>
          <w:color w:val="000000" w:themeColor="text1"/>
          <w:sz w:val="20"/>
          <w:szCs w:val="20"/>
        </w:rPr>
        <w:t>Faculty of Philosophy, School of History and Archaeology, Aristotle University of Thessaloniki, 54124 Thessaloniki, Greece</w:t>
      </w:r>
    </w:p>
    <w:p w14:paraId="08415950" w14:textId="77777777" w:rsidR="00986DF8" w:rsidRPr="00232D77" w:rsidRDefault="00986DF8" w:rsidP="00986DF8">
      <w:pPr>
        <w:rPr>
          <w:color w:val="000000" w:themeColor="text1"/>
          <w:sz w:val="20"/>
          <w:szCs w:val="20"/>
        </w:rPr>
      </w:pPr>
      <w:r w:rsidRPr="00232D77">
        <w:rPr>
          <w:color w:val="000000" w:themeColor="text1"/>
          <w:sz w:val="20"/>
          <w:szCs w:val="20"/>
          <w:vertAlign w:val="superscript"/>
        </w:rPr>
        <w:t xml:space="preserve">5 </w:t>
      </w:r>
      <w:r w:rsidRPr="00232D77">
        <w:rPr>
          <w:color w:val="000000" w:themeColor="text1"/>
          <w:sz w:val="20"/>
          <w:szCs w:val="20"/>
        </w:rPr>
        <w:t xml:space="preserve">Department of History &amp; Ethnology, Democritus University of Thrace, 69100 </w:t>
      </w:r>
      <w:proofErr w:type="spellStart"/>
      <w:r w:rsidRPr="00232D77">
        <w:rPr>
          <w:color w:val="000000" w:themeColor="text1"/>
          <w:sz w:val="20"/>
          <w:szCs w:val="20"/>
        </w:rPr>
        <w:t>Komotini</w:t>
      </w:r>
      <w:proofErr w:type="spellEnd"/>
      <w:r w:rsidRPr="00232D77">
        <w:rPr>
          <w:color w:val="000000" w:themeColor="text1"/>
          <w:sz w:val="20"/>
          <w:szCs w:val="20"/>
        </w:rPr>
        <w:t>, Greece.</w:t>
      </w:r>
    </w:p>
    <w:p w14:paraId="4E0BFFB1" w14:textId="77777777" w:rsidR="00986DF8" w:rsidRPr="001F34E0" w:rsidRDefault="00986DF8" w:rsidP="00986DF8">
      <w:pPr>
        <w:widowControl/>
        <w:spacing w:line="240" w:lineRule="auto"/>
        <w:rPr>
          <w:rFonts w:ascii="Times New Roman" w:eastAsia="Times New Roman" w:hAnsi="Times New Roman" w:cs="Times New Roman"/>
          <w:color w:val="000000" w:themeColor="text1"/>
          <w:sz w:val="20"/>
          <w:szCs w:val="20"/>
        </w:rPr>
      </w:pPr>
      <w:r w:rsidRPr="001F34E0">
        <w:rPr>
          <w:color w:val="000000" w:themeColor="text1"/>
          <w:sz w:val="20"/>
          <w:szCs w:val="20"/>
          <w:vertAlign w:val="superscript"/>
        </w:rPr>
        <w:t xml:space="preserve">6 </w:t>
      </w:r>
      <w:r w:rsidRPr="001F34E0">
        <w:rPr>
          <w:rFonts w:eastAsia="Times New Roman"/>
          <w:color w:val="000000" w:themeColor="text1"/>
          <w:sz w:val="20"/>
          <w:szCs w:val="20"/>
        </w:rPr>
        <w:t>Emeritus, Department of Archaeology, University of Sheffield, Sheffield S1 3NJ, GB</w:t>
      </w:r>
    </w:p>
    <w:p w14:paraId="3D5D1AE4" w14:textId="77777777" w:rsidR="00986DF8" w:rsidRPr="00232D77" w:rsidRDefault="00986DF8" w:rsidP="00986DF8">
      <w:pPr>
        <w:widowControl/>
        <w:spacing w:after="0" w:line="240" w:lineRule="auto"/>
        <w:rPr>
          <w:color w:val="000000" w:themeColor="text1"/>
          <w:sz w:val="20"/>
          <w:szCs w:val="20"/>
        </w:rPr>
      </w:pPr>
      <w:r w:rsidRPr="00232D77">
        <w:rPr>
          <w:color w:val="000000" w:themeColor="text1"/>
          <w:sz w:val="20"/>
          <w:szCs w:val="20"/>
          <w:vertAlign w:val="superscript"/>
        </w:rPr>
        <w:t xml:space="preserve">7 </w:t>
      </w:r>
      <w:r w:rsidRPr="00232D77">
        <w:rPr>
          <w:color w:val="000000" w:themeColor="text1"/>
          <w:sz w:val="20"/>
          <w:szCs w:val="20"/>
        </w:rPr>
        <w:t xml:space="preserve">Ephorate of Antiquities of Thessaloniki City, </w:t>
      </w:r>
      <w:r w:rsidRPr="00A7690B">
        <w:rPr>
          <w:rFonts w:eastAsia="Times New Roman"/>
          <w:color w:val="000000" w:themeColor="text1"/>
          <w:sz w:val="20"/>
          <w:szCs w:val="20"/>
        </w:rPr>
        <w:t xml:space="preserve">Hellenic Ministry of Culture and Sports, </w:t>
      </w:r>
      <w:r w:rsidRPr="00232D77">
        <w:rPr>
          <w:color w:val="000000" w:themeColor="text1"/>
          <w:sz w:val="20"/>
          <w:szCs w:val="20"/>
        </w:rPr>
        <w:t>54003 Thessaloniki, Greece</w:t>
      </w:r>
    </w:p>
    <w:p w14:paraId="37DD84C1" w14:textId="77777777" w:rsidR="00986DF8" w:rsidRPr="00232D77" w:rsidRDefault="00986DF8" w:rsidP="00986DF8">
      <w:pPr>
        <w:widowControl/>
        <w:spacing w:after="0" w:line="240" w:lineRule="auto"/>
        <w:rPr>
          <w:color w:val="000000" w:themeColor="text1"/>
          <w:sz w:val="20"/>
          <w:szCs w:val="20"/>
        </w:rPr>
      </w:pPr>
    </w:p>
    <w:p w14:paraId="483AB77B" w14:textId="77777777" w:rsidR="00986DF8" w:rsidRPr="00232D77" w:rsidRDefault="00986DF8" w:rsidP="00986DF8">
      <w:pPr>
        <w:rPr>
          <w:color w:val="000000" w:themeColor="text1"/>
          <w:sz w:val="20"/>
          <w:szCs w:val="20"/>
        </w:rPr>
      </w:pPr>
      <w:r w:rsidRPr="00232D77">
        <w:rPr>
          <w:color w:val="000000" w:themeColor="text1"/>
          <w:sz w:val="20"/>
          <w:szCs w:val="20"/>
          <w:vertAlign w:val="superscript"/>
        </w:rPr>
        <w:t xml:space="preserve">8 </w:t>
      </w:r>
      <w:r w:rsidRPr="00232D77">
        <w:rPr>
          <w:color w:val="000000" w:themeColor="text1"/>
          <w:sz w:val="20"/>
          <w:szCs w:val="20"/>
        </w:rPr>
        <w:t>Ephor Emerita of Antiquities, Hellenic Ministry of Culture &amp; Sports, 10682 Athens, Greece</w:t>
      </w:r>
    </w:p>
    <w:p w14:paraId="0F9DBB95" w14:textId="77777777" w:rsidR="00986DF8" w:rsidRPr="00232D77" w:rsidRDefault="00986DF8" w:rsidP="00986DF8">
      <w:pPr>
        <w:rPr>
          <w:color w:val="000000" w:themeColor="text1"/>
          <w:sz w:val="20"/>
          <w:szCs w:val="20"/>
        </w:rPr>
      </w:pPr>
      <w:r w:rsidRPr="00232D77">
        <w:rPr>
          <w:color w:val="000000" w:themeColor="text1"/>
          <w:sz w:val="20"/>
          <w:szCs w:val="20"/>
          <w:vertAlign w:val="superscript"/>
        </w:rPr>
        <w:t xml:space="preserve">9 </w:t>
      </w:r>
      <w:r w:rsidRPr="00232D77">
        <w:rPr>
          <w:color w:val="000000" w:themeColor="text1"/>
          <w:sz w:val="20"/>
          <w:szCs w:val="20"/>
        </w:rPr>
        <w:t xml:space="preserve">Ephorate of Antiquities of Chalcidice and Mount Athos, </w:t>
      </w:r>
      <w:r w:rsidRPr="00A7690B">
        <w:rPr>
          <w:rFonts w:eastAsia="Times New Roman"/>
          <w:color w:val="000000" w:themeColor="text1"/>
          <w:sz w:val="20"/>
          <w:szCs w:val="20"/>
        </w:rPr>
        <w:t xml:space="preserve">Hellenic Ministry of Culture and Sports, </w:t>
      </w:r>
      <w:r w:rsidRPr="00232D77">
        <w:rPr>
          <w:color w:val="000000" w:themeColor="text1"/>
          <w:sz w:val="20"/>
          <w:szCs w:val="20"/>
        </w:rPr>
        <w:t xml:space="preserve">63100 </w:t>
      </w:r>
      <w:proofErr w:type="spellStart"/>
      <w:r w:rsidRPr="00232D77">
        <w:rPr>
          <w:color w:val="000000" w:themeColor="text1"/>
          <w:sz w:val="20"/>
          <w:szCs w:val="20"/>
        </w:rPr>
        <w:t>Poligiros</w:t>
      </w:r>
      <w:proofErr w:type="spellEnd"/>
      <w:r w:rsidRPr="00232D77">
        <w:rPr>
          <w:color w:val="000000" w:themeColor="text1"/>
          <w:sz w:val="20"/>
          <w:szCs w:val="20"/>
        </w:rPr>
        <w:t xml:space="preserve"> Chalcidice, Greece  </w:t>
      </w:r>
    </w:p>
    <w:p w14:paraId="31320B10" w14:textId="0881C511" w:rsidR="00986DF8" w:rsidRPr="00232D77" w:rsidRDefault="00986DF8" w:rsidP="00986DF8">
      <w:pPr>
        <w:rPr>
          <w:color w:val="000000" w:themeColor="text1"/>
          <w:sz w:val="20"/>
          <w:szCs w:val="20"/>
        </w:rPr>
      </w:pPr>
      <w:r w:rsidRPr="00232D77">
        <w:rPr>
          <w:color w:val="000000" w:themeColor="text1"/>
          <w:sz w:val="20"/>
          <w:szCs w:val="20"/>
          <w:vertAlign w:val="superscript"/>
        </w:rPr>
        <w:t xml:space="preserve">10 </w:t>
      </w:r>
      <w:r w:rsidRPr="00232D77">
        <w:rPr>
          <w:color w:val="000000" w:themeColor="text1"/>
          <w:sz w:val="20"/>
          <w:szCs w:val="20"/>
        </w:rPr>
        <w:t xml:space="preserve">Ephorate of Antiquities of </w:t>
      </w:r>
      <w:proofErr w:type="spellStart"/>
      <w:r w:rsidRPr="00232D77">
        <w:rPr>
          <w:color w:val="000000" w:themeColor="text1"/>
          <w:sz w:val="20"/>
          <w:szCs w:val="20"/>
        </w:rPr>
        <w:t>Kozani</w:t>
      </w:r>
      <w:proofErr w:type="spellEnd"/>
      <w:r w:rsidRPr="00232D77">
        <w:rPr>
          <w:color w:val="000000" w:themeColor="text1"/>
          <w:sz w:val="20"/>
          <w:szCs w:val="20"/>
        </w:rPr>
        <w:t xml:space="preserve">, </w:t>
      </w:r>
      <w:r w:rsidRPr="00A7690B">
        <w:rPr>
          <w:rFonts w:eastAsia="Times New Roman"/>
          <w:color w:val="000000" w:themeColor="text1"/>
          <w:sz w:val="20"/>
          <w:szCs w:val="20"/>
        </w:rPr>
        <w:t xml:space="preserve">Hellenic Ministry of Culture and Sports, </w:t>
      </w:r>
      <w:r w:rsidR="003E0FEF" w:rsidRPr="00982C8F">
        <w:rPr>
          <w:color w:val="000000" w:themeColor="text1"/>
          <w:sz w:val="20"/>
          <w:szCs w:val="20"/>
        </w:rPr>
        <w:t>50131</w:t>
      </w:r>
      <w:r w:rsidRPr="00232D77">
        <w:rPr>
          <w:color w:val="000000" w:themeColor="text1"/>
          <w:sz w:val="20"/>
          <w:szCs w:val="20"/>
        </w:rPr>
        <w:t xml:space="preserve"> </w:t>
      </w:r>
      <w:proofErr w:type="spellStart"/>
      <w:r w:rsidRPr="00232D77">
        <w:rPr>
          <w:color w:val="000000" w:themeColor="text1"/>
          <w:sz w:val="20"/>
          <w:szCs w:val="20"/>
        </w:rPr>
        <w:t>Kozani</w:t>
      </w:r>
      <w:proofErr w:type="spellEnd"/>
      <w:r w:rsidRPr="00232D77">
        <w:rPr>
          <w:color w:val="000000" w:themeColor="text1"/>
          <w:sz w:val="20"/>
          <w:szCs w:val="20"/>
        </w:rPr>
        <w:t>, Greece</w:t>
      </w:r>
    </w:p>
    <w:p w14:paraId="67DF26AC" w14:textId="77777777" w:rsidR="00986DF8" w:rsidRPr="00232D77" w:rsidRDefault="00986DF8" w:rsidP="00986DF8">
      <w:pPr>
        <w:rPr>
          <w:color w:val="000000" w:themeColor="text1"/>
          <w:sz w:val="20"/>
          <w:szCs w:val="20"/>
        </w:rPr>
      </w:pPr>
      <w:r w:rsidRPr="00232D77">
        <w:rPr>
          <w:color w:val="000000" w:themeColor="text1"/>
          <w:sz w:val="20"/>
          <w:szCs w:val="20"/>
          <w:vertAlign w:val="superscript"/>
        </w:rPr>
        <w:t xml:space="preserve">11 </w:t>
      </w:r>
      <w:r w:rsidRPr="00232D77">
        <w:rPr>
          <w:color w:val="000000" w:themeColor="text1"/>
          <w:sz w:val="20"/>
          <w:szCs w:val="20"/>
        </w:rPr>
        <w:t xml:space="preserve">Ephorate of Antiquities of Thessaloniki </w:t>
      </w:r>
      <w:r>
        <w:rPr>
          <w:color w:val="000000" w:themeColor="text1"/>
          <w:sz w:val="20"/>
          <w:szCs w:val="20"/>
        </w:rPr>
        <w:t>R</w:t>
      </w:r>
      <w:r w:rsidRPr="00232D77">
        <w:rPr>
          <w:color w:val="000000" w:themeColor="text1"/>
          <w:sz w:val="20"/>
          <w:szCs w:val="20"/>
        </w:rPr>
        <w:t xml:space="preserve">egion, </w:t>
      </w:r>
      <w:r w:rsidRPr="00A7690B">
        <w:rPr>
          <w:rFonts w:eastAsia="Times New Roman"/>
          <w:color w:val="000000" w:themeColor="text1"/>
          <w:sz w:val="20"/>
          <w:szCs w:val="20"/>
        </w:rPr>
        <w:t xml:space="preserve">Hellenic Ministry of Culture and Sports, </w:t>
      </w:r>
      <w:r w:rsidRPr="00232D77">
        <w:rPr>
          <w:color w:val="000000" w:themeColor="text1"/>
          <w:sz w:val="20"/>
          <w:szCs w:val="20"/>
        </w:rPr>
        <w:t>54646 Thessaloniki, Greece</w:t>
      </w:r>
    </w:p>
    <w:p w14:paraId="76DB87B9" w14:textId="77777777" w:rsidR="00986DF8" w:rsidRPr="00232D77" w:rsidRDefault="00986DF8" w:rsidP="00986DF8">
      <w:pPr>
        <w:rPr>
          <w:color w:val="000000" w:themeColor="text1"/>
          <w:sz w:val="20"/>
          <w:szCs w:val="20"/>
        </w:rPr>
      </w:pPr>
      <w:r w:rsidRPr="00232D77">
        <w:rPr>
          <w:color w:val="000000" w:themeColor="text1"/>
          <w:sz w:val="20"/>
          <w:szCs w:val="20"/>
          <w:vertAlign w:val="superscript"/>
        </w:rPr>
        <w:t xml:space="preserve">12 </w:t>
      </w:r>
      <w:r w:rsidRPr="00232D77">
        <w:rPr>
          <w:color w:val="000000" w:themeColor="text1"/>
          <w:sz w:val="20"/>
          <w:szCs w:val="20"/>
        </w:rPr>
        <w:t xml:space="preserve">Ephorate of Antiquities of Florina, </w:t>
      </w:r>
      <w:r w:rsidRPr="00A7690B">
        <w:rPr>
          <w:rFonts w:eastAsia="Times New Roman"/>
          <w:color w:val="000000" w:themeColor="text1"/>
          <w:sz w:val="20"/>
          <w:szCs w:val="20"/>
        </w:rPr>
        <w:t xml:space="preserve">Hellenic Ministry of Culture and Sports, </w:t>
      </w:r>
      <w:r w:rsidRPr="00232D77">
        <w:rPr>
          <w:color w:val="000000" w:themeColor="text1"/>
          <w:sz w:val="20"/>
          <w:szCs w:val="20"/>
        </w:rPr>
        <w:t>53100 Florina, Greece</w:t>
      </w:r>
    </w:p>
    <w:p w14:paraId="5EF2ABFB" w14:textId="77777777" w:rsidR="00986DF8" w:rsidRPr="00232D77" w:rsidRDefault="00986DF8" w:rsidP="00986DF8">
      <w:pPr>
        <w:rPr>
          <w:color w:val="000000" w:themeColor="text1"/>
          <w:sz w:val="20"/>
          <w:szCs w:val="20"/>
        </w:rPr>
      </w:pPr>
      <w:r w:rsidRPr="00232D77">
        <w:rPr>
          <w:color w:val="000000" w:themeColor="text1"/>
          <w:sz w:val="20"/>
          <w:szCs w:val="20"/>
          <w:vertAlign w:val="superscript"/>
        </w:rPr>
        <w:lastRenderedPageBreak/>
        <w:t xml:space="preserve">13 </w:t>
      </w:r>
      <w:r w:rsidRPr="00232D77">
        <w:rPr>
          <w:color w:val="000000" w:themeColor="text1"/>
          <w:sz w:val="20"/>
          <w:szCs w:val="20"/>
        </w:rPr>
        <w:t xml:space="preserve">Department of Mediterranean Studies, University of Aegean, 85132, Rhodes, Greece </w:t>
      </w:r>
    </w:p>
    <w:p w14:paraId="1EBCAC0E" w14:textId="77777777" w:rsidR="00986DF8" w:rsidRPr="00232D77" w:rsidRDefault="00986DF8" w:rsidP="00986DF8">
      <w:pPr>
        <w:rPr>
          <w:color w:val="000000" w:themeColor="text1"/>
          <w:sz w:val="20"/>
          <w:szCs w:val="20"/>
        </w:rPr>
      </w:pPr>
      <w:r w:rsidRPr="00232D77">
        <w:rPr>
          <w:color w:val="000000" w:themeColor="text1"/>
          <w:sz w:val="20"/>
          <w:szCs w:val="20"/>
          <w:vertAlign w:val="superscript"/>
        </w:rPr>
        <w:t xml:space="preserve">14 </w:t>
      </w:r>
      <w:r w:rsidRPr="00232D77">
        <w:rPr>
          <w:color w:val="000000" w:themeColor="text1"/>
          <w:sz w:val="20"/>
          <w:szCs w:val="20"/>
        </w:rPr>
        <w:t xml:space="preserve">Ephorate of Paleoanthropology and Speleology, </w:t>
      </w:r>
      <w:r w:rsidRPr="00A7690B">
        <w:rPr>
          <w:rFonts w:eastAsia="Times New Roman"/>
          <w:color w:val="000000" w:themeColor="text1"/>
          <w:sz w:val="20"/>
          <w:szCs w:val="20"/>
        </w:rPr>
        <w:t xml:space="preserve">Hellenic Ministry of Culture and Sports, </w:t>
      </w:r>
      <w:r w:rsidRPr="00232D77">
        <w:rPr>
          <w:color w:val="000000" w:themeColor="text1"/>
          <w:sz w:val="20"/>
          <w:szCs w:val="20"/>
        </w:rPr>
        <w:t>11636 Athens, Greece</w:t>
      </w:r>
    </w:p>
    <w:p w14:paraId="47214FD4" w14:textId="77777777" w:rsidR="00986DF8" w:rsidRPr="00A7690B" w:rsidRDefault="00986DF8" w:rsidP="00986DF8">
      <w:pPr>
        <w:widowControl/>
        <w:spacing w:line="240" w:lineRule="auto"/>
        <w:rPr>
          <w:rFonts w:eastAsia="Times New Roman"/>
          <w:sz w:val="20"/>
          <w:szCs w:val="20"/>
        </w:rPr>
      </w:pPr>
      <w:r w:rsidRPr="00232D77">
        <w:rPr>
          <w:color w:val="000000" w:themeColor="text1"/>
          <w:sz w:val="20"/>
          <w:szCs w:val="20"/>
          <w:vertAlign w:val="superscript"/>
        </w:rPr>
        <w:t xml:space="preserve">15 </w:t>
      </w:r>
      <w:r w:rsidRPr="00A7690B">
        <w:rPr>
          <w:rFonts w:eastAsia="Times New Roman"/>
          <w:color w:val="000000"/>
          <w:sz w:val="20"/>
          <w:szCs w:val="20"/>
        </w:rPr>
        <w:t xml:space="preserve">Prof. Emerita, Department of Anthropology, Indiana University Bloomington, US; Director, </w:t>
      </w:r>
      <w:proofErr w:type="spellStart"/>
      <w:r w:rsidRPr="00A7690B">
        <w:rPr>
          <w:rFonts w:eastAsia="Times New Roman"/>
          <w:color w:val="000000"/>
          <w:sz w:val="20"/>
          <w:szCs w:val="20"/>
        </w:rPr>
        <w:t>Franchthi</w:t>
      </w:r>
      <w:proofErr w:type="spellEnd"/>
      <w:r w:rsidRPr="00A7690B">
        <w:rPr>
          <w:rFonts w:eastAsia="Times New Roman"/>
          <w:color w:val="000000"/>
          <w:sz w:val="20"/>
          <w:szCs w:val="20"/>
        </w:rPr>
        <w:t xml:space="preserve"> Cave Project</w:t>
      </w:r>
    </w:p>
    <w:p w14:paraId="64006170" w14:textId="77777777" w:rsidR="00986DF8" w:rsidRPr="00232D77" w:rsidRDefault="00986DF8" w:rsidP="00986DF8">
      <w:pPr>
        <w:rPr>
          <w:color w:val="000000" w:themeColor="text1"/>
          <w:sz w:val="20"/>
          <w:szCs w:val="20"/>
        </w:rPr>
      </w:pPr>
      <w:r w:rsidRPr="00232D77">
        <w:rPr>
          <w:color w:val="000000" w:themeColor="text1"/>
          <w:sz w:val="20"/>
          <w:szCs w:val="20"/>
          <w:vertAlign w:val="superscript"/>
        </w:rPr>
        <w:t xml:space="preserve">16 </w:t>
      </w:r>
      <w:r w:rsidRPr="00232D77">
        <w:rPr>
          <w:color w:val="000000" w:themeColor="text1"/>
          <w:sz w:val="20"/>
          <w:szCs w:val="20"/>
        </w:rPr>
        <w:t>American School of Classical Studies at Athens, Princeton, NJ, US</w:t>
      </w:r>
    </w:p>
    <w:p w14:paraId="7DA6F554" w14:textId="77777777" w:rsidR="00986DF8" w:rsidRPr="00232D77" w:rsidRDefault="00986DF8" w:rsidP="00986DF8">
      <w:pPr>
        <w:rPr>
          <w:color w:val="000000" w:themeColor="text1"/>
          <w:sz w:val="20"/>
          <w:szCs w:val="20"/>
        </w:rPr>
      </w:pPr>
      <w:r w:rsidRPr="00232D77">
        <w:rPr>
          <w:color w:val="000000" w:themeColor="text1"/>
          <w:sz w:val="20"/>
          <w:szCs w:val="20"/>
          <w:vertAlign w:val="superscript"/>
        </w:rPr>
        <w:t xml:space="preserve">17 </w:t>
      </w:r>
      <w:r w:rsidRPr="00232D77">
        <w:rPr>
          <w:color w:val="000000" w:themeColor="text1"/>
          <w:sz w:val="20"/>
          <w:szCs w:val="20"/>
        </w:rPr>
        <w:t xml:space="preserve">Ephor Emerita of the Ephorate of Paleoanthropology and Speleology, </w:t>
      </w:r>
      <w:r w:rsidRPr="00A7690B">
        <w:rPr>
          <w:rFonts w:eastAsia="Times New Roman"/>
          <w:color w:val="000000" w:themeColor="text1"/>
          <w:sz w:val="20"/>
          <w:szCs w:val="20"/>
        </w:rPr>
        <w:t xml:space="preserve">Hellenic Ministry of Culture and Sports, </w:t>
      </w:r>
      <w:r w:rsidRPr="00232D77">
        <w:rPr>
          <w:color w:val="000000" w:themeColor="text1"/>
          <w:sz w:val="20"/>
          <w:szCs w:val="20"/>
        </w:rPr>
        <w:t>11636 Athens, Greece</w:t>
      </w:r>
    </w:p>
    <w:p w14:paraId="091E8A16" w14:textId="77777777" w:rsidR="00986DF8" w:rsidRPr="00232D77" w:rsidRDefault="00986DF8" w:rsidP="00986DF8">
      <w:pPr>
        <w:rPr>
          <w:color w:val="000000" w:themeColor="text1"/>
          <w:sz w:val="20"/>
          <w:szCs w:val="20"/>
        </w:rPr>
      </w:pPr>
      <w:r w:rsidRPr="00232D77">
        <w:rPr>
          <w:color w:val="000000" w:themeColor="text1"/>
          <w:sz w:val="20"/>
          <w:szCs w:val="20"/>
          <w:vertAlign w:val="superscript"/>
        </w:rPr>
        <w:t xml:space="preserve">18 </w:t>
      </w:r>
      <w:r w:rsidRPr="00232D77">
        <w:rPr>
          <w:color w:val="000000" w:themeColor="text1"/>
          <w:sz w:val="20"/>
          <w:szCs w:val="20"/>
        </w:rPr>
        <w:t xml:space="preserve">General Direction for </w:t>
      </w:r>
      <w:r w:rsidRPr="00232D77">
        <w:rPr>
          <w:rFonts w:eastAsia="Times New Roman"/>
          <w:color w:val="000000" w:themeColor="text1"/>
          <w:sz w:val="20"/>
          <w:szCs w:val="20"/>
        </w:rPr>
        <w:t xml:space="preserve">Cultural Heritage of Rhineland-Palatinate, </w:t>
      </w:r>
      <w:r w:rsidRPr="00232D77">
        <w:rPr>
          <w:color w:val="000000" w:themeColor="text1"/>
          <w:sz w:val="20"/>
          <w:szCs w:val="20"/>
        </w:rPr>
        <w:t>Speyer, Germany</w:t>
      </w:r>
    </w:p>
    <w:p w14:paraId="73A41720" w14:textId="77777777" w:rsidR="00986DF8" w:rsidRPr="00232D77" w:rsidRDefault="00986DF8" w:rsidP="00986DF8">
      <w:pPr>
        <w:rPr>
          <w:color w:val="000000" w:themeColor="text1"/>
          <w:sz w:val="20"/>
          <w:szCs w:val="20"/>
        </w:rPr>
      </w:pPr>
      <w:r w:rsidRPr="00232D77">
        <w:rPr>
          <w:color w:val="000000" w:themeColor="text1"/>
          <w:sz w:val="20"/>
          <w:szCs w:val="20"/>
          <w:vertAlign w:val="superscript"/>
        </w:rPr>
        <w:t xml:space="preserve">19 </w:t>
      </w:r>
      <w:r w:rsidRPr="00232D77">
        <w:rPr>
          <w:color w:val="000000" w:themeColor="text1"/>
          <w:sz w:val="20"/>
          <w:szCs w:val="20"/>
        </w:rPr>
        <w:t xml:space="preserve">Institute of </w:t>
      </w:r>
      <w:proofErr w:type="spellStart"/>
      <w:r w:rsidRPr="00232D77">
        <w:rPr>
          <w:color w:val="000000" w:themeColor="text1"/>
          <w:sz w:val="20"/>
          <w:szCs w:val="20"/>
        </w:rPr>
        <w:t>Palaeoanatomy</w:t>
      </w:r>
      <w:proofErr w:type="spellEnd"/>
      <w:r w:rsidRPr="00232D77">
        <w:rPr>
          <w:color w:val="000000" w:themeColor="text1"/>
          <w:sz w:val="20"/>
          <w:szCs w:val="20"/>
        </w:rPr>
        <w:t>, Domestication Research and the History of Veterinary Medicine, LMU Munich; Munich, Germany</w:t>
      </w:r>
    </w:p>
    <w:p w14:paraId="79181C1C" w14:textId="77777777" w:rsidR="00986DF8" w:rsidRPr="00232D77" w:rsidRDefault="00986DF8" w:rsidP="00986DF8">
      <w:pPr>
        <w:rPr>
          <w:color w:val="000000" w:themeColor="text1"/>
          <w:sz w:val="20"/>
          <w:szCs w:val="20"/>
        </w:rPr>
      </w:pPr>
      <w:r w:rsidRPr="00232D77">
        <w:rPr>
          <w:color w:val="000000" w:themeColor="text1"/>
          <w:sz w:val="20"/>
          <w:szCs w:val="20"/>
          <w:vertAlign w:val="superscript"/>
        </w:rPr>
        <w:t xml:space="preserve">20 </w:t>
      </w:r>
      <w:r w:rsidRPr="00232D77">
        <w:rPr>
          <w:color w:val="000000" w:themeColor="text1"/>
          <w:sz w:val="20"/>
          <w:szCs w:val="20"/>
        </w:rPr>
        <w:t xml:space="preserve">SNSB, State Collection of </w:t>
      </w:r>
      <w:proofErr w:type="spellStart"/>
      <w:r w:rsidRPr="00232D77">
        <w:rPr>
          <w:color w:val="000000" w:themeColor="text1"/>
          <w:sz w:val="20"/>
          <w:szCs w:val="20"/>
        </w:rPr>
        <w:t>Palaeoanatomy</w:t>
      </w:r>
      <w:proofErr w:type="spellEnd"/>
      <w:r w:rsidRPr="00232D77">
        <w:rPr>
          <w:color w:val="000000" w:themeColor="text1"/>
          <w:sz w:val="20"/>
          <w:szCs w:val="20"/>
        </w:rPr>
        <w:t xml:space="preserve"> Munich; Munich, Germany</w:t>
      </w:r>
    </w:p>
    <w:p w14:paraId="2CFB572F" w14:textId="77777777" w:rsidR="00986DF8" w:rsidRPr="00232D77" w:rsidRDefault="00986DF8" w:rsidP="00986DF8">
      <w:pPr>
        <w:rPr>
          <w:color w:val="000000" w:themeColor="text1"/>
          <w:sz w:val="20"/>
          <w:szCs w:val="20"/>
        </w:rPr>
      </w:pPr>
      <w:r w:rsidRPr="00232D77">
        <w:rPr>
          <w:color w:val="000000" w:themeColor="text1"/>
          <w:sz w:val="20"/>
          <w:szCs w:val="20"/>
          <w:vertAlign w:val="superscript"/>
        </w:rPr>
        <w:t xml:space="preserve">21 </w:t>
      </w:r>
      <w:r w:rsidRPr="00232D77">
        <w:rPr>
          <w:color w:val="000000" w:themeColor="text1"/>
          <w:sz w:val="20"/>
          <w:szCs w:val="20"/>
        </w:rPr>
        <w:t>Department of Biology, University of Fribourg, 1700 Fribourg, Switzerland</w:t>
      </w:r>
    </w:p>
    <w:p w14:paraId="414C670A" w14:textId="77777777" w:rsidR="00986DF8" w:rsidRPr="00232D77" w:rsidRDefault="00986DF8" w:rsidP="00986DF8">
      <w:pPr>
        <w:rPr>
          <w:color w:val="000000" w:themeColor="text1"/>
          <w:sz w:val="20"/>
          <w:szCs w:val="20"/>
        </w:rPr>
      </w:pPr>
      <w:r w:rsidRPr="00232D77">
        <w:rPr>
          <w:color w:val="000000" w:themeColor="text1"/>
          <w:sz w:val="20"/>
          <w:szCs w:val="20"/>
          <w:vertAlign w:val="superscript"/>
        </w:rPr>
        <w:t xml:space="preserve">22 </w:t>
      </w:r>
      <w:r w:rsidRPr="00232D77">
        <w:rPr>
          <w:color w:val="000000" w:themeColor="text1"/>
          <w:sz w:val="20"/>
          <w:szCs w:val="20"/>
        </w:rPr>
        <w:t>Swiss Institute of Bioinformatics, 1700 Fribourg, Switzerland</w:t>
      </w:r>
    </w:p>
    <w:p w14:paraId="2B19B09E" w14:textId="77777777" w:rsidR="00986DF8" w:rsidRPr="00232D77" w:rsidRDefault="00986DF8" w:rsidP="00986DF8">
      <w:pPr>
        <w:rPr>
          <w:color w:val="000000" w:themeColor="text1"/>
          <w:sz w:val="20"/>
          <w:szCs w:val="20"/>
        </w:rPr>
      </w:pPr>
      <w:r w:rsidRPr="00232D77">
        <w:rPr>
          <w:color w:val="000000" w:themeColor="text1"/>
          <w:sz w:val="20"/>
          <w:szCs w:val="20"/>
          <w:vertAlign w:val="superscript"/>
        </w:rPr>
        <w:t xml:space="preserve">23 </w:t>
      </w:r>
      <w:r w:rsidRPr="00232D77">
        <w:rPr>
          <w:color w:val="000000" w:themeColor="text1"/>
          <w:sz w:val="20"/>
          <w:szCs w:val="20"/>
        </w:rPr>
        <w:t>Institute of Genetics and Genomics in Geneva (IGE3), University of Geneva, Switzerland</w:t>
      </w:r>
    </w:p>
    <w:p w14:paraId="139969E7" w14:textId="77777777" w:rsidR="00986DF8" w:rsidRPr="00232D77" w:rsidRDefault="00986DF8" w:rsidP="00986DF8">
      <w:pPr>
        <w:spacing w:line="240" w:lineRule="auto"/>
        <w:rPr>
          <w:color w:val="000000" w:themeColor="text1"/>
          <w:sz w:val="20"/>
          <w:szCs w:val="20"/>
        </w:rPr>
      </w:pPr>
      <w:r w:rsidRPr="00232D77">
        <w:rPr>
          <w:color w:val="000000" w:themeColor="text1"/>
          <w:sz w:val="20"/>
          <w:szCs w:val="20"/>
        </w:rPr>
        <w:t>§ These authors contributed equally to this work</w:t>
      </w:r>
    </w:p>
    <w:p w14:paraId="7F8087D9" w14:textId="77777777" w:rsidR="00986DF8" w:rsidRPr="00232D77" w:rsidRDefault="00986DF8" w:rsidP="00986DF8">
      <w:pPr>
        <w:spacing w:line="240" w:lineRule="auto"/>
        <w:rPr>
          <w:b/>
          <w:color w:val="000000" w:themeColor="text1"/>
          <w:sz w:val="20"/>
          <w:szCs w:val="20"/>
        </w:rPr>
      </w:pPr>
      <w:r w:rsidRPr="00232D77">
        <w:rPr>
          <w:color w:val="000000" w:themeColor="text1"/>
          <w:sz w:val="20"/>
          <w:szCs w:val="20"/>
        </w:rPr>
        <w:t>° These authors are joint senior authors on this work</w:t>
      </w:r>
    </w:p>
    <w:p w14:paraId="00E8943C" w14:textId="25E66533" w:rsidR="00986DF8" w:rsidRDefault="00986DF8" w:rsidP="00986DF8">
      <w:pPr>
        <w:rPr>
          <w:color w:val="000000" w:themeColor="text1"/>
          <w:sz w:val="20"/>
          <w:szCs w:val="20"/>
        </w:rPr>
      </w:pPr>
      <w:bookmarkStart w:id="3" w:name="_5k8uicvtvvmc" w:colFirst="0" w:colLast="0"/>
      <w:bookmarkEnd w:id="3"/>
      <w:r w:rsidRPr="00232D77">
        <w:rPr>
          <w:color w:val="000000" w:themeColor="text1"/>
          <w:sz w:val="20"/>
          <w:szCs w:val="20"/>
        </w:rPr>
        <w:t>* corresponding authors</w:t>
      </w:r>
      <w:r w:rsidRPr="00AD336F">
        <w:rPr>
          <w:color w:val="000000" w:themeColor="text1"/>
          <w:sz w:val="20"/>
          <w:szCs w:val="20"/>
        </w:rPr>
        <w:br/>
      </w:r>
    </w:p>
    <w:p w14:paraId="12C52268" w14:textId="2FC5B132" w:rsidR="001F34E0" w:rsidRDefault="001F34E0" w:rsidP="00986DF8">
      <w:pPr>
        <w:rPr>
          <w:color w:val="000000" w:themeColor="text1"/>
          <w:sz w:val="20"/>
          <w:szCs w:val="20"/>
        </w:rPr>
      </w:pPr>
    </w:p>
    <w:p w14:paraId="4E2B9498" w14:textId="78F0655B" w:rsidR="001F34E0" w:rsidRDefault="001F34E0" w:rsidP="00986DF8">
      <w:pPr>
        <w:rPr>
          <w:color w:val="000000" w:themeColor="text1"/>
          <w:sz w:val="20"/>
          <w:szCs w:val="20"/>
        </w:rPr>
      </w:pPr>
    </w:p>
    <w:p w14:paraId="5788C85B" w14:textId="2F7AA05D" w:rsidR="00986DF8" w:rsidRDefault="00986DF8" w:rsidP="00986DF8"/>
    <w:p w14:paraId="0E66ED73" w14:textId="1DB00A34" w:rsidR="001F34E0" w:rsidRDefault="001F34E0" w:rsidP="00986DF8"/>
    <w:p w14:paraId="058433ED" w14:textId="77777777" w:rsidR="001F34E0" w:rsidRDefault="001F34E0" w:rsidP="00986DF8"/>
    <w:p w14:paraId="51DB8ADD" w14:textId="6E6B0FEE" w:rsidR="00986DF8" w:rsidRDefault="00986DF8" w:rsidP="00986DF8"/>
    <w:p w14:paraId="1C4F20E3" w14:textId="22AD6F05" w:rsidR="00986DF8" w:rsidRDefault="00986DF8" w:rsidP="00986DF8"/>
    <w:p w14:paraId="7288E263" w14:textId="0861EC6D" w:rsidR="00986DF8" w:rsidRDefault="00986DF8" w:rsidP="00986DF8"/>
    <w:p w14:paraId="2FB7B9D6" w14:textId="77777777" w:rsidR="00986DF8" w:rsidRPr="00986DF8" w:rsidRDefault="00986DF8" w:rsidP="00986DF8"/>
    <w:p w14:paraId="3AB5DD6B" w14:textId="78E0ED75" w:rsidR="00755D15" w:rsidRPr="001F34E0" w:rsidRDefault="00755D15" w:rsidP="00755D15">
      <w:pPr>
        <w:pStyle w:val="2"/>
        <w:rPr>
          <w:b/>
          <w:bCs/>
          <w:color w:val="000000" w:themeColor="text1"/>
          <w:sz w:val="28"/>
          <w:szCs w:val="28"/>
        </w:rPr>
      </w:pPr>
      <w:r w:rsidRPr="001F34E0">
        <w:rPr>
          <w:b/>
          <w:bCs/>
          <w:color w:val="000000" w:themeColor="text1"/>
          <w:sz w:val="28"/>
          <w:szCs w:val="28"/>
        </w:rPr>
        <w:lastRenderedPageBreak/>
        <w:t xml:space="preserve">Archaeological background of the sites </w:t>
      </w:r>
      <w:proofErr w:type="spellStart"/>
      <w:r w:rsidRPr="001F34E0">
        <w:rPr>
          <w:b/>
          <w:bCs/>
          <w:color w:val="000000" w:themeColor="text1"/>
          <w:sz w:val="28"/>
          <w:szCs w:val="28"/>
        </w:rPr>
        <w:t>analysed</w:t>
      </w:r>
      <w:proofErr w:type="spellEnd"/>
    </w:p>
    <w:p w14:paraId="3E951EFE" w14:textId="77777777" w:rsidR="004C0420" w:rsidRPr="001F34E0" w:rsidRDefault="004C0420" w:rsidP="00DF162D">
      <w:pPr>
        <w:pStyle w:val="2"/>
        <w:rPr>
          <w:b/>
          <w:bCs/>
          <w:color w:val="000000" w:themeColor="text1"/>
          <w:sz w:val="28"/>
          <w:szCs w:val="28"/>
        </w:rPr>
      </w:pPr>
      <w:bookmarkStart w:id="4" w:name="_3vbn5o6t6qo9" w:colFirst="0" w:colLast="0"/>
      <w:bookmarkEnd w:id="4"/>
    </w:p>
    <w:p w14:paraId="7E32C930" w14:textId="1A6254B9" w:rsidR="004C0420" w:rsidRPr="001F34E0" w:rsidRDefault="004C0420" w:rsidP="00DF162D">
      <w:pPr>
        <w:pStyle w:val="2"/>
        <w:rPr>
          <w:b/>
          <w:bCs/>
          <w:color w:val="000000" w:themeColor="text1"/>
          <w:sz w:val="28"/>
          <w:szCs w:val="28"/>
        </w:rPr>
      </w:pPr>
      <w:r w:rsidRPr="001F34E0">
        <w:rPr>
          <w:b/>
          <w:bCs/>
          <w:color w:val="000000" w:themeColor="text1"/>
          <w:sz w:val="28"/>
          <w:szCs w:val="28"/>
        </w:rPr>
        <w:t>Greece</w:t>
      </w:r>
    </w:p>
    <w:p w14:paraId="4958F82D" w14:textId="77777777" w:rsidR="004C0420" w:rsidRPr="004C0420" w:rsidRDefault="004C0420" w:rsidP="004C0420"/>
    <w:p w14:paraId="2A231617" w14:textId="142F85F5" w:rsidR="00194C56" w:rsidRPr="004A2B32" w:rsidRDefault="00194C56" w:rsidP="00DF162D">
      <w:pPr>
        <w:pStyle w:val="2"/>
        <w:rPr>
          <w:b/>
          <w:bCs/>
          <w:color w:val="000000" w:themeColor="text1"/>
        </w:rPr>
      </w:pPr>
      <w:r w:rsidRPr="004A2B32">
        <w:rPr>
          <w:b/>
          <w:bCs/>
          <w:color w:val="000000" w:themeColor="text1"/>
        </w:rPr>
        <w:t>Mesolithic Period</w:t>
      </w:r>
    </w:p>
    <w:p w14:paraId="1F133D89" w14:textId="77777777" w:rsidR="00194C56" w:rsidRPr="004A2B32" w:rsidRDefault="00194C56">
      <w:pPr>
        <w:pStyle w:val="4"/>
        <w:spacing w:before="200"/>
        <w:jc w:val="both"/>
        <w:rPr>
          <w:color w:val="000000" w:themeColor="text1"/>
          <w:sz w:val="22"/>
          <w:szCs w:val="22"/>
        </w:rPr>
      </w:pPr>
      <w:proofErr w:type="spellStart"/>
      <w:r w:rsidRPr="004A2B32">
        <w:rPr>
          <w:color w:val="000000" w:themeColor="text1"/>
          <w:sz w:val="22"/>
          <w:szCs w:val="22"/>
        </w:rPr>
        <w:t>Franchthi</w:t>
      </w:r>
      <w:proofErr w:type="spellEnd"/>
      <w:r w:rsidRPr="004A2B32">
        <w:rPr>
          <w:color w:val="000000" w:themeColor="text1"/>
          <w:sz w:val="22"/>
          <w:szCs w:val="22"/>
        </w:rPr>
        <w:t xml:space="preserve"> Cave</w:t>
      </w:r>
    </w:p>
    <w:p w14:paraId="639085E1" w14:textId="36AD1B40" w:rsidR="00D820C9" w:rsidRPr="004A2B32" w:rsidRDefault="00194C56" w:rsidP="00D820C9">
      <w:pPr>
        <w:jc w:val="both"/>
        <w:rPr>
          <w:b/>
          <w:color w:val="000000" w:themeColor="text1"/>
        </w:rPr>
      </w:pPr>
      <w:proofErr w:type="spellStart"/>
      <w:r w:rsidRPr="004A2B32">
        <w:rPr>
          <w:color w:val="000000" w:themeColor="text1"/>
        </w:rPr>
        <w:t>Franchthi</w:t>
      </w:r>
      <w:proofErr w:type="spellEnd"/>
      <w:r w:rsidRPr="004A2B32">
        <w:rPr>
          <w:color w:val="000000" w:themeColor="text1"/>
        </w:rPr>
        <w:t xml:space="preserve"> cave is situated in </w:t>
      </w:r>
      <w:r w:rsidR="00714D4F" w:rsidRPr="004A2B32">
        <w:rPr>
          <w:color w:val="000000" w:themeColor="text1"/>
        </w:rPr>
        <w:t xml:space="preserve">the southern </w:t>
      </w:r>
      <w:proofErr w:type="spellStart"/>
      <w:r w:rsidRPr="004A2B32">
        <w:rPr>
          <w:color w:val="000000" w:themeColor="text1"/>
        </w:rPr>
        <w:t>Argolid</w:t>
      </w:r>
      <w:proofErr w:type="spellEnd"/>
      <w:r w:rsidRPr="004A2B32">
        <w:rPr>
          <w:color w:val="000000" w:themeColor="text1"/>
        </w:rPr>
        <w:t xml:space="preserve">, </w:t>
      </w:r>
      <w:r w:rsidR="00F22398" w:rsidRPr="004A2B32">
        <w:rPr>
          <w:color w:val="000000" w:themeColor="text1"/>
        </w:rPr>
        <w:t>on the</w:t>
      </w:r>
      <w:r w:rsidRPr="004A2B32">
        <w:rPr>
          <w:color w:val="000000" w:themeColor="text1"/>
        </w:rPr>
        <w:t xml:space="preserve"> eastern side of the</w:t>
      </w:r>
      <w:r w:rsidR="00787EF8" w:rsidRPr="004A2B32">
        <w:rPr>
          <w:color w:val="000000" w:themeColor="text1"/>
        </w:rPr>
        <w:t xml:space="preserve"> </w:t>
      </w:r>
      <w:r w:rsidRPr="004A2B32">
        <w:rPr>
          <w:color w:val="000000" w:themeColor="text1"/>
        </w:rPr>
        <w:t xml:space="preserve">Peloponnese on a rugged headland, across the bay from the </w:t>
      </w:r>
      <w:r w:rsidR="00D2501C" w:rsidRPr="004A2B32">
        <w:rPr>
          <w:color w:val="000000" w:themeColor="text1"/>
        </w:rPr>
        <w:t xml:space="preserve">modern </w:t>
      </w:r>
      <w:proofErr w:type="spellStart"/>
      <w:r w:rsidRPr="004A2B32">
        <w:rPr>
          <w:color w:val="000000" w:themeColor="text1"/>
        </w:rPr>
        <w:t>Koilada</w:t>
      </w:r>
      <w:proofErr w:type="spellEnd"/>
      <w:r w:rsidRPr="004A2B32">
        <w:rPr>
          <w:color w:val="000000" w:themeColor="text1"/>
        </w:rPr>
        <w:t xml:space="preserve"> village. The cave is situated about 12.50 m. above the modern sea level and </w:t>
      </w:r>
      <w:r w:rsidR="00D2501C" w:rsidRPr="004A2B32">
        <w:rPr>
          <w:color w:val="000000" w:themeColor="text1"/>
        </w:rPr>
        <w:t xml:space="preserve">overlooking the </w:t>
      </w:r>
      <w:proofErr w:type="spellStart"/>
      <w:r w:rsidRPr="004A2B32">
        <w:rPr>
          <w:color w:val="000000" w:themeColor="text1"/>
        </w:rPr>
        <w:t>Paralia</w:t>
      </w:r>
      <w:proofErr w:type="spellEnd"/>
      <w:r w:rsidRPr="004A2B32">
        <w:rPr>
          <w:color w:val="000000" w:themeColor="text1"/>
        </w:rPr>
        <w:t xml:space="preserve"> open</w:t>
      </w:r>
      <w:r w:rsidR="00F22398" w:rsidRPr="004A2B32">
        <w:rPr>
          <w:color w:val="000000" w:themeColor="text1"/>
        </w:rPr>
        <w:t>-</w:t>
      </w:r>
      <w:r w:rsidRPr="004A2B32">
        <w:rPr>
          <w:color w:val="000000" w:themeColor="text1"/>
        </w:rPr>
        <w:t>air Neolithic settlement</w:t>
      </w:r>
      <w:r w:rsidR="00F22398" w:rsidRPr="004A2B32">
        <w:rPr>
          <w:color w:val="000000" w:themeColor="text1"/>
        </w:rPr>
        <w:t xml:space="preserve">. </w:t>
      </w:r>
      <w:r w:rsidR="00776384" w:rsidRPr="004A2B32">
        <w:rPr>
          <w:color w:val="000000" w:themeColor="text1"/>
        </w:rPr>
        <w:t>E</w:t>
      </w:r>
      <w:r w:rsidRPr="004A2B32">
        <w:rPr>
          <w:color w:val="000000" w:themeColor="text1"/>
        </w:rPr>
        <w:t xml:space="preserve">xcavations </w:t>
      </w:r>
      <w:r w:rsidR="00776384" w:rsidRPr="004A2B32">
        <w:rPr>
          <w:color w:val="000000" w:themeColor="text1"/>
        </w:rPr>
        <w:t xml:space="preserve">at </w:t>
      </w:r>
      <w:proofErr w:type="spellStart"/>
      <w:r w:rsidRPr="004A2B32">
        <w:rPr>
          <w:color w:val="000000" w:themeColor="text1"/>
        </w:rPr>
        <w:t>Franchthi</w:t>
      </w:r>
      <w:proofErr w:type="spellEnd"/>
      <w:r w:rsidRPr="004A2B32">
        <w:rPr>
          <w:color w:val="000000" w:themeColor="text1"/>
        </w:rPr>
        <w:t xml:space="preserve"> started in 1967</w:t>
      </w:r>
      <w:r w:rsidR="00776384" w:rsidRPr="004A2B32">
        <w:rPr>
          <w:color w:val="000000" w:themeColor="text1"/>
        </w:rPr>
        <w:t>, led</w:t>
      </w:r>
      <w:r w:rsidRPr="004A2B32">
        <w:rPr>
          <w:color w:val="000000" w:themeColor="text1"/>
        </w:rPr>
        <w:t xml:space="preserve"> by Thomas Jacobsen</w:t>
      </w:r>
      <w:r w:rsidR="00776384" w:rsidRPr="004A2B32">
        <w:rPr>
          <w:color w:val="000000" w:themeColor="text1"/>
        </w:rPr>
        <w:t>,</w:t>
      </w:r>
      <w:r w:rsidRPr="004A2B32">
        <w:rPr>
          <w:color w:val="000000" w:themeColor="text1"/>
        </w:rPr>
        <w:t xml:space="preserve"> as part of the investigations conducted by Indiana University and the University of Pennsylvania. </w:t>
      </w:r>
      <w:proofErr w:type="spellStart"/>
      <w:r w:rsidRPr="004A2B32">
        <w:rPr>
          <w:color w:val="000000" w:themeColor="text1"/>
        </w:rPr>
        <w:t>Franchthi</w:t>
      </w:r>
      <w:proofErr w:type="spellEnd"/>
      <w:r w:rsidRPr="004A2B32">
        <w:rPr>
          <w:color w:val="000000" w:themeColor="text1"/>
        </w:rPr>
        <w:t xml:space="preserve"> has proved to be a site of outstanding importance for the understanding of early Greek prehistory, as it </w:t>
      </w:r>
      <w:r w:rsidR="00776384" w:rsidRPr="004A2B32">
        <w:rPr>
          <w:color w:val="000000" w:themeColor="text1"/>
        </w:rPr>
        <w:t xml:space="preserve">was </w:t>
      </w:r>
      <w:r w:rsidRPr="004A2B32">
        <w:rPr>
          <w:color w:val="000000" w:themeColor="text1"/>
        </w:rPr>
        <w:t xml:space="preserve">used over an extended period of time from the Upper </w:t>
      </w:r>
      <w:proofErr w:type="spellStart"/>
      <w:r w:rsidRPr="004A2B32">
        <w:rPr>
          <w:color w:val="000000" w:themeColor="text1"/>
        </w:rPr>
        <w:t>Palaeolithic</w:t>
      </w:r>
      <w:proofErr w:type="spellEnd"/>
      <w:r w:rsidR="00787EF8" w:rsidRPr="004A2B32">
        <w:rPr>
          <w:color w:val="000000" w:themeColor="text1"/>
        </w:rPr>
        <w:t xml:space="preserve"> </w:t>
      </w:r>
      <w:r w:rsidR="00BB59D3" w:rsidRPr="004A2B32">
        <w:rPr>
          <w:color w:val="000000" w:themeColor="text1"/>
        </w:rPr>
        <w:t xml:space="preserve">to </w:t>
      </w:r>
      <w:r w:rsidRPr="004A2B32">
        <w:rPr>
          <w:color w:val="000000" w:themeColor="text1"/>
        </w:rPr>
        <w:t xml:space="preserve">the Final Neolithic </w:t>
      </w:r>
      <w:r w:rsidR="00BF13CA" w:rsidRPr="004A2B32">
        <w:rPr>
          <w:color w:val="000000" w:themeColor="text1"/>
        </w:rPr>
        <w:t xml:space="preserve">and contains </w:t>
      </w:r>
      <w:r w:rsidRPr="004A2B32">
        <w:rPr>
          <w:color w:val="000000" w:themeColor="text1"/>
        </w:rPr>
        <w:t>deep Mesolithic deposits</w:t>
      </w:r>
      <w:r w:rsidR="00B031D4" w:rsidRPr="004A2B32">
        <w:rPr>
          <w:b/>
          <w:color w:val="000000" w:themeColor="text1"/>
        </w:rPr>
        <w:fldChar w:fldCharType="begin" w:fldLock="1"/>
      </w:r>
      <w:r w:rsidR="0080667D">
        <w:rPr>
          <w:b/>
          <w:color w:val="000000" w:themeColor="text1"/>
        </w:rPr>
        <w:instrText>ADDIN CSL_CITATION {"citationItems":[{"id":"ITEM-1","itemData":{"author":[{"dropping-particle":"","family":"Jacobsen","given":"T. W.","non-dropping-particle":"","parse-names":false,"suffix":""},{"dropping-particle":"","family":"Farrand","given":"W. R.","non-dropping-particle":"","parse-names":false,"suffix":""},{"dropping-particle":"","family":"Cooper","given":"F. A.","non-dropping-particle":"","parse-names":false,"suffix":""},{"dropping-particle":"","family":"Vitaliano","given":"C. J.","non-dropping-particle":"","parse-names":false,"suffix":""}],"id":"ITEM-1","issued":{"date-parts":[["1987"]]},"publisher":"Indiana University Press","title":"Franchthi Cave and Paralia: maps, plans, and sections.","type":"book"},"uris":["http://www.mendeley.com/documents/?uuid=fbc3ad85-e41d-4b5a-ae65-7cfac7c85311"]},{"id":"ITEM-2","itemData":{"DOI":"10.2307/147518","ISSN":"0018098X","author":[{"dropping-particle":"","family":"Jacobsen","given":"Thomas W.","non-dropping-particle":"","parse-names":false,"suffix":""}],"container-title":"Hesperia","id":"ITEM-2","issue":"3","issued":{"date-parts":[["1973","7"]]},"page":"253","title":"Excavations in the Franchthi Cave, 1969-1971. Part II","type":"article-journal","volume":"42"},"uris":["http://www.mendeley.com/documents/?uuid=e3ae4f16-ed31-4d6e-b851-c5a1b3000201"]},{"id":"ITEM-3","itemData":{"DOI":"10.1371/journal.pone.0207805","ISSN":"1932-6203","author":[{"dropping-particle":"","family":"Asouti","given":"Eleni","non-dropping-particle":"","parse-names":false,"suffix":""},{"dropping-particle":"","family":"Ntinou","given":"Maria","non-dropping-particle":"","parse-names":false,"suffix":""},{"dropping-particle":"","family":"Kabukcu","given":"Ceren","non-dropping-particle":"","parse-names":false,"suffix":""}],"container-title":"PLOS ONE","editor":[{"dropping-particle":"","family":"Petraglia","given":"Michael D.","non-dropping-particle":"","parse-names":false,"suffix":""}],"id":"ITEM-3","issue":"11","issued":{"date-parts":[["2018","11","20"]]},"page":"e0207805","title":"The impact of environmental change on Palaeolithic and Mesolithic plant use and the transition to agriculture at Franchthi Cave, Greece","type":"article-journal","volume":"13"},"uris":["http://www.mendeley.com/documents/?uuid=5db0b929-b258-41f2-a1d5-ebab97158fdc"]}],"mendeley":{"formattedCitation":"&lt;sup&gt;1–3&lt;/sup&gt;","plainTextFormattedCitation":"1–3","previouslyFormattedCitation":"&lt;sup&gt;1–3&lt;/sup&gt;"},"properties":{"noteIndex":0},"schema":"https://github.com/citation-style-language/schema/raw/master/csl-citation.json"}</w:instrText>
      </w:r>
      <w:r w:rsidR="00B031D4" w:rsidRPr="004A2B32">
        <w:rPr>
          <w:b/>
          <w:color w:val="000000" w:themeColor="text1"/>
        </w:rPr>
        <w:fldChar w:fldCharType="separate"/>
      </w:r>
      <w:r w:rsidR="001806F5" w:rsidRPr="001806F5">
        <w:rPr>
          <w:noProof/>
          <w:color w:val="000000" w:themeColor="text1"/>
          <w:vertAlign w:val="superscript"/>
        </w:rPr>
        <w:t>1–3</w:t>
      </w:r>
      <w:r w:rsidR="00B031D4" w:rsidRPr="004A2B32">
        <w:rPr>
          <w:b/>
          <w:color w:val="000000" w:themeColor="text1"/>
        </w:rPr>
        <w:fldChar w:fldCharType="end"/>
      </w:r>
      <w:r w:rsidR="00621257" w:rsidRPr="004A2B32">
        <w:rPr>
          <w:color w:val="000000" w:themeColor="text1"/>
        </w:rPr>
        <w:t>.</w:t>
      </w:r>
    </w:p>
    <w:p w14:paraId="0292D09D" w14:textId="3C0186AD" w:rsidR="00194C56" w:rsidRPr="004A2B32" w:rsidRDefault="00D820C9" w:rsidP="00D820C9">
      <w:pPr>
        <w:jc w:val="both"/>
        <w:rPr>
          <w:b/>
          <w:color w:val="000000" w:themeColor="text1"/>
        </w:rPr>
      </w:pPr>
      <w:r w:rsidRPr="004A2B32">
        <w:rPr>
          <w:b/>
          <w:color w:val="000000" w:themeColor="text1"/>
        </w:rPr>
        <w:tab/>
      </w:r>
      <w:r w:rsidR="00194C56" w:rsidRPr="004A2B32">
        <w:rPr>
          <w:color w:val="000000" w:themeColor="text1"/>
        </w:rPr>
        <w:t xml:space="preserve">Dating based on </w:t>
      </w:r>
      <w:r w:rsidR="00194C56" w:rsidRPr="004A2B32">
        <w:rPr>
          <w:color w:val="000000" w:themeColor="text1"/>
          <w:vertAlign w:val="superscript"/>
        </w:rPr>
        <w:t>14</w:t>
      </w:r>
      <w:r w:rsidR="00194C56" w:rsidRPr="004A2B32">
        <w:rPr>
          <w:color w:val="000000" w:themeColor="text1"/>
        </w:rPr>
        <w:t>C analysis gives a span for the Mesolithic strata from 9</w:t>
      </w:r>
      <w:r w:rsidR="00536FF5" w:rsidRPr="004A2B32">
        <w:rPr>
          <w:b/>
          <w:color w:val="000000" w:themeColor="text1"/>
        </w:rPr>
        <w:t>,</w:t>
      </w:r>
      <w:r w:rsidR="00194C56" w:rsidRPr="004A2B32">
        <w:rPr>
          <w:color w:val="000000" w:themeColor="text1"/>
        </w:rPr>
        <w:t>016-8</w:t>
      </w:r>
      <w:r w:rsidR="00536FF5" w:rsidRPr="004A2B32">
        <w:rPr>
          <w:b/>
          <w:color w:val="000000" w:themeColor="text1"/>
        </w:rPr>
        <w:t>,</w:t>
      </w:r>
      <w:r w:rsidR="00194C56" w:rsidRPr="004A2B32">
        <w:rPr>
          <w:color w:val="000000" w:themeColor="text1"/>
        </w:rPr>
        <w:t xml:space="preserve">192 </w:t>
      </w:r>
      <w:proofErr w:type="spellStart"/>
      <w:r w:rsidR="00194C56" w:rsidRPr="004A2B32">
        <w:rPr>
          <w:color w:val="000000" w:themeColor="text1"/>
        </w:rPr>
        <w:t>cal</w:t>
      </w:r>
      <w:proofErr w:type="spellEnd"/>
      <w:r w:rsidR="00194C56" w:rsidRPr="004A2B32">
        <w:rPr>
          <w:color w:val="000000" w:themeColor="text1"/>
        </w:rPr>
        <w:t xml:space="preserve"> 1σ BC to 7</w:t>
      </w:r>
      <w:r w:rsidR="00536FF5" w:rsidRPr="004A2B32">
        <w:rPr>
          <w:b/>
          <w:color w:val="000000" w:themeColor="text1"/>
        </w:rPr>
        <w:t>,</w:t>
      </w:r>
      <w:r w:rsidR="00194C56" w:rsidRPr="004A2B32">
        <w:rPr>
          <w:color w:val="000000" w:themeColor="text1"/>
        </w:rPr>
        <w:t>242 BC-6</w:t>
      </w:r>
      <w:r w:rsidR="00536FF5" w:rsidRPr="004A2B32">
        <w:rPr>
          <w:b/>
          <w:color w:val="000000" w:themeColor="text1"/>
        </w:rPr>
        <w:t>,</w:t>
      </w:r>
      <w:r w:rsidR="00194C56" w:rsidRPr="004A2B32">
        <w:rPr>
          <w:color w:val="000000" w:themeColor="text1"/>
        </w:rPr>
        <w:t xml:space="preserve">610 </w:t>
      </w:r>
      <w:proofErr w:type="spellStart"/>
      <w:r w:rsidR="00194C56" w:rsidRPr="004A2B32">
        <w:rPr>
          <w:color w:val="000000" w:themeColor="text1"/>
        </w:rPr>
        <w:t>cal</w:t>
      </w:r>
      <w:proofErr w:type="spellEnd"/>
      <w:r w:rsidR="00194C56" w:rsidRPr="004A2B32">
        <w:rPr>
          <w:color w:val="000000" w:themeColor="text1"/>
        </w:rPr>
        <w:t xml:space="preserve"> 1σ BC and for the Neolithic from 6</w:t>
      </w:r>
      <w:r w:rsidR="00536FF5" w:rsidRPr="004A2B32">
        <w:rPr>
          <w:b/>
          <w:color w:val="000000" w:themeColor="text1"/>
        </w:rPr>
        <w:t>,</w:t>
      </w:r>
      <w:r w:rsidR="00194C56" w:rsidRPr="004A2B32">
        <w:rPr>
          <w:color w:val="000000" w:themeColor="text1"/>
        </w:rPr>
        <w:t>640-6</w:t>
      </w:r>
      <w:r w:rsidR="00536FF5" w:rsidRPr="004A2B32">
        <w:rPr>
          <w:b/>
          <w:color w:val="000000" w:themeColor="text1"/>
        </w:rPr>
        <w:t>,</w:t>
      </w:r>
      <w:r w:rsidR="00194C56" w:rsidRPr="004A2B32">
        <w:rPr>
          <w:color w:val="000000" w:themeColor="text1"/>
        </w:rPr>
        <w:t xml:space="preserve">450 </w:t>
      </w:r>
      <w:proofErr w:type="spellStart"/>
      <w:r w:rsidR="00194C56" w:rsidRPr="004A2B32">
        <w:rPr>
          <w:color w:val="000000" w:themeColor="text1"/>
        </w:rPr>
        <w:t>cal</w:t>
      </w:r>
      <w:proofErr w:type="spellEnd"/>
      <w:r w:rsidR="00194C56" w:rsidRPr="004A2B32">
        <w:rPr>
          <w:color w:val="000000" w:themeColor="text1"/>
        </w:rPr>
        <w:t xml:space="preserve"> 1σ BC to </w:t>
      </w:r>
      <w:r w:rsidR="00194C56" w:rsidRPr="004A2B32">
        <w:rPr>
          <w:color w:val="000000" w:themeColor="text1"/>
          <w:highlight w:val="white"/>
        </w:rPr>
        <w:t>5</w:t>
      </w:r>
      <w:r w:rsidR="00536FF5" w:rsidRPr="004A2B32">
        <w:rPr>
          <w:b/>
          <w:color w:val="000000" w:themeColor="text1"/>
          <w:highlight w:val="white"/>
        </w:rPr>
        <w:t>,</w:t>
      </w:r>
      <w:r w:rsidR="00194C56" w:rsidRPr="004A2B32">
        <w:rPr>
          <w:color w:val="000000" w:themeColor="text1"/>
          <w:highlight w:val="white"/>
        </w:rPr>
        <w:t>710-5</w:t>
      </w:r>
      <w:r w:rsidR="00536FF5" w:rsidRPr="004A2B32">
        <w:rPr>
          <w:b/>
          <w:color w:val="000000" w:themeColor="text1"/>
          <w:highlight w:val="white"/>
        </w:rPr>
        <w:t>,</w:t>
      </w:r>
      <w:r w:rsidR="00194C56" w:rsidRPr="004A2B32">
        <w:rPr>
          <w:color w:val="000000" w:themeColor="text1"/>
          <w:highlight w:val="white"/>
        </w:rPr>
        <w:t xml:space="preserve">520 </w:t>
      </w:r>
      <w:proofErr w:type="spellStart"/>
      <w:r w:rsidR="00194C56" w:rsidRPr="004A2B32">
        <w:rPr>
          <w:color w:val="000000" w:themeColor="text1"/>
          <w:highlight w:val="white"/>
        </w:rPr>
        <w:t>cal</w:t>
      </w:r>
      <w:proofErr w:type="spellEnd"/>
      <w:r w:rsidR="00194C56" w:rsidRPr="004A2B32">
        <w:rPr>
          <w:color w:val="000000" w:themeColor="text1"/>
          <w:highlight w:val="white"/>
        </w:rPr>
        <w:t xml:space="preserve"> 1σ BC</w:t>
      </w:r>
      <w:r w:rsidR="004B7E4A" w:rsidRPr="004A2B32">
        <w:rPr>
          <w:color w:val="000000" w:themeColor="text1"/>
        </w:rPr>
        <w:t>.</w:t>
      </w:r>
      <w:r w:rsidR="00194C56" w:rsidRPr="004A2B32">
        <w:rPr>
          <w:color w:val="000000" w:themeColor="text1"/>
        </w:rPr>
        <w:t xml:space="preserve"> Dating </w:t>
      </w:r>
      <w:r w:rsidR="002345C7" w:rsidRPr="004A2B32">
        <w:rPr>
          <w:color w:val="000000" w:themeColor="text1"/>
        </w:rPr>
        <w:t xml:space="preserve">of </w:t>
      </w:r>
      <w:r w:rsidR="00194C56" w:rsidRPr="004A2B32">
        <w:rPr>
          <w:color w:val="000000" w:themeColor="text1"/>
        </w:rPr>
        <w:t xml:space="preserve">findings outside the cave </w:t>
      </w:r>
      <w:r w:rsidR="002345C7" w:rsidRPr="004A2B32">
        <w:rPr>
          <w:color w:val="000000" w:themeColor="text1"/>
        </w:rPr>
        <w:t>on</w:t>
      </w:r>
      <w:r w:rsidR="00194C56" w:rsidRPr="004A2B32">
        <w:rPr>
          <w:color w:val="000000" w:themeColor="text1"/>
        </w:rPr>
        <w:t xml:space="preserve"> the </w:t>
      </w:r>
      <w:proofErr w:type="spellStart"/>
      <w:r w:rsidR="002345C7" w:rsidRPr="004A2B32">
        <w:rPr>
          <w:color w:val="000000" w:themeColor="text1"/>
        </w:rPr>
        <w:t>P</w:t>
      </w:r>
      <w:r w:rsidR="00194C56" w:rsidRPr="004A2B32">
        <w:rPr>
          <w:color w:val="000000" w:themeColor="text1"/>
        </w:rPr>
        <w:t>aralia</w:t>
      </w:r>
      <w:proofErr w:type="spellEnd"/>
      <w:r w:rsidR="00194C56" w:rsidRPr="004A2B32">
        <w:rPr>
          <w:color w:val="000000" w:themeColor="text1"/>
        </w:rPr>
        <w:t xml:space="preserve"> site span from 6</w:t>
      </w:r>
      <w:r w:rsidR="00536FF5" w:rsidRPr="004A2B32">
        <w:rPr>
          <w:b/>
          <w:color w:val="000000" w:themeColor="text1"/>
        </w:rPr>
        <w:t>,</w:t>
      </w:r>
      <w:r w:rsidR="00194C56" w:rsidRPr="004A2B32">
        <w:rPr>
          <w:color w:val="000000" w:themeColor="text1"/>
        </w:rPr>
        <w:t>640-6</w:t>
      </w:r>
      <w:r w:rsidR="00536FF5" w:rsidRPr="004A2B32">
        <w:rPr>
          <w:b/>
          <w:color w:val="000000" w:themeColor="text1"/>
        </w:rPr>
        <w:t>,</w:t>
      </w:r>
      <w:r w:rsidR="00194C56" w:rsidRPr="004A2B32">
        <w:rPr>
          <w:color w:val="000000" w:themeColor="text1"/>
        </w:rPr>
        <w:t xml:space="preserve">250 </w:t>
      </w:r>
      <w:proofErr w:type="spellStart"/>
      <w:r w:rsidR="00194C56" w:rsidRPr="004A2B32">
        <w:rPr>
          <w:color w:val="000000" w:themeColor="text1"/>
        </w:rPr>
        <w:t>cal</w:t>
      </w:r>
      <w:proofErr w:type="spellEnd"/>
      <w:r w:rsidR="00194C56" w:rsidRPr="004A2B32">
        <w:rPr>
          <w:color w:val="000000" w:themeColor="text1"/>
        </w:rPr>
        <w:t xml:space="preserve"> BC</w:t>
      </w:r>
      <w:r w:rsidR="00BE2180">
        <w:rPr>
          <w:color w:val="000000" w:themeColor="text1"/>
        </w:rPr>
        <w:fldChar w:fldCharType="begin" w:fldLock="1"/>
      </w:r>
      <w:r w:rsidR="00BE2180">
        <w:rPr>
          <w:color w:val="000000" w:themeColor="text1"/>
        </w:rPr>
        <w:instrText>ADDIN CSL_CITATION {"citationItems":[{"id":"ITEM-1","itemData":{"author":[{"dropping-particle":"","family":"Perlès","given":"Catherine","non-dropping-particle":"","parse-names":false,"suffix":""}],"editor":[{"dropping-particle":"","family":"Alcock","given":"S","non-dropping-particle":"","parse-names":false,"suffix":""},{"dropping-particle":"","family":"Dillehay","given":"T","non-dropping-particle":"","parse-names":false,"suffix":""},{"dropping-particle":"","family":"Shennan","given":"S","non-dropping-particle":"","parse-names":false,"suffix":""},{"dropping-particle":"","family":"Sinopoli","given":"C","non-dropping-particle":"","parse-names":false,"suffix":""}],"id":"ITEM-1","issued":{"date-parts":[["2003"]]},"publisher":"Cambridge World Archaeology","title":"The Early Neolithic in Greece: The first farming communities","type":"book"},"uris":["http://www.mendeley.com/documents/?uuid=66a15734-e709-4151-bd8b-7e0128151ad3"]}],"mendeley":{"formattedCitation":"&lt;sup&gt;4&lt;/sup&gt;","plainTextFormattedCitation":"4","previouslyFormattedCitation":"&lt;sup&gt;4&lt;/sup&gt;"},"properties":{"noteIndex":0},"schema":"https://github.com/citation-style-language/schema/raw/master/csl-citation.json"}</w:instrText>
      </w:r>
      <w:r w:rsidR="00BE2180">
        <w:rPr>
          <w:color w:val="000000" w:themeColor="text1"/>
        </w:rPr>
        <w:fldChar w:fldCharType="separate"/>
      </w:r>
      <w:r w:rsidR="00BE2180" w:rsidRPr="00BE2180">
        <w:rPr>
          <w:noProof/>
          <w:color w:val="000000" w:themeColor="text1"/>
          <w:vertAlign w:val="superscript"/>
        </w:rPr>
        <w:t>4</w:t>
      </w:r>
      <w:r w:rsidR="00BE2180">
        <w:rPr>
          <w:color w:val="000000" w:themeColor="text1"/>
        </w:rPr>
        <w:fldChar w:fldCharType="end"/>
      </w:r>
      <w:r w:rsidR="00194C56" w:rsidRPr="004A2B32">
        <w:rPr>
          <w:color w:val="000000" w:themeColor="text1"/>
        </w:rPr>
        <w:t>.</w:t>
      </w:r>
      <w:r w:rsidR="002345C7" w:rsidRPr="004A2B32">
        <w:rPr>
          <w:color w:val="000000" w:themeColor="text1"/>
        </w:rPr>
        <w:t xml:space="preserve"> The Mesolithic and Neolithic strata inside the cave and on the </w:t>
      </w:r>
      <w:proofErr w:type="spellStart"/>
      <w:r w:rsidR="002345C7" w:rsidRPr="004A2B32">
        <w:rPr>
          <w:color w:val="000000" w:themeColor="text1"/>
        </w:rPr>
        <w:t>Paralia</w:t>
      </w:r>
      <w:proofErr w:type="spellEnd"/>
      <w:r w:rsidR="002345C7" w:rsidRPr="004A2B32">
        <w:rPr>
          <w:color w:val="000000" w:themeColor="text1"/>
        </w:rPr>
        <w:t xml:space="preserve"> have yielded finds including </w:t>
      </w:r>
      <w:r w:rsidR="00194C56" w:rsidRPr="004A2B32">
        <w:rPr>
          <w:color w:val="000000" w:themeColor="text1"/>
        </w:rPr>
        <w:t>pottery</w:t>
      </w:r>
      <w:r w:rsidR="007D2224" w:rsidRPr="004A2B32">
        <w:rPr>
          <w:color w:val="000000" w:themeColor="text1"/>
        </w:rPr>
        <w:t xml:space="preserve">, </w:t>
      </w:r>
      <w:r w:rsidR="00194C56" w:rsidRPr="004A2B32">
        <w:rPr>
          <w:color w:val="000000" w:themeColor="text1"/>
        </w:rPr>
        <w:t xml:space="preserve">lithics, </w:t>
      </w:r>
      <w:r w:rsidR="003D0760" w:rsidRPr="004A2B32">
        <w:rPr>
          <w:color w:val="000000" w:themeColor="text1"/>
        </w:rPr>
        <w:t xml:space="preserve">and </w:t>
      </w:r>
      <w:r w:rsidR="00194C56" w:rsidRPr="004A2B32">
        <w:rPr>
          <w:color w:val="000000" w:themeColor="text1"/>
        </w:rPr>
        <w:t xml:space="preserve">faunal and botanical remains, as well as human burials. Important is the evidence for seafaring as early as the </w:t>
      </w:r>
      <w:proofErr w:type="spellStart"/>
      <w:r w:rsidR="00194C56" w:rsidRPr="004A2B32">
        <w:rPr>
          <w:color w:val="000000" w:themeColor="text1"/>
        </w:rPr>
        <w:t>Pal</w:t>
      </w:r>
      <w:r w:rsidR="003D0760" w:rsidRPr="004A2B32">
        <w:rPr>
          <w:color w:val="000000" w:themeColor="text1"/>
        </w:rPr>
        <w:t>a</w:t>
      </w:r>
      <w:r w:rsidR="00194C56" w:rsidRPr="004A2B32">
        <w:rPr>
          <w:color w:val="000000" w:themeColor="text1"/>
        </w:rPr>
        <w:t>eolithic</w:t>
      </w:r>
      <w:proofErr w:type="spellEnd"/>
      <w:r w:rsidR="00194C56" w:rsidRPr="004A2B32">
        <w:rPr>
          <w:color w:val="000000" w:themeColor="text1"/>
        </w:rPr>
        <w:t>, implied by obsidian from Melos, and in the Mesolithic, implied by numerous, large tuna vertebrae.</w:t>
      </w:r>
    </w:p>
    <w:p w14:paraId="70FFD228" w14:textId="2B9A1718" w:rsidR="00194C56" w:rsidRDefault="00D820C9" w:rsidP="00D820C9">
      <w:pPr>
        <w:jc w:val="both"/>
        <w:rPr>
          <w:color w:val="000000" w:themeColor="text1"/>
        </w:rPr>
      </w:pPr>
      <w:r w:rsidRPr="004A2B32">
        <w:rPr>
          <w:color w:val="000000" w:themeColor="text1"/>
        </w:rPr>
        <w:tab/>
      </w:r>
      <w:bookmarkStart w:id="5" w:name="_1fob9te" w:colFirst="0" w:colLast="0"/>
      <w:bookmarkEnd w:id="5"/>
      <w:r w:rsidR="0080667D" w:rsidRPr="004A2B32">
        <w:rPr>
          <w:color w:val="000000" w:themeColor="text1"/>
        </w:rPr>
        <w:t>Samples Fr</w:t>
      </w:r>
      <w:r w:rsidR="00BB5323">
        <w:rPr>
          <w:color w:val="000000" w:themeColor="text1"/>
        </w:rPr>
        <w:t>a</w:t>
      </w:r>
      <w:r w:rsidR="0080667D">
        <w:rPr>
          <w:color w:val="000000" w:themeColor="text1"/>
        </w:rPr>
        <w:t xml:space="preserve"> </w:t>
      </w:r>
      <w:r w:rsidR="0080667D" w:rsidRPr="004A2B32">
        <w:rPr>
          <w:color w:val="000000" w:themeColor="text1"/>
        </w:rPr>
        <w:t>1, Fr</w:t>
      </w:r>
      <w:r w:rsidR="00BB5323">
        <w:rPr>
          <w:color w:val="000000" w:themeColor="text1"/>
        </w:rPr>
        <w:t>a</w:t>
      </w:r>
      <w:r w:rsidR="0080667D">
        <w:rPr>
          <w:color w:val="000000" w:themeColor="text1"/>
        </w:rPr>
        <w:t xml:space="preserve"> </w:t>
      </w:r>
      <w:r w:rsidR="0080667D" w:rsidRPr="004A2B32">
        <w:rPr>
          <w:color w:val="000000" w:themeColor="text1"/>
        </w:rPr>
        <w:t>2, Fr</w:t>
      </w:r>
      <w:r w:rsidR="00BB5323">
        <w:rPr>
          <w:color w:val="000000" w:themeColor="text1"/>
        </w:rPr>
        <w:t>a</w:t>
      </w:r>
      <w:r w:rsidR="0080667D">
        <w:rPr>
          <w:color w:val="000000" w:themeColor="text1"/>
        </w:rPr>
        <w:t xml:space="preserve"> </w:t>
      </w:r>
      <w:r w:rsidR="0080667D" w:rsidRPr="004A2B32">
        <w:rPr>
          <w:color w:val="000000" w:themeColor="text1"/>
        </w:rPr>
        <w:t>3 belong to the Mesolithic layers and samples Fr</w:t>
      </w:r>
      <w:r w:rsidR="00BB5323">
        <w:rPr>
          <w:color w:val="000000" w:themeColor="text1"/>
        </w:rPr>
        <w:t>a 4-8</w:t>
      </w:r>
      <w:r w:rsidR="0080667D" w:rsidRPr="004A2B32">
        <w:rPr>
          <w:color w:val="000000" w:themeColor="text1"/>
        </w:rPr>
        <w:t xml:space="preserve"> to the Neolithic layers. The individual Fr</w:t>
      </w:r>
      <w:r w:rsidR="006346D8">
        <w:rPr>
          <w:color w:val="000000" w:themeColor="text1"/>
        </w:rPr>
        <w:t>a 8</w:t>
      </w:r>
      <w:r w:rsidR="0080667D" w:rsidRPr="004A2B32">
        <w:rPr>
          <w:color w:val="000000" w:themeColor="text1"/>
        </w:rPr>
        <w:t xml:space="preserve"> is a young adult from trench FF1 from inside the cave. </w:t>
      </w:r>
      <w:bookmarkStart w:id="6" w:name="_x89tm2s23nbp" w:colFirst="0" w:colLast="0"/>
      <w:bookmarkEnd w:id="6"/>
      <w:r w:rsidR="0080667D" w:rsidRPr="004A2B32">
        <w:rPr>
          <w:color w:val="000000" w:themeColor="text1"/>
        </w:rPr>
        <w:t xml:space="preserve">In the present study we </w:t>
      </w:r>
      <w:proofErr w:type="spellStart"/>
      <w:r w:rsidR="0080667D" w:rsidRPr="004A2B32">
        <w:rPr>
          <w:color w:val="000000" w:themeColor="text1"/>
        </w:rPr>
        <w:t>analysed</w:t>
      </w:r>
      <w:proofErr w:type="spellEnd"/>
      <w:r w:rsidR="0080667D" w:rsidRPr="004A2B32">
        <w:rPr>
          <w:color w:val="000000" w:themeColor="text1"/>
        </w:rPr>
        <w:t xml:space="preserve"> long bones from eight individuals, three Lower Mesolithic (Fr</w:t>
      </w:r>
      <w:r w:rsidR="0080667D">
        <w:rPr>
          <w:color w:val="000000" w:themeColor="text1"/>
        </w:rPr>
        <w:t xml:space="preserve"> </w:t>
      </w:r>
      <w:r w:rsidR="0080667D" w:rsidRPr="004A2B32">
        <w:rPr>
          <w:color w:val="000000" w:themeColor="text1"/>
        </w:rPr>
        <w:t>1, Fr</w:t>
      </w:r>
      <w:r w:rsidR="0080667D">
        <w:rPr>
          <w:color w:val="000000" w:themeColor="text1"/>
        </w:rPr>
        <w:t xml:space="preserve"> </w:t>
      </w:r>
      <w:r w:rsidR="0080667D" w:rsidRPr="004A2B32">
        <w:rPr>
          <w:color w:val="000000" w:themeColor="text1"/>
        </w:rPr>
        <w:t>2, Fr</w:t>
      </w:r>
      <w:r w:rsidR="0080667D">
        <w:rPr>
          <w:color w:val="000000" w:themeColor="text1"/>
        </w:rPr>
        <w:t xml:space="preserve"> </w:t>
      </w:r>
      <w:r w:rsidR="0080667D" w:rsidRPr="004A2B32">
        <w:rPr>
          <w:color w:val="000000" w:themeColor="text1"/>
        </w:rPr>
        <w:t>3), two Middle Neolithic (Fr</w:t>
      </w:r>
      <w:r w:rsidR="0080667D">
        <w:rPr>
          <w:color w:val="000000" w:themeColor="text1"/>
        </w:rPr>
        <w:t xml:space="preserve"> </w:t>
      </w:r>
      <w:r w:rsidR="00BB5323">
        <w:rPr>
          <w:color w:val="000000" w:themeColor="text1"/>
        </w:rPr>
        <w:t>4</w:t>
      </w:r>
      <w:r w:rsidR="0080667D" w:rsidRPr="004A2B32">
        <w:rPr>
          <w:color w:val="000000" w:themeColor="text1"/>
        </w:rPr>
        <w:t>, Fr</w:t>
      </w:r>
      <w:r w:rsidR="00BB5323">
        <w:rPr>
          <w:color w:val="000000" w:themeColor="text1"/>
        </w:rPr>
        <w:t>a 5</w:t>
      </w:r>
      <w:r w:rsidR="0080667D" w:rsidRPr="004A2B32">
        <w:rPr>
          <w:color w:val="000000" w:themeColor="text1"/>
        </w:rPr>
        <w:t>), one Late Neolithic (Fr</w:t>
      </w:r>
      <w:r w:rsidR="00BB5323">
        <w:rPr>
          <w:color w:val="000000" w:themeColor="text1"/>
        </w:rPr>
        <w:t>a</w:t>
      </w:r>
      <w:r w:rsidR="0080667D">
        <w:rPr>
          <w:color w:val="000000" w:themeColor="text1"/>
        </w:rPr>
        <w:t xml:space="preserve"> </w:t>
      </w:r>
      <w:r w:rsidR="00BB5323">
        <w:rPr>
          <w:color w:val="000000" w:themeColor="text1"/>
        </w:rPr>
        <w:t>8</w:t>
      </w:r>
      <w:r w:rsidR="0080667D" w:rsidRPr="004A2B32">
        <w:rPr>
          <w:color w:val="000000" w:themeColor="text1"/>
        </w:rPr>
        <w:t>), and two Final Neolithic (Fr</w:t>
      </w:r>
      <w:r w:rsidR="00BB5323">
        <w:rPr>
          <w:color w:val="000000" w:themeColor="text1"/>
        </w:rPr>
        <w:t>a 6</w:t>
      </w:r>
      <w:r w:rsidR="0080667D" w:rsidRPr="004A2B32">
        <w:rPr>
          <w:color w:val="000000" w:themeColor="text1"/>
        </w:rPr>
        <w:t>, Fr</w:t>
      </w:r>
      <w:r w:rsidR="00BB5323">
        <w:rPr>
          <w:color w:val="000000" w:themeColor="text1"/>
        </w:rPr>
        <w:t>a 7</w:t>
      </w:r>
      <w:r w:rsidR="0080667D" w:rsidRPr="004A2B32">
        <w:rPr>
          <w:color w:val="000000" w:themeColor="text1"/>
        </w:rPr>
        <w:t>) (Table S1).</w:t>
      </w:r>
    </w:p>
    <w:p w14:paraId="5311B0FB" w14:textId="77777777" w:rsidR="00FA6003" w:rsidRPr="004A2B32" w:rsidRDefault="00FA6003" w:rsidP="00D820C9">
      <w:pPr>
        <w:jc w:val="both"/>
        <w:rPr>
          <w:b/>
          <w:color w:val="000000" w:themeColor="text1"/>
        </w:rPr>
      </w:pPr>
    </w:p>
    <w:p w14:paraId="212E491C" w14:textId="77777777" w:rsidR="00194C56" w:rsidRPr="004A2B32" w:rsidRDefault="00194C56">
      <w:pPr>
        <w:pStyle w:val="4"/>
        <w:spacing w:before="200"/>
        <w:jc w:val="both"/>
        <w:rPr>
          <w:color w:val="000000" w:themeColor="text1"/>
          <w:sz w:val="22"/>
          <w:szCs w:val="22"/>
        </w:rPr>
      </w:pPr>
      <w:bookmarkStart w:id="7" w:name="_704m3xcnknye" w:colFirst="0" w:colLast="0"/>
      <w:bookmarkEnd w:id="7"/>
      <w:proofErr w:type="spellStart"/>
      <w:r w:rsidRPr="004A2B32">
        <w:rPr>
          <w:color w:val="000000" w:themeColor="text1"/>
          <w:sz w:val="22"/>
          <w:szCs w:val="22"/>
        </w:rPr>
        <w:t>Theopetra</w:t>
      </w:r>
      <w:proofErr w:type="spellEnd"/>
      <w:r w:rsidR="004A4EAB" w:rsidRPr="004A2B32">
        <w:rPr>
          <w:color w:val="000000" w:themeColor="text1"/>
          <w:sz w:val="22"/>
          <w:szCs w:val="22"/>
        </w:rPr>
        <w:t xml:space="preserve"> Cave</w:t>
      </w:r>
    </w:p>
    <w:p w14:paraId="268285F0" w14:textId="12D0536A" w:rsidR="00194C56" w:rsidRDefault="00194C56">
      <w:pPr>
        <w:jc w:val="both"/>
        <w:rPr>
          <w:bCs/>
          <w:color w:val="000000" w:themeColor="text1"/>
        </w:rPr>
      </w:pPr>
      <w:r w:rsidRPr="004A2B32">
        <w:rPr>
          <w:color w:val="000000" w:themeColor="text1"/>
        </w:rPr>
        <w:t xml:space="preserve">The cave of </w:t>
      </w:r>
      <w:proofErr w:type="spellStart"/>
      <w:r w:rsidRPr="004A2B32">
        <w:rPr>
          <w:color w:val="000000" w:themeColor="text1"/>
        </w:rPr>
        <w:t>Theopetra</w:t>
      </w:r>
      <w:proofErr w:type="spellEnd"/>
      <w:r w:rsidRPr="004A2B32">
        <w:rPr>
          <w:color w:val="000000" w:themeColor="text1"/>
        </w:rPr>
        <w:t xml:space="preserve"> is situated in the Thessalian plain on the north side of a limestone formation almost 100 m above the plain and 300 m above sea level. The cave lies between the edge of the plain and the </w:t>
      </w:r>
      <w:r w:rsidR="003D0760" w:rsidRPr="004A2B32">
        <w:rPr>
          <w:color w:val="000000" w:themeColor="text1"/>
        </w:rPr>
        <w:t xml:space="preserve">eastern </w:t>
      </w:r>
      <w:r w:rsidRPr="004A2B32">
        <w:rPr>
          <w:color w:val="000000" w:themeColor="text1"/>
        </w:rPr>
        <w:t xml:space="preserve">foothills of the Pindus mountains and is the westernmost prehistoric site of the Thessalian plain. The cave has a quadrilateral shape and measures </w:t>
      </w:r>
      <w:r w:rsidRPr="004A2B32">
        <w:rPr>
          <w:color w:val="000000" w:themeColor="text1"/>
        </w:rPr>
        <w:lastRenderedPageBreak/>
        <w:t>approximately 500 m</w:t>
      </w:r>
      <w:r w:rsidRPr="001E3B31">
        <w:rPr>
          <w:color w:val="000000" w:themeColor="text1"/>
          <w:vertAlign w:val="superscript"/>
        </w:rPr>
        <w:t>2</w:t>
      </w:r>
      <w:r w:rsidRPr="004A2B32">
        <w:rPr>
          <w:color w:val="000000" w:themeColor="text1"/>
        </w:rPr>
        <w:t xml:space="preserve">. Excavations started in 1987 and, after fourteen </w:t>
      </w:r>
      <w:r w:rsidR="003D0760" w:rsidRPr="004A2B32">
        <w:rPr>
          <w:color w:val="000000" w:themeColor="text1"/>
        </w:rPr>
        <w:t>seasons</w:t>
      </w:r>
      <w:r w:rsidRPr="004A2B32">
        <w:rPr>
          <w:color w:val="000000" w:themeColor="text1"/>
        </w:rPr>
        <w:t xml:space="preserve">, ended in 2002. A second </w:t>
      </w:r>
      <w:r w:rsidR="003D0760" w:rsidRPr="004A2B32">
        <w:rPr>
          <w:color w:val="000000" w:themeColor="text1"/>
        </w:rPr>
        <w:t xml:space="preserve">series </w:t>
      </w:r>
      <w:r w:rsidRPr="004A2B32">
        <w:rPr>
          <w:color w:val="000000" w:themeColor="text1"/>
        </w:rPr>
        <w:t>of excavations was conducted from 2005 to 2008</w:t>
      </w:r>
      <w:r w:rsidR="00B031D4" w:rsidRPr="004A2B32">
        <w:rPr>
          <w:color w:val="000000" w:themeColor="text1"/>
        </w:rPr>
        <w:fldChar w:fldCharType="begin" w:fldLock="1"/>
      </w:r>
      <w:r w:rsidR="00BE2180">
        <w:rPr>
          <w:color w:val="000000" w:themeColor="text1"/>
        </w:rPr>
        <w:instrText>ADDIN CSL_CITATION {"citationItems":[{"id":"ITEM-1","itemData":{"author":[{"dropping-particle":"","family":"Kyparissi-Apostolika","given":"N","non-dropping-particle":"","parse-names":false,"suffix":""}],"container-title":"The Palaeolithic archaeology of Greece and adjacent areas: Proceedings of the ICOPAG Conference, Ioannina, September 1994","id":"ITEM-1","issued":{"date-parts":[["1999"]]},"page":"232-239","publisher":"British School at Athens Studies","title":"The Palaeolithic deposits of Theopetra Cave in Thessaly (Greece)","type":"paper-conference"},"uris":["http://www.mendeley.com/documents/?uuid=2259e9c0-2760-4fd4-a62a-f434ab5cedba"]},{"id":"ITEM-2","itemData":{"author":[{"dropping-particle":"","family":"Kyparissi-Apostolika","given":"Nina","non-dropping-particle":"","parse-names":false,"suffix":""}],"container-title":"Documenta Praehistorica","id":"ITEM-2","issued":{"date-parts":[["2000"]]},"page":"133-140","title":"The Mesolithic/Neolithic transition in Greece as evidenced by the data at Theopetra cave in Thessaly","type":"article-journal","volume":"27"},"uris":["http://www.mendeley.com/documents/?uuid=2cf0c82d-be5a-4731-9833-22e4f4cd824a"]},{"id":"ITEM-3","itemData":{"DOI":"10.1016/j.quageo.2006.03.014","ISSN":"18711014","author":[{"dropping-particle":"","family":"Valladas","given":"Helene","non-dropping-particle":"","parse-names":false,"suffix":""},{"dropping-particle":"","family":"Mercier","given":"Norbert","non-dropping-particle":"","parse-names":false,"suffix":""},{"dropping-particle":"","family":"Froget","given":"Laurence","non-dropping-particle":"","parse-names":false,"suffix":""},{"dropping-particle":"","family":"Joron","given":"Jean-Louis","non-dropping-particle":"","parse-names":false,"suffix":""},{"dropping-particle":"","family":"Reyss","given":"Jean-Louis","non-dropping-particle":"","parse-names":false,"suffix":""},{"dropping-particle":"","family":"Karkanas","given":"Panajotis","non-dropping-particle":"","parse-names":false,"suffix":""},{"dropping-particle":"","family":"Panagopoulou","given":"Eleni","non-dropping-particle":"","parse-names":false,"suffix":""},{"dropping-particle":"","family":"Kyparissi-Apostolika","given":"Nina","non-dropping-particle":"","parse-names":false,"suffix":""}],"container-title":"Quaternary Geochronology","id":"ITEM-3","issue":"1-4","issued":{"date-parts":[["2007","1"]]},"page":"303-308","title":"TL age-estimates for the Middle Palaeolithic layers at Theopetra cave (Greece)","type":"article-journal","volume":"2"},"uris":["http://www.mendeley.com/documents/?uuid=708044eb-afd2-4aaf-9e73-c524175d34eb"]}],"mendeley":{"formattedCitation":"&lt;sup&gt;5–7&lt;/sup&gt;","plainTextFormattedCitation":"5–7","previouslyFormattedCitation":"&lt;sup&gt;5–7&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5–7</w:t>
      </w:r>
      <w:r w:rsidR="00B031D4" w:rsidRPr="004A2B32">
        <w:rPr>
          <w:color w:val="000000" w:themeColor="text1"/>
        </w:rPr>
        <w:fldChar w:fldCharType="end"/>
      </w:r>
      <w:r w:rsidRPr="004A2B32">
        <w:rPr>
          <w:color w:val="000000" w:themeColor="text1"/>
        </w:rPr>
        <w:t xml:space="preserve">. The archaeological remains are dated from the Middle </w:t>
      </w:r>
      <w:proofErr w:type="spellStart"/>
      <w:r w:rsidRPr="004A2B32">
        <w:rPr>
          <w:color w:val="000000" w:themeColor="text1"/>
        </w:rPr>
        <w:t>Palaeolithic</w:t>
      </w:r>
      <w:proofErr w:type="spellEnd"/>
      <w:r w:rsidRPr="004A2B32">
        <w:rPr>
          <w:color w:val="000000" w:themeColor="text1"/>
        </w:rPr>
        <w:t xml:space="preserve"> (</w:t>
      </w:r>
      <w:r w:rsidR="004B0CA5" w:rsidRPr="004A2B32">
        <w:rPr>
          <w:color w:val="000000" w:themeColor="text1"/>
        </w:rPr>
        <w:t>130.6±5 ka</w:t>
      </w:r>
      <w:r w:rsidRPr="004A2B32">
        <w:rPr>
          <w:color w:val="000000" w:themeColor="text1"/>
        </w:rPr>
        <w:t>) to the Late Neolithic, revealing a long sequence of deposits that extend across the Pleistocene-Holocene boundary, with the oldest dates ranging from 110-140 ka</w:t>
      </w:r>
      <w:r w:rsidR="003D0760" w:rsidRPr="004A2B32">
        <w:rPr>
          <w:color w:val="000000" w:themeColor="text1"/>
        </w:rPr>
        <w:t xml:space="preserve"> BP</w:t>
      </w:r>
      <w:r w:rsidRPr="004A2B32">
        <w:rPr>
          <w:color w:val="000000" w:themeColor="text1"/>
        </w:rPr>
        <w:t xml:space="preserve">. The importance of the site lies in its Mesolithic layers that bridge the gap between the numerous Neolithic settlements of the Thessalian plain and open-air </w:t>
      </w:r>
      <w:proofErr w:type="spellStart"/>
      <w:r w:rsidRPr="004A2B32">
        <w:rPr>
          <w:color w:val="000000" w:themeColor="text1"/>
        </w:rPr>
        <w:t>Palaeolithic</w:t>
      </w:r>
      <w:proofErr w:type="spellEnd"/>
      <w:r w:rsidRPr="004A2B32">
        <w:rPr>
          <w:color w:val="000000" w:themeColor="text1"/>
        </w:rPr>
        <w:t xml:space="preserve"> findings. The samples </w:t>
      </w:r>
      <w:proofErr w:type="spellStart"/>
      <w:r w:rsidRPr="004A2B32">
        <w:rPr>
          <w:color w:val="000000" w:themeColor="text1"/>
        </w:rPr>
        <w:t>analy</w:t>
      </w:r>
      <w:r w:rsidR="00AD56D5" w:rsidRPr="004A2B32">
        <w:rPr>
          <w:color w:val="000000" w:themeColor="text1"/>
        </w:rPr>
        <w:t>s</w:t>
      </w:r>
      <w:r w:rsidRPr="004A2B32">
        <w:rPr>
          <w:color w:val="000000" w:themeColor="text1"/>
        </w:rPr>
        <w:t>ed</w:t>
      </w:r>
      <w:proofErr w:type="spellEnd"/>
      <w:r w:rsidRPr="004A2B32">
        <w:rPr>
          <w:color w:val="000000" w:themeColor="text1"/>
        </w:rPr>
        <w:t xml:space="preserve"> (Theo2, Theo3 and Theo4) belong to Mesolithic burials but did not yield sufficient </w:t>
      </w:r>
      <w:proofErr w:type="spellStart"/>
      <w:r w:rsidRPr="004A2B32">
        <w:rPr>
          <w:color w:val="000000" w:themeColor="text1"/>
        </w:rPr>
        <w:t>mtDNA</w:t>
      </w:r>
      <w:proofErr w:type="spellEnd"/>
      <w:r w:rsidRPr="004A2B32">
        <w:rPr>
          <w:color w:val="000000" w:themeColor="text1"/>
        </w:rPr>
        <w:t xml:space="preserve"> and therefore were excluded from further analysis. The samples Theo1 and Theo5 have been previously published</w:t>
      </w:r>
      <w:r w:rsidR="00B031D4" w:rsidRPr="004A2B32">
        <w:rPr>
          <w:color w:val="000000" w:themeColor="text1"/>
        </w:rPr>
        <w:fldChar w:fldCharType="begin" w:fldLock="1"/>
      </w:r>
      <w:r w:rsidR="00BE2180">
        <w:rPr>
          <w:color w:val="000000" w:themeColor="text1"/>
        </w:rPr>
        <w:instrText>ADDIN CSL_CITATION {"citationItems":[{"id":"ITEM-1","itemData":{"DOI":"10.1073/pnas.1523951113","ISSN":"0027-8424","abstract":"Farming and sedentism first appeared in southwestern Asia during the early Holocene and later spread to neighboring regions, including Europe, along multiple dispersal routes. Conspicuous uncertainties remain about the relative roles of migration, cultural diffusion, and admixture with local foragers in the early Neolithization of Europe. Here we present paleogenomic data for five Neolithic individuals from northern Greece and northwestern Turkey spanning the time and region of the earliest spread of farming into Europe. We use a novel approach to recalibrate raw reads and call genotypes from ancient DNA and observe striking genetic similarity both among Aegean early farmers and with those from across Europe. Our study demonstrates a direct genetic link between Mediterranean and Central European early farmers and those of Greece and Anatolia, extending the European Neolithic migratory chain all the way back to southwestern Asia.","author":[{"dropping-particle":"","family":"Hofmanová","given":"Zuzana","non-dropping-particle":"","parse-names":false,"suffix":""},{"dropping-particle":"","family":"Kreutzer","given":"Susanne","non-dropping-particle":"","parse-names":false,"suffix":""},{"dropping-particle":"","family":"Hellenthal","given":"Garrett","non-dropping-particle":"","parse-names":false,"suffix":""},{"dropping-particle":"","family":"Sell","given":"Christian","non-dropping-particle":"","parse-names":false,"suffix":""},{"dropping-particle":"","family":"Diekmann","given":"Yoan","non-dropping-particle":"","parse-names":false,"suffix":""},{"dropping-particle":"","family":"Díez-del-Molino","given":"David","non-dropping-particle":"","parse-names":false,"suffix":""},{"dropping-particle":"","family":"Dorp","given":"Lucy","non-dropping-particle":"van","parse-names":false,"suffix":""},{"dropping-particle":"","family":"López","given":"Saioa","non-dropping-particle":"","parse-names":false,"suffix":""},{"dropping-particle":"","family":"Kousathanas","given":"Athanasios","non-dropping-particle":"","parse-names":false,"suffix":""},{"dropping-particle":"","family":"Link","given":"Vivian","non-dropping-particle":"","parse-names":false,"suffix":""},{"dropping-particle":"","family":"Kirsanow","given":"Karola","non-dropping-particle":"","parse-names":false,"suffix":""},{"dropping-particle":"","family":"Cassidy","given":"Lara M.","non-dropping-particle":"","parse-names":false,"suffix":""},{"dropping-particle":"","family":"Martiniano","given":"Rui","non-dropping-particle":"","parse-names":false,"suffix":""},{"dropping-particle":"","family":"Strobel","given":"Melanie","non-dropping-particle":"","parse-names":false,"suffix":""},{"dropping-particle":"","family":"Scheu","given":"Amelie","non-dropping-particle":"","parse-names":false,"suffix":""},{"dropping-particle":"","family":"Kotsakis","given":"Kostas","non-dropping-particle":"","parse-names":false,"suffix":""},{"dropping-particle":"","family":"Halstead","given":"Paul","non-dropping-particle":"","parse-names":false,"suffix":""},{"dropping-particle":"","family":"Triantaphyllou","given":"Sevi","non-dropping-particle":"","parse-names":false,"suffix":""},{"dropping-particle":"","family":"Kyparissi-Apostolika","given":"Nina","non-dropping-particle":"","parse-names":false,"suffix":""},{"dropping-particle":"","family":"Urem-Kotsou","given":"Dushka","non-dropping-particle":"","parse-names":false,"suffix":""},{"dropping-particle":"","family":"Ziota","given":"Christina","non-dropping-particle":"","parse-names":false,"suffix":""},{"dropping-particle":"","family":"Adaktylou","given":"Fotini","non-dropping-particle":"","parse-names":false,"suffix":""},{"dropping-particle":"","family":"Gopalan","given":"Shyamalika","non-dropping-particle":"","parse-names":false,"suffix":""},{"dropping-particle":"","family":"Bobo","given":"Dean M.","non-dropping-particle":"","parse-names":false,"suffix":""},{"dropping-particle":"","family":"Winkelbach","given":"Laura","non-dropping-particle":"","parse-names":false,"suffix":""},{"dropping-particle":"","family":"Blöcher","given":"Jens","non-dropping-particle":"","parse-names":false,"suffix":""},{"dropping-particle":"","family":"Unterländer","given":"Martina","non-dropping-particle":"","parse-names":false,"suffix":""},{"dropping-particle":"","family":"Leuenberger","given":"Christoph","non-dropping-particle":"","parse-names":false,"suffix":""},{"dropping-particle":"","family":"Çilingiroğlu","given":"Çiler","non-dropping-particle":"","parse-names":false,"suffix":""},{"dropping-particle":"","family":"Horejs","given":"Barbara","non-dropping-particle":"","parse-names":false,"suffix":""},{"dropping-particle":"","family":"Gerritsen","given":"Fokke","non-dropping-particle":"","parse-names":false,"suffix":""},{"dropping-particle":"","family":"Shennan","given":"Stephen J.","non-dropping-particle":"","parse-names":false,"suffix":""},{"dropping-particle":"","family":"Bradley","given":"Daniel G.","non-dropping-particle":"","parse-names":false,"suffix":""},{"dropping-particle":"","family":"Currat","given":"Mathias","non-dropping-particle":"","parse-names":false,"suffix":""},{"dropping-particle":"","family":"Veeramah","given":"Krishna R.","non-dropping-particle":"","parse-names":false,"suffix":""},{"dropping-particle":"","family":"Wegmann","given":"Daniel","non-dropping-particle":"","parse-names":false,"suffix":""},{"dropping-particle":"","family":"Thomas","given":"Mark G.","non-dropping-particle":"","parse-names":false,"suffix":""},{"dropping-particle":"","family":"Papageorgopoulou","given":"Christina","non-dropping-particle":"","parse-names":false,"suffix":""},{"dropping-particle":"","family":"Burger","given":"Joachim","non-dropping-particle":"","parse-names":false,"suffix":""}],"container-title":"Proceedings of the National Academy of Sciences","id":"ITEM-1","issue":"25","issued":{"date-parts":[["2016","6","21"]]},"page":"6886-6891","title":"Early farmers from across Europe directly descended from Neolithic Aegeans","type":"article-journal","volume":"113"},"uris":["http://www.mendeley.com/documents/?uuid=b945c703-aff7-4b1b-91b7-380f0d502743"]}],"mendeley":{"formattedCitation":"&lt;sup&gt;8&lt;/sup&gt;","plainTextFormattedCitation":"8","previouslyFormattedCitation":"&lt;sup&gt;8&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8</w:t>
      </w:r>
      <w:r w:rsidR="00B031D4" w:rsidRPr="004A2B32">
        <w:rPr>
          <w:color w:val="000000" w:themeColor="text1"/>
        </w:rPr>
        <w:fldChar w:fldCharType="end"/>
      </w:r>
      <w:r w:rsidR="00946123" w:rsidRPr="004A2B32">
        <w:rPr>
          <w:color w:val="000000" w:themeColor="text1"/>
        </w:rPr>
        <w:t xml:space="preserve"> </w:t>
      </w:r>
      <w:r w:rsidR="004E1AE1" w:rsidRPr="004A2B32">
        <w:rPr>
          <w:bCs/>
          <w:color w:val="000000" w:themeColor="text1"/>
        </w:rPr>
        <w:t>(Table S1)</w:t>
      </w:r>
      <w:r w:rsidR="00621257" w:rsidRPr="004A2B32">
        <w:rPr>
          <w:bCs/>
          <w:color w:val="000000" w:themeColor="text1"/>
        </w:rPr>
        <w:t>.</w:t>
      </w:r>
    </w:p>
    <w:p w14:paraId="48C12907" w14:textId="77777777" w:rsidR="00FA6003" w:rsidRPr="004A2B32" w:rsidRDefault="00FA6003">
      <w:pPr>
        <w:jc w:val="both"/>
        <w:rPr>
          <w:color w:val="000000" w:themeColor="text1"/>
        </w:rPr>
      </w:pPr>
    </w:p>
    <w:p w14:paraId="78591848" w14:textId="77777777" w:rsidR="00194C56" w:rsidRPr="004A2B32" w:rsidRDefault="00194C56">
      <w:pPr>
        <w:pStyle w:val="4"/>
        <w:spacing w:before="200"/>
        <w:jc w:val="both"/>
        <w:rPr>
          <w:color w:val="000000" w:themeColor="text1"/>
          <w:sz w:val="22"/>
          <w:szCs w:val="22"/>
        </w:rPr>
      </w:pPr>
      <w:bookmarkStart w:id="8" w:name="_h0jeg6knqxbs" w:colFirst="0" w:colLast="0"/>
      <w:bookmarkEnd w:id="8"/>
      <w:proofErr w:type="spellStart"/>
      <w:r w:rsidRPr="004A2B32">
        <w:rPr>
          <w:color w:val="000000" w:themeColor="text1"/>
          <w:sz w:val="22"/>
          <w:szCs w:val="22"/>
        </w:rPr>
        <w:t>Maroulas</w:t>
      </w:r>
      <w:proofErr w:type="spellEnd"/>
    </w:p>
    <w:p w14:paraId="2F96E51D" w14:textId="5631BFF0" w:rsidR="00DF162D" w:rsidRDefault="00194C56">
      <w:pPr>
        <w:jc w:val="both"/>
        <w:rPr>
          <w:bCs/>
          <w:color w:val="000000" w:themeColor="text1"/>
        </w:rPr>
      </w:pPr>
      <w:proofErr w:type="spellStart"/>
      <w:r w:rsidRPr="004A2B32">
        <w:rPr>
          <w:color w:val="000000" w:themeColor="text1"/>
        </w:rPr>
        <w:t>Maroulas</w:t>
      </w:r>
      <w:proofErr w:type="spellEnd"/>
      <w:r w:rsidRPr="004A2B32">
        <w:rPr>
          <w:color w:val="000000" w:themeColor="text1"/>
        </w:rPr>
        <w:t xml:space="preserve"> in </w:t>
      </w:r>
      <w:proofErr w:type="spellStart"/>
      <w:r w:rsidRPr="004A2B32">
        <w:rPr>
          <w:color w:val="000000" w:themeColor="text1"/>
        </w:rPr>
        <w:t>Kythnos</w:t>
      </w:r>
      <w:proofErr w:type="spellEnd"/>
      <w:r w:rsidRPr="004A2B32">
        <w:rPr>
          <w:color w:val="000000" w:themeColor="text1"/>
        </w:rPr>
        <w:t xml:space="preserve"> is the only excavated Mesolithic site in the Aegean which has provided domestic remnants and burials during the 9</w:t>
      </w:r>
      <w:r w:rsidRPr="004A2B32">
        <w:rPr>
          <w:color w:val="000000" w:themeColor="text1"/>
          <w:vertAlign w:val="superscript"/>
        </w:rPr>
        <w:t>th</w:t>
      </w:r>
      <w:r w:rsidRPr="004A2B32">
        <w:rPr>
          <w:color w:val="000000" w:themeColor="text1"/>
        </w:rPr>
        <w:t xml:space="preserve"> millennium</w:t>
      </w:r>
      <w:r w:rsidR="00B031D4" w:rsidRPr="004A2B32">
        <w:rPr>
          <w:color w:val="000000" w:themeColor="text1"/>
        </w:rPr>
        <w:fldChar w:fldCharType="begin" w:fldLock="1"/>
      </w:r>
      <w:r w:rsidR="00BE2180">
        <w:rPr>
          <w:color w:val="000000" w:themeColor="text1"/>
        </w:rPr>
        <w:instrText>ADDIN CSL_CITATION {"citationItems":[{"id":"ITEM-1","itemData":{"author":[{"dropping-particle":"","family":"Sampson","given":"A","non-dropping-particle":"","parse-names":false,"suffix":""},{"dropping-particle":"","family":"Kaczanowska","given":"M","non-dropping-particle":"","parse-names":false,"suffix":""},{"dropping-particle":"","family":"Kozłowski","given":"J K","non-dropping-particle":"","parse-names":false,"suffix":""}],"id":"ITEM-1","issued":{"date-parts":[["2010"]]},"publisher":"Polish Academy of Sciences and Arts and University of the Aegean","publisher-place":"Athens","title":"Τhe prehistory of the island of Kythnos and the Mesolithic settlement at Maroulas","type":"book"},"uris":["http://www.mendeley.com/documents/?uuid=99516d9f-6d1c-43e4-b732-f6cd81180a95"]}],"mendeley":{"formattedCitation":"&lt;sup&gt;9&lt;/sup&gt;","plainTextFormattedCitation":"9","previouslyFormattedCitation":"&lt;sup&gt;9&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9</w:t>
      </w:r>
      <w:r w:rsidR="00B031D4" w:rsidRPr="004A2B32">
        <w:rPr>
          <w:color w:val="000000" w:themeColor="text1"/>
        </w:rPr>
        <w:fldChar w:fldCharType="end"/>
      </w:r>
      <w:r w:rsidR="00621257" w:rsidRPr="004A2B32">
        <w:rPr>
          <w:color w:val="000000" w:themeColor="text1"/>
        </w:rPr>
        <w:t>.</w:t>
      </w:r>
      <w:r w:rsidR="00787EF8" w:rsidRPr="004A2B32">
        <w:rPr>
          <w:color w:val="000000" w:themeColor="text1"/>
        </w:rPr>
        <w:t xml:space="preserve"> </w:t>
      </w:r>
      <w:proofErr w:type="spellStart"/>
      <w:r w:rsidRPr="004A2B32">
        <w:rPr>
          <w:color w:val="000000" w:themeColor="text1"/>
        </w:rPr>
        <w:t>Kythnos</w:t>
      </w:r>
      <w:proofErr w:type="spellEnd"/>
      <w:r w:rsidRPr="004A2B32">
        <w:rPr>
          <w:color w:val="000000" w:themeColor="text1"/>
        </w:rPr>
        <w:t xml:space="preserve"> is a </w:t>
      </w:r>
      <w:r w:rsidR="003D0760" w:rsidRPr="004A2B32">
        <w:rPr>
          <w:color w:val="000000" w:themeColor="text1"/>
        </w:rPr>
        <w:t>Cycladic</w:t>
      </w:r>
      <w:r w:rsidRPr="004A2B32">
        <w:rPr>
          <w:color w:val="000000" w:themeColor="text1"/>
        </w:rPr>
        <w:t xml:space="preserve"> island close</w:t>
      </w:r>
      <w:r w:rsidR="003D0760" w:rsidRPr="004A2B32">
        <w:rPr>
          <w:color w:val="000000" w:themeColor="text1"/>
        </w:rPr>
        <w:t xml:space="preserve"> (ca. 40km)</w:t>
      </w:r>
      <w:r w:rsidRPr="004A2B32">
        <w:rPr>
          <w:color w:val="000000" w:themeColor="text1"/>
        </w:rPr>
        <w:t xml:space="preserve"> to the Greek mainland. The site of </w:t>
      </w:r>
      <w:proofErr w:type="spellStart"/>
      <w:r w:rsidRPr="004A2B32">
        <w:rPr>
          <w:color w:val="000000" w:themeColor="text1"/>
        </w:rPr>
        <w:t>Maroulas</w:t>
      </w:r>
      <w:proofErr w:type="spellEnd"/>
      <w:r w:rsidRPr="004A2B32">
        <w:rPr>
          <w:color w:val="000000" w:themeColor="text1"/>
        </w:rPr>
        <w:t xml:space="preserve"> is located near the coast close to the modern village of </w:t>
      </w:r>
      <w:proofErr w:type="spellStart"/>
      <w:r w:rsidRPr="004A2B32">
        <w:rPr>
          <w:color w:val="000000" w:themeColor="text1"/>
        </w:rPr>
        <w:t>Loutra</w:t>
      </w:r>
      <w:proofErr w:type="spellEnd"/>
      <w:r w:rsidRPr="004A2B32">
        <w:rPr>
          <w:color w:val="000000" w:themeColor="text1"/>
        </w:rPr>
        <w:t xml:space="preserve">. Due to the rise of sea level, part of the settlement has been destroyed. Today the settlement measures </w:t>
      </w:r>
      <w:r w:rsidR="0018613A" w:rsidRPr="004A2B32">
        <w:rPr>
          <w:color w:val="000000" w:themeColor="text1"/>
        </w:rPr>
        <w:t>2</w:t>
      </w:r>
      <w:r w:rsidRPr="004A2B32">
        <w:rPr>
          <w:color w:val="000000" w:themeColor="text1"/>
        </w:rPr>
        <w:t>000m</w:t>
      </w:r>
      <w:r w:rsidRPr="004A2B32">
        <w:rPr>
          <w:color w:val="000000" w:themeColor="text1"/>
          <w:vertAlign w:val="superscript"/>
        </w:rPr>
        <w:t>2</w:t>
      </w:r>
      <w:r w:rsidR="003D0760" w:rsidRPr="004A2B32">
        <w:rPr>
          <w:color w:val="000000" w:themeColor="text1"/>
        </w:rPr>
        <w:t>and mainly comprises</w:t>
      </w:r>
      <w:r w:rsidR="00787EF8" w:rsidRPr="004A2B32">
        <w:rPr>
          <w:color w:val="000000" w:themeColor="text1"/>
        </w:rPr>
        <w:t xml:space="preserve"> </w:t>
      </w:r>
      <w:r w:rsidR="0018613A" w:rsidRPr="004A2B32">
        <w:rPr>
          <w:color w:val="000000" w:themeColor="text1"/>
        </w:rPr>
        <w:t>circular or</w:t>
      </w:r>
      <w:r w:rsidR="00787EF8" w:rsidRPr="004A2B32">
        <w:rPr>
          <w:color w:val="000000" w:themeColor="text1"/>
        </w:rPr>
        <w:t xml:space="preserve"> </w:t>
      </w:r>
      <w:r w:rsidRPr="004A2B32">
        <w:rPr>
          <w:color w:val="000000" w:themeColor="text1"/>
        </w:rPr>
        <w:t>ellipsoid arrangement</w:t>
      </w:r>
      <w:r w:rsidR="00493011" w:rsidRPr="004A2B32">
        <w:rPr>
          <w:color w:val="000000" w:themeColor="text1"/>
        </w:rPr>
        <w:t>s of flagstones that</w:t>
      </w:r>
      <w:r w:rsidRPr="004A2B32">
        <w:rPr>
          <w:color w:val="000000" w:themeColor="text1"/>
        </w:rPr>
        <w:t xml:space="preserve"> probably </w:t>
      </w:r>
      <w:r w:rsidR="00493011" w:rsidRPr="004A2B32">
        <w:rPr>
          <w:color w:val="000000" w:themeColor="text1"/>
        </w:rPr>
        <w:t xml:space="preserve">represent </w:t>
      </w:r>
      <w:r w:rsidRPr="004A2B32">
        <w:rPr>
          <w:color w:val="000000" w:themeColor="text1"/>
        </w:rPr>
        <w:t>the floor</w:t>
      </w:r>
      <w:r w:rsidR="00493011" w:rsidRPr="004A2B32">
        <w:rPr>
          <w:color w:val="000000" w:themeColor="text1"/>
        </w:rPr>
        <w:t>s</w:t>
      </w:r>
      <w:r w:rsidRPr="004A2B32">
        <w:rPr>
          <w:color w:val="000000" w:themeColor="text1"/>
        </w:rPr>
        <w:t xml:space="preserve"> of huts. In </w:t>
      </w:r>
      <w:r w:rsidR="0018613A" w:rsidRPr="004A2B32">
        <w:rPr>
          <w:color w:val="000000" w:themeColor="text1"/>
        </w:rPr>
        <w:t>most of the cases</w:t>
      </w:r>
      <w:r w:rsidRPr="004A2B32">
        <w:rPr>
          <w:color w:val="000000" w:themeColor="text1"/>
        </w:rPr>
        <w:t xml:space="preserve"> human burial</w:t>
      </w:r>
      <w:r w:rsidR="0018613A" w:rsidRPr="004A2B32">
        <w:rPr>
          <w:color w:val="000000" w:themeColor="text1"/>
        </w:rPr>
        <w:t>s</w:t>
      </w:r>
      <w:r w:rsidR="00787EF8" w:rsidRPr="004A2B32">
        <w:rPr>
          <w:color w:val="000000" w:themeColor="text1"/>
        </w:rPr>
        <w:t xml:space="preserve"> </w:t>
      </w:r>
      <w:r w:rsidR="0018613A" w:rsidRPr="004A2B32">
        <w:rPr>
          <w:color w:val="000000" w:themeColor="text1"/>
        </w:rPr>
        <w:t xml:space="preserve">were </w:t>
      </w:r>
      <w:r w:rsidRPr="004A2B32">
        <w:rPr>
          <w:color w:val="000000" w:themeColor="text1"/>
        </w:rPr>
        <w:t>found</w:t>
      </w:r>
      <w:r w:rsidR="00493011" w:rsidRPr="004A2B32">
        <w:rPr>
          <w:color w:val="000000" w:themeColor="text1"/>
        </w:rPr>
        <w:t xml:space="preserve"> underneath the slabs</w:t>
      </w:r>
      <w:r w:rsidRPr="004A2B32">
        <w:rPr>
          <w:color w:val="000000" w:themeColor="text1"/>
        </w:rPr>
        <w:t>. The burial types are rock</w:t>
      </w:r>
      <w:r w:rsidR="00493011" w:rsidRPr="004A2B32">
        <w:rPr>
          <w:color w:val="000000" w:themeColor="text1"/>
        </w:rPr>
        <w:t>-</w:t>
      </w:r>
      <w:r w:rsidRPr="004A2B32">
        <w:rPr>
          <w:color w:val="000000" w:themeColor="text1"/>
        </w:rPr>
        <w:t xml:space="preserve">cut graves or cist graves </w:t>
      </w:r>
      <w:r w:rsidR="00493011" w:rsidRPr="004A2B32">
        <w:rPr>
          <w:color w:val="000000" w:themeColor="text1"/>
        </w:rPr>
        <w:t xml:space="preserve">comprising </w:t>
      </w:r>
      <w:r w:rsidRPr="004A2B32">
        <w:rPr>
          <w:color w:val="000000" w:themeColor="text1"/>
        </w:rPr>
        <w:t xml:space="preserve">stone lined </w:t>
      </w:r>
      <w:r w:rsidR="00493011" w:rsidRPr="004A2B32">
        <w:rPr>
          <w:color w:val="000000" w:themeColor="text1"/>
        </w:rPr>
        <w:t xml:space="preserve">pits </w:t>
      </w:r>
      <w:r w:rsidRPr="004A2B32">
        <w:rPr>
          <w:color w:val="000000" w:themeColor="text1"/>
        </w:rPr>
        <w:t>covered with large slabs. The lithic industry is characterized by adaptation to local raw materials primarily quartz</w:t>
      </w:r>
      <w:r w:rsidR="0018613A" w:rsidRPr="004A2B32">
        <w:rPr>
          <w:color w:val="000000" w:themeColor="text1"/>
        </w:rPr>
        <w:t xml:space="preserve"> and flint</w:t>
      </w:r>
      <w:r w:rsidRPr="004A2B32">
        <w:rPr>
          <w:color w:val="000000" w:themeColor="text1"/>
        </w:rPr>
        <w:t xml:space="preserve"> and secondly obsidian. Technologically </w:t>
      </w:r>
      <w:r w:rsidR="0018613A" w:rsidRPr="004A2B32">
        <w:rPr>
          <w:color w:val="000000" w:themeColor="text1"/>
        </w:rPr>
        <w:t xml:space="preserve">the lithic industry is a </w:t>
      </w:r>
      <w:r w:rsidRPr="004A2B32">
        <w:rPr>
          <w:color w:val="000000" w:themeColor="text1"/>
        </w:rPr>
        <w:t xml:space="preserve">flake technology. Compared to </w:t>
      </w:r>
      <w:r w:rsidR="00493011" w:rsidRPr="004A2B32">
        <w:rPr>
          <w:color w:val="000000" w:themeColor="text1"/>
        </w:rPr>
        <w:t xml:space="preserve">the </w:t>
      </w:r>
      <w:proofErr w:type="spellStart"/>
      <w:r w:rsidRPr="004A2B32">
        <w:rPr>
          <w:color w:val="000000" w:themeColor="text1"/>
        </w:rPr>
        <w:t>Franchthi</w:t>
      </w:r>
      <w:proofErr w:type="spellEnd"/>
      <w:r w:rsidRPr="004A2B32">
        <w:rPr>
          <w:color w:val="000000" w:themeColor="text1"/>
        </w:rPr>
        <w:t xml:space="preserve"> lithic industry of the same period</w:t>
      </w:r>
      <w:r w:rsidR="00493011" w:rsidRPr="004A2B32">
        <w:rPr>
          <w:color w:val="000000" w:themeColor="text1"/>
        </w:rPr>
        <w:t>,</w:t>
      </w:r>
      <w:r w:rsidRPr="004A2B32">
        <w:rPr>
          <w:color w:val="000000" w:themeColor="text1"/>
        </w:rPr>
        <w:t xml:space="preserve"> there </w:t>
      </w:r>
      <w:r w:rsidR="00493011" w:rsidRPr="004A2B32">
        <w:rPr>
          <w:color w:val="000000" w:themeColor="text1"/>
        </w:rPr>
        <w:t xml:space="preserve">are </w:t>
      </w:r>
      <w:r w:rsidRPr="004A2B32">
        <w:rPr>
          <w:color w:val="000000" w:themeColor="text1"/>
        </w:rPr>
        <w:t xml:space="preserve">many dissimilarities in the morphological structure of retouched tools especially in the percentage of common tools. Terrestrial </w:t>
      </w:r>
      <w:proofErr w:type="spellStart"/>
      <w:r w:rsidRPr="004A2B32">
        <w:rPr>
          <w:color w:val="000000" w:themeColor="text1"/>
        </w:rPr>
        <w:t>mollus</w:t>
      </w:r>
      <w:r w:rsidR="00493011" w:rsidRPr="004A2B32">
        <w:rPr>
          <w:color w:val="000000" w:themeColor="text1"/>
        </w:rPr>
        <w:t>c</w:t>
      </w:r>
      <w:r w:rsidRPr="004A2B32">
        <w:rPr>
          <w:color w:val="000000" w:themeColor="text1"/>
        </w:rPr>
        <w:t>s</w:t>
      </w:r>
      <w:proofErr w:type="spellEnd"/>
      <w:r w:rsidR="00493011" w:rsidRPr="004A2B32">
        <w:rPr>
          <w:color w:val="000000" w:themeColor="text1"/>
        </w:rPr>
        <w:t xml:space="preserve">, of relatively few species, </w:t>
      </w:r>
      <w:r w:rsidRPr="004A2B32">
        <w:rPr>
          <w:color w:val="000000" w:themeColor="text1"/>
        </w:rPr>
        <w:t xml:space="preserve">occur in enormous quantities </w:t>
      </w:r>
      <w:r w:rsidR="00493011" w:rsidRPr="004A2B32">
        <w:rPr>
          <w:color w:val="000000" w:themeColor="text1"/>
        </w:rPr>
        <w:t xml:space="preserve">over </w:t>
      </w:r>
      <w:r w:rsidRPr="004A2B32">
        <w:rPr>
          <w:color w:val="000000" w:themeColor="text1"/>
        </w:rPr>
        <w:t xml:space="preserve">the entire extent of the settlement. Marine shells occur in smaller quantities while fish bones are also found. Animal bones were scanty especially from </w:t>
      </w:r>
      <w:proofErr w:type="spellStart"/>
      <w:r w:rsidR="0018613A" w:rsidRPr="004A2B32">
        <w:rPr>
          <w:color w:val="000000" w:themeColor="text1"/>
        </w:rPr>
        <w:t>suids</w:t>
      </w:r>
      <w:proofErr w:type="spellEnd"/>
      <w:r w:rsidR="0018613A" w:rsidRPr="004A2B32">
        <w:rPr>
          <w:color w:val="000000" w:themeColor="text1"/>
        </w:rPr>
        <w:t xml:space="preserve">, </w:t>
      </w:r>
      <w:r w:rsidRPr="004A2B32">
        <w:rPr>
          <w:color w:val="000000" w:themeColor="text1"/>
        </w:rPr>
        <w:t xml:space="preserve">small animals and birds. There was a complete absence of pottery. </w:t>
      </w:r>
      <w:bookmarkStart w:id="9" w:name="_o6r386i014p0" w:colFirst="0" w:colLast="0"/>
      <w:bookmarkEnd w:id="9"/>
      <w:r w:rsidRPr="004A2B32">
        <w:rPr>
          <w:bCs/>
          <w:color w:val="000000" w:themeColor="text1"/>
        </w:rPr>
        <w:t xml:space="preserve">In the present study we </w:t>
      </w:r>
      <w:proofErr w:type="spellStart"/>
      <w:r w:rsidRPr="004A2B32">
        <w:rPr>
          <w:bCs/>
          <w:color w:val="000000" w:themeColor="text1"/>
        </w:rPr>
        <w:t>analysed</w:t>
      </w:r>
      <w:proofErr w:type="spellEnd"/>
      <w:r w:rsidRPr="004A2B32">
        <w:rPr>
          <w:bCs/>
          <w:color w:val="000000" w:themeColor="text1"/>
        </w:rPr>
        <w:t xml:space="preserve"> long bones from three individuals (Mar1, Mar2, Mar3)</w:t>
      </w:r>
      <w:r w:rsidR="00787EF8" w:rsidRPr="004A2B32">
        <w:rPr>
          <w:bCs/>
          <w:color w:val="000000" w:themeColor="text1"/>
        </w:rPr>
        <w:t xml:space="preserve"> </w:t>
      </w:r>
      <w:r w:rsidR="004E1AE1" w:rsidRPr="004A2B32">
        <w:rPr>
          <w:bCs/>
          <w:color w:val="000000" w:themeColor="text1"/>
        </w:rPr>
        <w:t>(Table S1)</w:t>
      </w:r>
      <w:r w:rsidRPr="004A2B32">
        <w:rPr>
          <w:bCs/>
          <w:color w:val="000000" w:themeColor="text1"/>
        </w:rPr>
        <w:t xml:space="preserve">. </w:t>
      </w:r>
    </w:p>
    <w:p w14:paraId="50B3265A" w14:textId="77777777" w:rsidR="00FA6003" w:rsidRPr="004A2B32" w:rsidRDefault="00FA6003">
      <w:pPr>
        <w:jc w:val="both"/>
        <w:rPr>
          <w:bCs/>
          <w:color w:val="000000" w:themeColor="text1"/>
        </w:rPr>
      </w:pPr>
    </w:p>
    <w:p w14:paraId="69491F46" w14:textId="53A50D9A" w:rsidR="00DF162D" w:rsidRPr="004A2B32" w:rsidRDefault="00194C56" w:rsidP="00D820C9">
      <w:pPr>
        <w:pStyle w:val="2"/>
        <w:rPr>
          <w:b/>
          <w:bCs/>
          <w:color w:val="000000" w:themeColor="text1"/>
        </w:rPr>
      </w:pPr>
      <w:bookmarkStart w:id="10" w:name="_3znysh7" w:colFirst="0" w:colLast="0"/>
      <w:bookmarkEnd w:id="10"/>
      <w:r w:rsidRPr="004A2B32">
        <w:rPr>
          <w:b/>
          <w:bCs/>
          <w:color w:val="000000" w:themeColor="text1"/>
        </w:rPr>
        <w:t xml:space="preserve">Early Neolithic </w:t>
      </w:r>
      <w:r w:rsidR="000E7A0B" w:rsidRPr="004A2B32">
        <w:rPr>
          <w:b/>
          <w:bCs/>
          <w:color w:val="000000" w:themeColor="text1"/>
        </w:rPr>
        <w:t>Period</w:t>
      </w:r>
    </w:p>
    <w:p w14:paraId="7EE421B7" w14:textId="55A06B4A" w:rsidR="00DB28E4" w:rsidRPr="004A2B32" w:rsidRDefault="00194C56" w:rsidP="00D820C9">
      <w:pPr>
        <w:pStyle w:val="4"/>
        <w:rPr>
          <w:b w:val="0"/>
          <w:bCs/>
          <w:color w:val="000000" w:themeColor="text1"/>
          <w:sz w:val="22"/>
          <w:szCs w:val="22"/>
        </w:rPr>
      </w:pPr>
      <w:proofErr w:type="spellStart"/>
      <w:r w:rsidRPr="004A2B32">
        <w:rPr>
          <w:rStyle w:val="4Char"/>
          <w:rFonts w:ascii="Arial" w:hAnsi="Arial" w:cs="Arial"/>
          <w:b/>
          <w:bCs w:val="0"/>
          <w:color w:val="000000" w:themeColor="text1"/>
          <w:sz w:val="22"/>
          <w:szCs w:val="22"/>
        </w:rPr>
        <w:t>Mavropigi-Fillotsairi</w:t>
      </w:r>
      <w:proofErr w:type="spellEnd"/>
      <w:r w:rsidRPr="004A2B32">
        <w:rPr>
          <w:rStyle w:val="4Char"/>
          <w:rFonts w:ascii="Arial" w:hAnsi="Arial" w:cs="Arial"/>
          <w:color w:val="000000" w:themeColor="text1"/>
          <w:sz w:val="22"/>
          <w:szCs w:val="22"/>
        </w:rPr>
        <w:t>:</w:t>
      </w:r>
      <w:r w:rsidRPr="004A2B32">
        <w:rPr>
          <w:color w:val="000000" w:themeColor="text1"/>
          <w:sz w:val="22"/>
          <w:szCs w:val="22"/>
        </w:rPr>
        <w:t xml:space="preserve"> An Early Neolithic settlement in </w:t>
      </w:r>
      <w:r w:rsidR="007E2C45">
        <w:rPr>
          <w:color w:val="000000" w:themeColor="text1"/>
          <w:sz w:val="22"/>
          <w:szCs w:val="22"/>
        </w:rPr>
        <w:t>w</w:t>
      </w:r>
      <w:r w:rsidRPr="004A2B32">
        <w:rPr>
          <w:color w:val="000000" w:themeColor="text1"/>
          <w:sz w:val="22"/>
          <w:szCs w:val="22"/>
        </w:rPr>
        <w:t>estern Macedonia (Greece)</w:t>
      </w:r>
    </w:p>
    <w:p w14:paraId="5FF339CE" w14:textId="285D4DEE" w:rsidR="00D820C9" w:rsidRPr="004A2B32" w:rsidRDefault="005C246E" w:rsidP="00D820C9">
      <w:pPr>
        <w:spacing w:after="0"/>
        <w:jc w:val="both"/>
        <w:rPr>
          <w:color w:val="000000" w:themeColor="text1"/>
        </w:rPr>
      </w:pPr>
      <w:r w:rsidRPr="004A2B32">
        <w:rPr>
          <w:color w:val="000000" w:themeColor="text1"/>
        </w:rPr>
        <w:t xml:space="preserve">The neolithic settlement of </w:t>
      </w:r>
      <w:proofErr w:type="spellStart"/>
      <w:r w:rsidRPr="004A2B32">
        <w:rPr>
          <w:color w:val="000000" w:themeColor="text1"/>
        </w:rPr>
        <w:t>Mavropigi-Fillotsairi</w:t>
      </w:r>
      <w:proofErr w:type="spellEnd"/>
      <w:r w:rsidRPr="004A2B32">
        <w:rPr>
          <w:color w:val="000000" w:themeColor="text1"/>
        </w:rPr>
        <w:t xml:space="preserve"> was excavated at the village</w:t>
      </w:r>
      <w:r w:rsidR="00194C56" w:rsidRPr="004A2B32">
        <w:rPr>
          <w:color w:val="000000" w:themeColor="text1"/>
        </w:rPr>
        <w:t xml:space="preserve"> of </w:t>
      </w:r>
      <w:proofErr w:type="spellStart"/>
      <w:r w:rsidR="00194C56" w:rsidRPr="004A2B32">
        <w:rPr>
          <w:color w:val="000000" w:themeColor="text1"/>
        </w:rPr>
        <w:t>Mavropigi</w:t>
      </w:r>
      <w:proofErr w:type="spellEnd"/>
      <w:r w:rsidR="00787EF8" w:rsidRPr="004A2B32">
        <w:rPr>
          <w:color w:val="000000" w:themeColor="text1"/>
        </w:rPr>
        <w:t xml:space="preserve"> </w:t>
      </w:r>
      <w:r w:rsidRPr="004A2B32">
        <w:rPr>
          <w:color w:val="000000" w:themeColor="text1"/>
        </w:rPr>
        <w:t>of</w:t>
      </w:r>
      <w:r w:rsidR="00194C56" w:rsidRPr="004A2B32">
        <w:rPr>
          <w:color w:val="000000" w:themeColor="text1"/>
        </w:rPr>
        <w:t xml:space="preserve"> the prefecture of Kozani</w:t>
      </w:r>
      <w:r w:rsidR="00B031D4" w:rsidRPr="004A2B32">
        <w:rPr>
          <w:color w:val="000000" w:themeColor="text1"/>
        </w:rPr>
        <w:fldChar w:fldCharType="begin" w:fldLock="1"/>
      </w:r>
      <w:r w:rsidR="00BE2180">
        <w:rPr>
          <w:color w:val="000000" w:themeColor="text1"/>
        </w:rPr>
        <w:instrText>ADDIN CSL_CITATION {"citationItems":[{"id":"ITEM-1","itemData":{"author":[{"dropping-particle":"","family":"Karamitrou-Mentessidi","given":"Georgia","non-dropping-particle":"","parse-names":false,"suffix":""}],"container-title":"AEMTh 19","editor":[{"dropping-particle":"","family":"Adam-Veleni","given":"P","non-dropping-particle":"","parse-names":false,"suffix":""},{"dropping-particle":"","family":"Tsakalou","given":"K","non-dropping-particle":"","parse-names":false,"suffix":""}],"id":"ITEM-1","issued":{"date-parts":[["2005"]]},"page":"511-539","publisher":"Ministry of Culture","title":"Mavropiyi 2005. Lignite mines and Antiquities","type":"paper-conference"},"uris":["http://www.mendeley.com/documents/?uuid=1c26dcc4-cb98-41fd-b39d-e37e642b2e56"]},{"id":"ITEM-2","itemData":{"author":[{"dropping-particle":"","family":"Karamitrou-Mentessidi","given":"Georgia","non-dropping-particle":"","parse-names":false,"suffix":""}],"container-title":"A century of research in prehistoric Macedonia 1912-2012","editor":[{"dropping-particle":"","family":"Stephani","given":"E","non-dropping-particle":"","parse-names":false,"suffix":""},{"dropping-particle":"","family":"Merousis","given":"N","non-dropping-particle":"","parse-names":false,"suffix":""},{"dropping-particle":"","family":"Dimoula","given":"A","non-dropping-particle":"","parse-names":false,"suffix":""}],"id":"ITEM-2","issued":{"date-parts":[["2014"]]},"page":"223-250","publisher-place":"Thessaloniki","title":"About prehistoric sites in western Macedonia: prefectures of Kozani and Grevena","type":"paper-conference"},"uris":["http://www.mendeley.com/documents/?uuid=a79914c2-8b0d-405b-82c6-e9f4b16dc013"]}],"mendeley":{"formattedCitation":"&lt;sup&gt;10,11&lt;/sup&gt;","plainTextFormattedCitation":"10,11","previouslyFormattedCitation":"&lt;sup&gt;10,11&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10,11</w:t>
      </w:r>
      <w:r w:rsidR="00B031D4" w:rsidRPr="004A2B32">
        <w:rPr>
          <w:color w:val="000000" w:themeColor="text1"/>
        </w:rPr>
        <w:fldChar w:fldCharType="end"/>
      </w:r>
      <w:r w:rsidR="00ED6A87" w:rsidRPr="004A2B32">
        <w:rPr>
          <w:color w:val="000000" w:themeColor="text1"/>
        </w:rPr>
        <w:t xml:space="preserve">. </w:t>
      </w:r>
      <w:r w:rsidR="0052195F" w:rsidRPr="004A2B32">
        <w:rPr>
          <w:color w:val="000000" w:themeColor="text1"/>
        </w:rPr>
        <w:t>The site was established on an almost flat area at 675 m altitude, on the western</w:t>
      </w:r>
      <w:r w:rsidR="00787EF8" w:rsidRPr="004A2B32">
        <w:rPr>
          <w:color w:val="000000" w:themeColor="text1"/>
        </w:rPr>
        <w:t xml:space="preserve"> </w:t>
      </w:r>
      <w:r w:rsidR="0052195F" w:rsidRPr="004A2B32">
        <w:rPr>
          <w:color w:val="000000" w:themeColor="text1"/>
        </w:rPr>
        <w:t xml:space="preserve">edge of the former marshland of </w:t>
      </w:r>
      <w:proofErr w:type="spellStart"/>
      <w:r w:rsidR="0052195F" w:rsidRPr="004A2B32">
        <w:rPr>
          <w:color w:val="000000" w:themeColor="text1"/>
        </w:rPr>
        <w:t>Kitrini</w:t>
      </w:r>
      <w:proofErr w:type="spellEnd"/>
      <w:r w:rsidR="00787EF8" w:rsidRPr="004A2B32">
        <w:rPr>
          <w:color w:val="000000" w:themeColor="text1"/>
        </w:rPr>
        <w:t xml:space="preserve"> </w:t>
      </w:r>
      <w:proofErr w:type="spellStart"/>
      <w:r w:rsidR="0052195F" w:rsidRPr="004A2B32">
        <w:rPr>
          <w:color w:val="000000" w:themeColor="text1"/>
        </w:rPr>
        <w:t>Limni</w:t>
      </w:r>
      <w:proofErr w:type="spellEnd"/>
      <w:r w:rsidR="0052195F" w:rsidRPr="004A2B32">
        <w:rPr>
          <w:color w:val="000000" w:themeColor="text1"/>
        </w:rPr>
        <w:t xml:space="preserve">, which is on the western edge of </w:t>
      </w:r>
      <w:proofErr w:type="spellStart"/>
      <w:r w:rsidR="0052195F" w:rsidRPr="004A2B32">
        <w:rPr>
          <w:color w:val="000000" w:themeColor="text1"/>
        </w:rPr>
        <w:lastRenderedPageBreak/>
        <w:t>Ptolemaida</w:t>
      </w:r>
      <w:proofErr w:type="spellEnd"/>
      <w:r w:rsidR="0052195F" w:rsidRPr="004A2B32">
        <w:rPr>
          <w:color w:val="000000" w:themeColor="text1"/>
        </w:rPr>
        <w:t xml:space="preserve"> between the </w:t>
      </w:r>
      <w:proofErr w:type="spellStart"/>
      <w:r w:rsidR="0052195F" w:rsidRPr="004A2B32">
        <w:rPr>
          <w:color w:val="000000" w:themeColor="text1"/>
        </w:rPr>
        <w:t>Vermion</w:t>
      </w:r>
      <w:proofErr w:type="spellEnd"/>
      <w:r w:rsidR="0052195F" w:rsidRPr="004A2B32">
        <w:rPr>
          <w:color w:val="000000" w:themeColor="text1"/>
        </w:rPr>
        <w:t xml:space="preserve"> and </w:t>
      </w:r>
      <w:proofErr w:type="spellStart"/>
      <w:r w:rsidR="0052195F" w:rsidRPr="004A2B32">
        <w:rPr>
          <w:color w:val="000000" w:themeColor="text1"/>
        </w:rPr>
        <w:t>Askion</w:t>
      </w:r>
      <w:proofErr w:type="spellEnd"/>
      <w:r w:rsidR="0052195F" w:rsidRPr="004A2B32">
        <w:rPr>
          <w:color w:val="000000" w:themeColor="text1"/>
        </w:rPr>
        <w:t xml:space="preserve"> Mountains. </w:t>
      </w:r>
      <w:r w:rsidR="0098217E" w:rsidRPr="004A2B32">
        <w:rPr>
          <w:color w:val="000000" w:themeColor="text1"/>
        </w:rPr>
        <w:t>The site (app. 5000 m²) dates to Early Neolithic (6600-5900 BC) with three habitation phases</w:t>
      </w:r>
      <w:r w:rsidR="00B031D4" w:rsidRPr="004A2B32">
        <w:rPr>
          <w:color w:val="000000" w:themeColor="text1"/>
        </w:rPr>
        <w:fldChar w:fldCharType="begin" w:fldLock="1"/>
      </w:r>
      <w:r w:rsidR="00BE2180">
        <w:rPr>
          <w:color w:val="000000" w:themeColor="text1"/>
        </w:rPr>
        <w:instrText>ADDIN CSL_CITATION {"citationItems":[{"id":"ITEM-1","itemData":{"author":[{"dropping-particle":"","family":"Karamitrou-Mentessidi","given":"Georgia","non-dropping-particle":"","parse-names":false,"suffix":""}],"container-title":"AEMTh 19","editor":[{"dropping-particle":"","family":"Adam-Veleni","given":"P","non-dropping-particle":"","parse-names":false,"suffix":""},{"dropping-particle":"","family":"Tsakalou","given":"K","non-dropping-particle":"","parse-names":false,"suffix":""}],"id":"ITEM-1","issued":{"date-parts":[["2005"]]},"page":"511-539","publisher":"Ministry of Culture","title":"Mavropiyi 2005. Lignite mines and Antiquities","type":"paper-conference"},"uris":["http://www.mendeley.com/documents/?uuid=1c26dcc4-cb98-41fd-b39d-e37e642b2e56"]},{"id":"ITEM-2","itemData":{"author":[{"dropping-particle":"","family":"Karamitrou-Mentessidi","given":"Georgia","non-dropping-particle":"","parse-names":false,"suffix":""}],"container-title":"Archaiologikon Deltion","id":"ITEM-2","issue":"B2","issued":{"date-parts":[["2005"]]},"page":"763-816 (771-782)","title":"L΄ Eforeia Proistorikon kai Klassikon Archaiotiton (Mavropigi, Fillotsairi site)","type":"article-journal","volume":"60"},"uris":["http://www.mendeley.com/documents/?uuid=94ab16e6-44e2-429f-9069-6e263b40c20f"]},{"id":"ITEM-3","itemData":{"author":[{"dropping-particle":"","family":"Karamitrou-Mentessidi","given":"G","non-dropping-particle":"","parse-names":false,"suffix":""},{"dropping-particle":"","family":"Efstratiou","given":"Nikos","non-dropping-particle":"","parse-names":false,"suffix":""},{"dropping-particle":"","family":"Kozlowski","given":"J K","non-dropping-particle":"","parse-names":false,"suffix":""},{"dropping-particle":"","family":"Kaczanowska","given":"M","non-dropping-particle":"","parse-names":false,"suffix":""},{"dropping-particle":"","family":"Maniatis","given":"Y","non-dropping-particle":"","parse-names":false,"suffix":""},{"dropping-particle":"","family":"Curci","given":"Antonio","non-dropping-particle":"","parse-names":false,"suffix":""},{"dropping-particle":"","family":"Valamoti","given":"Soultana","non-dropping-particle":"","parse-names":false,"suffix":""}],"container-title":"Antiquity","id":"ITEM-3","issued":{"date-parts":[["2013","1","1"]]},"title":"New evidence on the beginning of farming in Greece: The Early Neolithic settlement of Mavropigi in western Macedonia (Greece)","type":"article-journal","volume":"87"},"uris":["http://www.mendeley.com/documents/?uuid=142563c0-b268-4fcf-8e80-5518fd2739da"]},{"id":"ITEM-4","itemData":{"author":[{"dropping-particle":"","family":"Karamitrou-Mentessidi","given":"Georgia","non-dropping-particle":"","parse-names":false,"suffix":""}],"container-title":"AEMTH 20 years","editor":[{"dropping-particle":"","family":"Adam-Veleni","given":"P","non-dropping-particle":"","parse-names":false,"suffix":""},{"dropping-particle":"","family":"Tzanavari","given":"K","non-dropping-particle":"","parse-names":false,"suffix":""}],"id":"ITEM-4","issued":{"date-parts":[["2009"]]},"page":"105-126","publisher":"Ministry of Culture","title":"Aiani and the Prefecture of Kozani: ten years of survey","type":"paper-conference"},"uris":["http://www.mendeley.com/documents/?uuid=40fe1239-019a-4838-9e5e-c07d46ff1d51"]}],"mendeley":{"formattedCitation":"&lt;sup&gt;10,12–14&lt;/sup&gt;","plainTextFormattedCitation":"10,12–14","previouslyFormattedCitation":"&lt;sup&gt;10,12–14&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10,12–14</w:t>
      </w:r>
      <w:r w:rsidR="00B031D4" w:rsidRPr="004A2B32">
        <w:rPr>
          <w:color w:val="000000" w:themeColor="text1"/>
        </w:rPr>
        <w:fldChar w:fldCharType="end"/>
      </w:r>
      <w:r w:rsidR="0098217E" w:rsidRPr="004A2B32">
        <w:rPr>
          <w:color w:val="000000" w:themeColor="text1"/>
        </w:rPr>
        <w:t xml:space="preserve">. </w:t>
      </w:r>
      <w:r w:rsidR="00194C56" w:rsidRPr="004A2B32">
        <w:rPr>
          <w:color w:val="000000" w:themeColor="text1"/>
        </w:rPr>
        <w:t xml:space="preserve">Rescue excavations at </w:t>
      </w:r>
      <w:proofErr w:type="spellStart"/>
      <w:r w:rsidR="00194C56" w:rsidRPr="004A2B32">
        <w:rPr>
          <w:color w:val="000000" w:themeColor="text1"/>
        </w:rPr>
        <w:t>Mavropigi-</w:t>
      </w:r>
      <w:r w:rsidR="00194C56" w:rsidRPr="004A2B32">
        <w:rPr>
          <w:color w:val="000000" w:themeColor="text1"/>
          <w:highlight w:val="white"/>
        </w:rPr>
        <w:t>Fillotsairi</w:t>
      </w:r>
      <w:proofErr w:type="spellEnd"/>
      <w:r w:rsidR="00194C56" w:rsidRPr="004A2B32">
        <w:rPr>
          <w:color w:val="000000" w:themeColor="text1"/>
        </w:rPr>
        <w:t xml:space="preserve"> were conducted </w:t>
      </w:r>
      <w:r w:rsidR="00F822AE" w:rsidRPr="004A2B32">
        <w:rPr>
          <w:color w:val="000000" w:themeColor="text1"/>
        </w:rPr>
        <w:t xml:space="preserve">in advance </w:t>
      </w:r>
      <w:r w:rsidR="00194C56" w:rsidRPr="004A2B32">
        <w:rPr>
          <w:color w:val="000000" w:themeColor="text1"/>
        </w:rPr>
        <w:t xml:space="preserve">of the mining activities of the Hellenic Public Power Corporation (DEI) and revealed over 50 Early, Middle and Late Neolithic settlements </w:t>
      </w:r>
      <w:r w:rsidR="00B031D4" w:rsidRPr="004A2B32">
        <w:rPr>
          <w:color w:val="000000" w:themeColor="text1"/>
        </w:rPr>
        <w:fldChar w:fldCharType="begin" w:fldLock="1"/>
      </w:r>
      <w:r w:rsidR="00BE2180">
        <w:rPr>
          <w:color w:val="000000" w:themeColor="text1"/>
        </w:rPr>
        <w:instrText>ADDIN CSL_CITATION {"citationItems":[{"id":"ITEM-1","itemData":{"author":[{"dropping-particle":"","family":"Karamitrou-Mentessidi","given":"Georgia","non-dropping-particle":"","parse-names":false,"suffix":""}],"container-title":"Amitos: Honorary volume for Prof. Manolis Andronikos","id":"ITEM-1","issued":{"date-parts":[["1986"]]},"page":"391-416","title":"Prehistoric settlements of Kitrini Limni","type":"chapter"},"uris":["http://www.mendeley.com/documents/?uuid=922fcb23-31c6-4f92-9c62-cb85e363c3eb"]},{"id":"ITEM-2","itemData":{"author":[{"dropping-particle":"","family":"Karamitrou-Mentessidi","given":"Georgia","non-dropping-particle":"","parse-names":false,"suffix":""}],"container-title":"A century of research in prehistoric Macedonia 1912-2012","editor":[{"dropping-particle":"","family":"Stephani","given":"E","non-dropping-particle":"","parse-names":false,"suffix":""},{"dropping-particle":"","family":"Merousis","given":"N","non-dropping-particle":"","parse-names":false,"suffix":""},{"dropping-particle":"","family":"Dimoula","given":"A","non-dropping-particle":"","parse-names":false,"suffix":""}],"id":"ITEM-2","issued":{"date-parts":[["2014"]]},"page":"223-250","publisher-place":"Thessaloniki","title":"About prehistoric sites in western Macedonia: prefectures of Kozani and Grevena","type":"paper-conference"},"uris":["http://www.mendeley.com/documents/?uuid=a79914c2-8b0d-405b-82c6-e9f4b16dc013"]}],"mendeley":{"formattedCitation":"&lt;sup&gt;11,15&lt;/sup&gt;","plainTextFormattedCitation":"11,15","previouslyFormattedCitation":"&lt;sup&gt;11,15&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11,15</w:t>
      </w:r>
      <w:r w:rsidR="00B031D4" w:rsidRPr="004A2B32">
        <w:rPr>
          <w:color w:val="000000" w:themeColor="text1"/>
        </w:rPr>
        <w:fldChar w:fldCharType="end"/>
      </w:r>
      <w:r w:rsidR="00E2010D" w:rsidRPr="004A2B32">
        <w:rPr>
          <w:color w:val="000000" w:themeColor="text1"/>
        </w:rPr>
        <w:t>.</w:t>
      </w:r>
    </w:p>
    <w:p w14:paraId="194676DA" w14:textId="003414F6" w:rsidR="00194C56" w:rsidRPr="004A2B32" w:rsidRDefault="00D820C9" w:rsidP="00D820C9">
      <w:pPr>
        <w:spacing w:after="0"/>
        <w:jc w:val="both"/>
        <w:rPr>
          <w:b/>
          <w:color w:val="000000" w:themeColor="text1"/>
        </w:rPr>
      </w:pPr>
      <w:r w:rsidRPr="004A2B32">
        <w:rPr>
          <w:color w:val="000000" w:themeColor="text1"/>
        </w:rPr>
        <w:tab/>
      </w:r>
      <w:r w:rsidR="00302639" w:rsidRPr="004A2B32">
        <w:rPr>
          <w:color w:val="000000" w:themeColor="text1"/>
        </w:rPr>
        <w:t xml:space="preserve">The extensive rescue excavation revealed an Early Neolithic settlement with three major habitation phases (phase I, II, III). </w:t>
      </w:r>
      <w:r w:rsidR="00194C56" w:rsidRPr="004A2B32">
        <w:rPr>
          <w:color w:val="000000" w:themeColor="text1"/>
        </w:rPr>
        <w:t xml:space="preserve">The main architectural feature </w:t>
      </w:r>
      <w:r w:rsidR="00F822AE" w:rsidRPr="004A2B32">
        <w:rPr>
          <w:color w:val="000000" w:themeColor="text1"/>
        </w:rPr>
        <w:t xml:space="preserve">of the Early Neolithic settlement </w:t>
      </w:r>
      <w:r w:rsidR="00194C56" w:rsidRPr="004A2B32">
        <w:rPr>
          <w:color w:val="000000" w:themeColor="text1"/>
        </w:rPr>
        <w:t>is a large, oval pit (</w:t>
      </w:r>
      <w:r w:rsidR="00D608C5">
        <w:rPr>
          <w:i/>
          <w:iCs/>
          <w:color w:val="000000" w:themeColor="text1"/>
        </w:rPr>
        <w:t>c</w:t>
      </w:r>
      <w:r w:rsidR="00194C56" w:rsidRPr="004A2B32">
        <w:rPr>
          <w:i/>
          <w:iCs/>
          <w:color w:val="000000" w:themeColor="text1"/>
        </w:rPr>
        <w:t xml:space="preserve">entral </w:t>
      </w:r>
      <w:proofErr w:type="spellStart"/>
      <w:r w:rsidR="00194C56" w:rsidRPr="004A2B32">
        <w:rPr>
          <w:i/>
          <w:iCs/>
          <w:color w:val="000000" w:themeColor="text1"/>
        </w:rPr>
        <w:t>Orygma</w:t>
      </w:r>
      <w:proofErr w:type="spellEnd"/>
      <w:r w:rsidR="00194C56" w:rsidRPr="004A2B32">
        <w:rPr>
          <w:color w:val="000000" w:themeColor="text1"/>
        </w:rPr>
        <w:t xml:space="preserve">) which was the first dwelling founded </w:t>
      </w:r>
      <w:r w:rsidR="00D8168C" w:rsidRPr="004A2B32">
        <w:rPr>
          <w:color w:val="000000" w:themeColor="text1"/>
        </w:rPr>
        <w:t xml:space="preserve">on </w:t>
      </w:r>
      <w:r w:rsidR="00194C56" w:rsidRPr="004A2B32">
        <w:rPr>
          <w:color w:val="000000" w:themeColor="text1"/>
        </w:rPr>
        <w:t>the site, and remained in use through</w:t>
      </w:r>
      <w:r w:rsidR="00D8168C" w:rsidRPr="004A2B32">
        <w:rPr>
          <w:color w:val="000000" w:themeColor="text1"/>
        </w:rPr>
        <w:t>out</w:t>
      </w:r>
      <w:r w:rsidR="00194C56" w:rsidRPr="004A2B32">
        <w:rPr>
          <w:color w:val="000000" w:themeColor="text1"/>
        </w:rPr>
        <w:t xml:space="preserve"> the occupation of the area </w:t>
      </w:r>
      <w:r w:rsidR="00B031D4" w:rsidRPr="004A2B32">
        <w:rPr>
          <w:color w:val="000000" w:themeColor="text1"/>
        </w:rPr>
        <w:fldChar w:fldCharType="begin" w:fldLock="1"/>
      </w:r>
      <w:r w:rsidR="00BE2180">
        <w:rPr>
          <w:color w:val="000000" w:themeColor="text1"/>
        </w:rPr>
        <w:instrText>ADDIN CSL_CITATION {"citationItems":[{"id":"ITEM-1","itemData":{"author":[{"dropping-particle":"","family":"Karamitrou-Mentessidi","given":"G","non-dropping-particle":"","parse-names":false,"suffix":""},{"dropping-particle":"","family":"Efstratiou","given":"Nikos","non-dropping-particle":"","parse-names":false,"suffix":""},{"dropping-particle":"","family":"Kozlowski","given":"J K","non-dropping-particle":"","parse-names":false,"suffix":""},{"dropping-particle":"","family":"Kaczanowska","given":"M","non-dropping-particle":"","parse-names":false,"suffix":""},{"dropping-particle":"","family":"Maniatis","given":"Y","non-dropping-particle":"","parse-names":false,"suffix":""},{"dropping-particle":"","family":"Curci","given":"Antonio","non-dropping-particle":"","parse-names":false,"suffix":""},{"dropping-particle":"","family":"Valamoti","given":"Soultana","non-dropping-particle":"","parse-names":false,"suffix":""}],"container-title":"Antiquity","id":"ITEM-1","issued":{"date-parts":[["2013","1","1"]]},"title":"New evidence on the beginning of farming in Greece: The Early Neolithic settlement of Mavropigi in western Macedonia (Greece)","type":"article-journal","volume":"87"},"uris":["http://www.mendeley.com/documents/?uuid=142563c0-b268-4fcf-8e80-5518fd2739da"]},{"id":"ITEM-2","itemData":{"author":[{"dropping-particle":"","family":"Karamitrou-Mentessidi","given":"G.","non-dropping-particle":"","parse-names":false,"suffix":""},{"dropping-particle":"","family":"Efstratiou","given":"N.","non-dropping-particle":"","parse-names":false,"suffix":""},{"dropping-particle":"","family":"Kaczanowska","given":"M.","non-dropping-particle":"","parse-names":false,"suffix":""},{"dropping-particle":"","family":"Kozłowski","given":"J.","non-dropping-particle":"","parse-names":false,"suffix":""}],"container-title":"Eurasian Prehistory","id":"ITEM-2","issue":"1-2","issued":{"date-parts":[["2015"]]},"page":"47-116","title":"Early Neolithic Settlement of Mavropigi in Western Greek Macedonia","type":"article-journal","volume":"12"},"uris":["http://www.mendeley.com/documents/?uuid=29b9870d-d856-43f6-8731-25e36adfafa7"]},{"id":"ITEM-3","itemData":{"author":[{"dropping-particle":"","family":"Karamitrou-Mentessidi","given":"Georgia","non-dropping-particle":"","parse-names":false,"suffix":""}],"container-title":"AEMTh 19","editor":[{"dropping-particle":"","family":"Adam-Veleni","given":"P","non-dropping-particle":"","parse-names":false,"suffix":""},{"dropping-particle":"","family":"Tsakalou","given":"K","non-dropping-particle":"","parse-names":false,"suffix":""}],"id":"ITEM-3","issued":{"date-parts":[["2005"]]},"page":"511-539","publisher":"Ministry of Culture","title":"Mavropiyi 2005. Lignite mines and Antiquities","type":"paper-conference"},"uris":["http://www.mendeley.com/documents/?uuid=1c26dcc4-cb98-41fd-b39d-e37e642b2e56"]}],"mendeley":{"formattedCitation":"&lt;sup&gt;10,13,16&lt;/sup&gt;","plainTextFormattedCitation":"10,13,16","previouslyFormattedCitation":"&lt;sup&gt;10,13,16&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10,13,16</w:t>
      </w:r>
      <w:r w:rsidR="00B031D4" w:rsidRPr="004A2B32">
        <w:rPr>
          <w:color w:val="000000" w:themeColor="text1"/>
        </w:rPr>
        <w:fldChar w:fldCharType="end"/>
      </w:r>
      <w:r w:rsidR="00ED6A87" w:rsidRPr="004A2B32">
        <w:rPr>
          <w:color w:val="000000" w:themeColor="text1"/>
        </w:rPr>
        <w:t>.</w:t>
      </w:r>
      <w:r w:rsidR="00194C56" w:rsidRPr="004A2B32">
        <w:rPr>
          <w:color w:val="000000" w:themeColor="text1"/>
        </w:rPr>
        <w:t xml:space="preserve"> In the earlier phases (I and II), the </w:t>
      </w:r>
      <w:r w:rsidR="00D608C5">
        <w:rPr>
          <w:i/>
          <w:iCs/>
          <w:color w:val="000000" w:themeColor="text1"/>
        </w:rPr>
        <w:t>c</w:t>
      </w:r>
      <w:r w:rsidR="00194C56" w:rsidRPr="004A2B32">
        <w:rPr>
          <w:i/>
          <w:iCs/>
          <w:color w:val="000000" w:themeColor="text1"/>
        </w:rPr>
        <w:t xml:space="preserve">entral </w:t>
      </w:r>
      <w:proofErr w:type="spellStart"/>
      <w:r w:rsidR="00194C56" w:rsidRPr="004A2B32">
        <w:rPr>
          <w:i/>
          <w:iCs/>
          <w:color w:val="000000" w:themeColor="text1"/>
        </w:rPr>
        <w:t>Orygma</w:t>
      </w:r>
      <w:proofErr w:type="spellEnd"/>
      <w:r w:rsidR="00194C56" w:rsidRPr="004A2B32">
        <w:rPr>
          <w:color w:val="000000" w:themeColor="text1"/>
        </w:rPr>
        <w:t xml:space="preserve"> was a semi-subterranean structure, arranged in two rooms with clay floors, a round hearth and a main entrance. Two other </w:t>
      </w:r>
      <w:r w:rsidR="00D8168C" w:rsidRPr="004A2B32">
        <w:rPr>
          <w:color w:val="000000" w:themeColor="text1"/>
        </w:rPr>
        <w:t xml:space="preserve">prominent </w:t>
      </w:r>
      <w:r w:rsidR="00194C56" w:rsidRPr="004A2B32">
        <w:rPr>
          <w:color w:val="000000" w:themeColor="text1"/>
        </w:rPr>
        <w:t xml:space="preserve">constructions, the </w:t>
      </w:r>
      <w:r w:rsidR="00194C56" w:rsidRPr="004A2B32">
        <w:rPr>
          <w:i/>
          <w:color w:val="000000" w:themeColor="text1"/>
        </w:rPr>
        <w:t>Ellipsoidal House</w:t>
      </w:r>
      <w:r w:rsidR="00194C56" w:rsidRPr="004A2B32">
        <w:rPr>
          <w:color w:val="000000" w:themeColor="text1"/>
        </w:rPr>
        <w:t xml:space="preserve"> and the </w:t>
      </w:r>
      <w:r w:rsidR="007E2C45">
        <w:rPr>
          <w:i/>
          <w:iCs/>
          <w:color w:val="000000" w:themeColor="text1"/>
        </w:rPr>
        <w:t>w</w:t>
      </w:r>
      <w:r w:rsidR="00194C56" w:rsidRPr="004A2B32">
        <w:rPr>
          <w:i/>
          <w:iCs/>
          <w:color w:val="000000" w:themeColor="text1"/>
        </w:rPr>
        <w:t xml:space="preserve">estern </w:t>
      </w:r>
      <w:proofErr w:type="spellStart"/>
      <w:r w:rsidR="00194C56" w:rsidRPr="004A2B32">
        <w:rPr>
          <w:i/>
          <w:iCs/>
          <w:color w:val="000000" w:themeColor="text1"/>
        </w:rPr>
        <w:t>Orygma</w:t>
      </w:r>
      <w:proofErr w:type="spellEnd"/>
      <w:r w:rsidR="00194C56" w:rsidRPr="004A2B32">
        <w:rPr>
          <w:color w:val="000000" w:themeColor="text1"/>
        </w:rPr>
        <w:t xml:space="preserve"> with successive habitation floors have been dated </w:t>
      </w:r>
      <w:r w:rsidR="00D8168C" w:rsidRPr="004A2B32">
        <w:rPr>
          <w:color w:val="000000" w:themeColor="text1"/>
        </w:rPr>
        <w:t xml:space="preserve">to </w:t>
      </w:r>
      <w:r w:rsidR="00194C56" w:rsidRPr="004A2B32">
        <w:rPr>
          <w:color w:val="000000" w:themeColor="text1"/>
        </w:rPr>
        <w:t xml:space="preserve">phase II. In the third phase (III) the </w:t>
      </w:r>
      <w:r w:rsidR="00D608C5">
        <w:rPr>
          <w:i/>
          <w:iCs/>
          <w:color w:val="000000" w:themeColor="text1"/>
        </w:rPr>
        <w:t>c</w:t>
      </w:r>
      <w:r w:rsidR="00194C56" w:rsidRPr="004A2B32">
        <w:rPr>
          <w:i/>
          <w:iCs/>
          <w:color w:val="000000" w:themeColor="text1"/>
        </w:rPr>
        <w:t xml:space="preserve">entral </w:t>
      </w:r>
      <w:proofErr w:type="spellStart"/>
      <w:r w:rsidR="00194C56" w:rsidRPr="004A2B32">
        <w:rPr>
          <w:i/>
          <w:iCs/>
          <w:color w:val="000000" w:themeColor="text1"/>
        </w:rPr>
        <w:t>Orygma</w:t>
      </w:r>
      <w:proofErr w:type="spellEnd"/>
      <w:r w:rsidR="00194C56" w:rsidRPr="004A2B32">
        <w:rPr>
          <w:color w:val="000000" w:themeColor="text1"/>
        </w:rPr>
        <w:t xml:space="preserve"> was replaced by a larger ground</w:t>
      </w:r>
      <w:r w:rsidR="00787EF8" w:rsidRPr="004A2B32">
        <w:rPr>
          <w:color w:val="000000" w:themeColor="text1"/>
        </w:rPr>
        <w:t xml:space="preserve"> </w:t>
      </w:r>
      <w:r w:rsidR="00194C56" w:rsidRPr="004A2B32">
        <w:rPr>
          <w:color w:val="000000" w:themeColor="text1"/>
        </w:rPr>
        <w:t>level structure with more complex plan. In this phase, in the area north and east of the</w:t>
      </w:r>
      <w:r w:rsidR="00D608C5">
        <w:rPr>
          <w:color w:val="000000" w:themeColor="text1"/>
        </w:rPr>
        <w:t xml:space="preserve"> </w:t>
      </w:r>
      <w:r w:rsidR="00D608C5">
        <w:rPr>
          <w:i/>
          <w:iCs/>
          <w:color w:val="000000" w:themeColor="text1"/>
        </w:rPr>
        <w:t>c</w:t>
      </w:r>
      <w:r w:rsidR="00194C56" w:rsidRPr="004A2B32">
        <w:rPr>
          <w:i/>
          <w:iCs/>
          <w:color w:val="000000" w:themeColor="text1"/>
        </w:rPr>
        <w:t xml:space="preserve">entral </w:t>
      </w:r>
      <w:proofErr w:type="spellStart"/>
      <w:r w:rsidR="00194C56" w:rsidRPr="004A2B32">
        <w:rPr>
          <w:i/>
          <w:iCs/>
          <w:color w:val="000000" w:themeColor="text1"/>
        </w:rPr>
        <w:t>Orygma</w:t>
      </w:r>
      <w:proofErr w:type="spellEnd"/>
      <w:r w:rsidR="00194C56" w:rsidRPr="004A2B32">
        <w:rPr>
          <w:color w:val="000000" w:themeColor="text1"/>
        </w:rPr>
        <w:t xml:space="preserve">, </w:t>
      </w:r>
      <w:r w:rsidR="00302639" w:rsidRPr="004A2B32">
        <w:rPr>
          <w:color w:val="000000" w:themeColor="text1"/>
        </w:rPr>
        <w:t>seven (</w:t>
      </w:r>
      <w:r w:rsidR="00194C56" w:rsidRPr="004A2B32">
        <w:rPr>
          <w:color w:val="000000" w:themeColor="text1"/>
        </w:rPr>
        <w:t>7</w:t>
      </w:r>
      <w:r w:rsidR="00302639" w:rsidRPr="004A2B32">
        <w:rPr>
          <w:color w:val="000000" w:themeColor="text1"/>
        </w:rPr>
        <w:t>)</w:t>
      </w:r>
      <w:r w:rsidR="00194C56" w:rsidRPr="004A2B32">
        <w:rPr>
          <w:color w:val="000000" w:themeColor="text1"/>
        </w:rPr>
        <w:t xml:space="preserve"> rectangular houses were recovered, constructed with wooden posts and clay floors.</w:t>
      </w:r>
    </w:p>
    <w:p w14:paraId="3F4A50FA" w14:textId="4AF77927" w:rsidR="00194C56" w:rsidRPr="004A2B32" w:rsidRDefault="00194C56" w:rsidP="00D820C9">
      <w:pPr>
        <w:spacing w:after="0"/>
        <w:ind w:firstLine="720"/>
        <w:jc w:val="both"/>
        <w:rPr>
          <w:color w:val="000000" w:themeColor="text1"/>
        </w:rPr>
      </w:pPr>
      <w:r w:rsidRPr="004A2B32">
        <w:rPr>
          <w:color w:val="000000" w:themeColor="text1"/>
        </w:rPr>
        <w:t>The finds include pottery</w:t>
      </w:r>
      <w:r w:rsidR="00B031D4" w:rsidRPr="004A2B32">
        <w:rPr>
          <w:color w:val="000000" w:themeColor="text1"/>
        </w:rPr>
        <w:fldChar w:fldCharType="begin" w:fldLock="1"/>
      </w:r>
      <w:r w:rsidR="00BE2180">
        <w:rPr>
          <w:color w:val="000000" w:themeColor="text1"/>
        </w:rPr>
        <w:instrText>ADDIN CSL_CITATION {"citationItems":[{"id":"ITEM-1","itemData":{"author":[{"dropping-particle":"","family":"Bonga","given":"Lily","non-dropping-particle":"","parse-names":false,"suffix":""}],"container-title":"Athens University Review of Archaeology","id":"ITEM-1","issued":{"date-parts":[["2020"]]},"page":"9-62","title":"Pioneering potters: Early Neolithic ceramics from Mavropigi-Fillotsairi, Western Macedonia","type":"paper-conference"},"uris":["http://www.mendeley.com/documents/?uuid=3907e076-6d89-49e7-b934-70b49a897849"]},{"id":"ITEM-2","itemData":{"DOI":"10.4312/dp.46.10","ISSN":"1854-2492","author":[{"dropping-particle":"","family":"Bonga","given":"Lily","non-dropping-particle":"","parse-names":false,"suffix":""}],"container-title":"Documenta Praehistorica","id":"ITEM-2","issued":{"date-parts":[["2019","12","6"]]},"page":"158-172","title":"Early ceramic styles and technologies in the Aegean and the Balkans:","type":"article-journal","volume":"46"},"uris":["http://www.mendeley.com/documents/?uuid=f11f90fd-dea9-478f-a9dc-3036fcc1fc07"]},{"id":"ITEM-3","itemData":{"DOI":"10.2307/j.ctvw049k3.31","author":[{"dropping-particle":"","family":"Bonga","given":"Lily A.","non-dropping-particle":"","parse-names":false,"suffix":""}],"container-title":"Communities, Landscapes, and Interaction in Neolithic Greece: proceedings of the international conference, Rethymno 29-30 May, 2015","editor":[{"dropping-particle":"","family":"Sarris","given":"A","non-dropping-particle":"","parse-names":false,"suffix":""},{"dropping-particle":"","family":"Kalogiropoulou","given":"E","non-dropping-particle":"","parse-names":false,"suffix":""},{"dropping-particle":"","family":"Kalayci","given":"T","non-dropping-particle":"","parse-names":false,"suffix":""},{"dropping-particle":"","family":"Karimali","given":"L","non-dropping-particle":"","parse-names":false,"suffix":""}],"id":"ITEM-3","issued":{"date-parts":[["2017","8","17"]]},"page":"374-387","publisher":"International Monographs in Prehistory, Archaeological Series 20","title":"Thoughts on the Preliminary Study of Early Neolithic Decorated Pottery from the Central Origma at Mavropigi-Filotsairi","type":"paper-conference"},"uris":["http://www.mendeley.com/documents/?uuid=55f2839c-8f1d-4ec2-8a1f-dfc998003533"]}],"mendeley":{"formattedCitation":"&lt;sup&gt;17–19&lt;/sup&gt;","plainTextFormattedCitation":"17–19","previouslyFormattedCitation":"&lt;sup&gt;17–19&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17–19</w:t>
      </w:r>
      <w:r w:rsidR="00B031D4" w:rsidRPr="004A2B32">
        <w:rPr>
          <w:color w:val="000000" w:themeColor="text1"/>
        </w:rPr>
        <w:fldChar w:fldCharType="end"/>
      </w:r>
      <w:r w:rsidRPr="004A2B32">
        <w:rPr>
          <w:color w:val="000000" w:themeColor="text1"/>
        </w:rPr>
        <w:t xml:space="preserve">, while the number of movable objects reaches several thousands. The lithic assemblage includes </w:t>
      </w:r>
      <w:r w:rsidR="00C812CF" w:rsidRPr="004A2B32">
        <w:rPr>
          <w:color w:val="000000" w:themeColor="text1"/>
        </w:rPr>
        <w:t xml:space="preserve">over 3000 chipped </w:t>
      </w:r>
      <w:r w:rsidRPr="004A2B32">
        <w:rPr>
          <w:color w:val="000000" w:themeColor="text1"/>
        </w:rPr>
        <w:t xml:space="preserve">tools, </w:t>
      </w:r>
      <w:r w:rsidR="00C812CF" w:rsidRPr="004A2B32">
        <w:rPr>
          <w:color w:val="000000" w:themeColor="text1"/>
        </w:rPr>
        <w:t xml:space="preserve">made from local and </w:t>
      </w:r>
      <w:r w:rsidR="00644E11" w:rsidRPr="004A2B32">
        <w:rPr>
          <w:color w:val="000000" w:themeColor="text1"/>
        </w:rPr>
        <w:t>imported</w:t>
      </w:r>
      <w:r w:rsidR="00C812CF" w:rsidRPr="004A2B32">
        <w:rPr>
          <w:color w:val="000000" w:themeColor="text1"/>
        </w:rPr>
        <w:t xml:space="preserve"> materials and obsidian from Melos</w:t>
      </w:r>
      <w:r w:rsidR="00B031D4" w:rsidRPr="004A2B32">
        <w:rPr>
          <w:color w:val="000000" w:themeColor="text1"/>
        </w:rPr>
        <w:fldChar w:fldCharType="begin" w:fldLock="1"/>
      </w:r>
      <w:r w:rsidR="00BE2180">
        <w:rPr>
          <w:color w:val="000000" w:themeColor="text1"/>
        </w:rPr>
        <w:instrText>ADDIN CSL_CITATION {"citationItems":[{"id":"ITEM-1","itemData":{"author":[{"dropping-particle":"","family":"Kaczanowska","given":"M","non-dropping-particle":"","parse-names":false,"suffix":""},{"dropping-particle":"","family":"Kozłowski","given":"J","non-dropping-particle":"","parse-names":false,"suffix":""}],"container-title":"Eurasian Prehistory","id":"ITEM-1","issue":"1-2","issued":{"date-parts":[["2015"]]},"page":"71-116","title":"Early Neolithic Settlement of Mavropigi in Western Greek Macedonia","type":"article-journal","volume":"12"},"uris":["http://www.mendeley.com/documents/?uuid=631ac408-d4a1-4885-a9cb-7b43cb7ee544"]}],"mendeley":{"formattedCitation":"&lt;sup&gt;20&lt;/sup&gt;","plainTextFormattedCitation":"20","previouslyFormattedCitation":"&lt;sup&gt;20&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20</w:t>
      </w:r>
      <w:r w:rsidR="00B031D4" w:rsidRPr="004A2B32">
        <w:rPr>
          <w:color w:val="000000" w:themeColor="text1"/>
        </w:rPr>
        <w:fldChar w:fldCharType="end"/>
      </w:r>
      <w:r w:rsidR="005D1CB6" w:rsidRPr="004A2B32">
        <w:rPr>
          <w:color w:val="000000" w:themeColor="text1"/>
        </w:rPr>
        <w:t>,</w:t>
      </w:r>
      <w:r w:rsidR="00C812CF" w:rsidRPr="004A2B32">
        <w:rPr>
          <w:color w:val="000000" w:themeColor="text1"/>
        </w:rPr>
        <w:t>608 ground tools</w:t>
      </w:r>
      <w:r w:rsidR="00787EF8" w:rsidRPr="004A2B32">
        <w:rPr>
          <w:color w:val="000000" w:themeColor="text1"/>
        </w:rPr>
        <w:t xml:space="preserve"> </w:t>
      </w:r>
      <w:r w:rsidRPr="004A2B32">
        <w:rPr>
          <w:color w:val="000000" w:themeColor="text1"/>
        </w:rPr>
        <w:t>predominantly</w:t>
      </w:r>
      <w:r w:rsidR="00787EF8" w:rsidRPr="004A2B32">
        <w:rPr>
          <w:color w:val="000000" w:themeColor="text1"/>
        </w:rPr>
        <w:t xml:space="preserve"> </w:t>
      </w:r>
      <w:r w:rsidR="006D111E" w:rsidRPr="004A2B32">
        <w:rPr>
          <w:color w:val="000000" w:themeColor="text1"/>
        </w:rPr>
        <w:t xml:space="preserve">edged </w:t>
      </w:r>
      <w:r w:rsidR="00644E11" w:rsidRPr="004A2B32">
        <w:rPr>
          <w:color w:val="000000" w:themeColor="text1"/>
        </w:rPr>
        <w:t>tools (</w:t>
      </w:r>
      <w:r w:rsidR="00A67BBD" w:rsidRPr="004A2B32">
        <w:rPr>
          <w:color w:val="000000" w:themeColor="text1"/>
        </w:rPr>
        <w:t>picks</w:t>
      </w:r>
      <w:r w:rsidR="00946123" w:rsidRPr="004A2B32">
        <w:rPr>
          <w:color w:val="000000" w:themeColor="text1"/>
        </w:rPr>
        <w:t xml:space="preserve"> </w:t>
      </w:r>
      <w:r w:rsidR="000E3F90" w:rsidRPr="004A2B32">
        <w:rPr>
          <w:color w:val="000000" w:themeColor="text1"/>
        </w:rPr>
        <w:t>and axes</w:t>
      </w:r>
      <w:r w:rsidR="00644E11" w:rsidRPr="004A2B32">
        <w:rPr>
          <w:color w:val="000000" w:themeColor="text1"/>
        </w:rPr>
        <w:t>)</w:t>
      </w:r>
      <w:r w:rsidR="000E3F90" w:rsidRPr="004A2B32">
        <w:rPr>
          <w:color w:val="000000" w:themeColor="text1"/>
        </w:rPr>
        <w:t xml:space="preserve"> and</w:t>
      </w:r>
      <w:r w:rsidR="00946123" w:rsidRPr="004A2B32">
        <w:rPr>
          <w:color w:val="000000" w:themeColor="text1"/>
        </w:rPr>
        <w:t xml:space="preserve"> </w:t>
      </w:r>
      <w:r w:rsidR="00E541A3" w:rsidRPr="004A2B32">
        <w:rPr>
          <w:color w:val="000000" w:themeColor="text1"/>
        </w:rPr>
        <w:t>pounding</w:t>
      </w:r>
      <w:r w:rsidR="00074F44" w:rsidRPr="004A2B32">
        <w:rPr>
          <w:color w:val="000000" w:themeColor="text1"/>
        </w:rPr>
        <w:t xml:space="preserve"> and 18 </w:t>
      </w:r>
      <w:r w:rsidR="00CD72FB" w:rsidRPr="004A2B32">
        <w:rPr>
          <w:color w:val="000000" w:themeColor="text1"/>
        </w:rPr>
        <w:t>interesting</w:t>
      </w:r>
      <w:r w:rsidR="00074F44" w:rsidRPr="004A2B32">
        <w:rPr>
          <w:color w:val="000000" w:themeColor="text1"/>
        </w:rPr>
        <w:t xml:space="preserve"> grinding tools</w:t>
      </w:r>
      <w:r w:rsidR="00B031D4" w:rsidRPr="004A2B32">
        <w:rPr>
          <w:color w:val="000000" w:themeColor="text1"/>
        </w:rPr>
        <w:fldChar w:fldCharType="begin" w:fldLock="1"/>
      </w:r>
      <w:r w:rsidR="00BE2180">
        <w:rPr>
          <w:color w:val="000000" w:themeColor="text1"/>
        </w:rPr>
        <w:instrText>ADDIN CSL_CITATION {"citationItems":[{"id":"ITEM-1","itemData":{"author":[{"dropping-particle":"","family":"Ninou","given":"I.","non-dropping-particle":"","parse-names":false,"suffix":""},{"dropping-particle":"","family":"Chondrou","given":"D.","non-dropping-particle":"","parse-names":false,"suffix":""},{"dropping-particle":"","family":"Kasapidou","given":"G.","non-dropping-particle":"","parse-names":false,"suffix":""},{"dropping-particle":"","family":"Karamitrou-Mentessidi","given":"G.","non-dropping-particle":"","parse-names":false,"suffix":""},{"dropping-particle":"","family":"Valamoti","given":"S-M.","non-dropping-particle":"","parse-names":false,"suffix":""}],"container-title":"Early Neolithic of Europe, 6-8 November","id":"ITEM-1","issued":{"date-parts":[["2019"]]},"page":"in press","publisher":"CSIC and Maritim Museum of Barcelona","title":"Does a mortar make a house…? Early Neolithic grinding and pounding stone tools from Greece: Mavropigi-Fillotsairi of Kozani (West Macedonia)","type":"paper-conference"},"uris":["http://www.mendeley.com/documents/?uuid=e4a6758f-2441-428c-8bac-2dc0cf32c8e4"]}],"mendeley":{"formattedCitation":"&lt;sup&gt;21&lt;/sup&gt;","plainTextFormattedCitation":"21","previouslyFormattedCitation":"&lt;sup&gt;21&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21</w:t>
      </w:r>
      <w:r w:rsidR="00B031D4" w:rsidRPr="004A2B32">
        <w:rPr>
          <w:color w:val="000000" w:themeColor="text1"/>
        </w:rPr>
        <w:fldChar w:fldCharType="end"/>
      </w:r>
      <w:r w:rsidR="00644E11" w:rsidRPr="004A2B32">
        <w:rPr>
          <w:color w:val="000000" w:themeColor="text1"/>
        </w:rPr>
        <w:t>.</w:t>
      </w:r>
      <w:r w:rsidRPr="004A2B32">
        <w:rPr>
          <w:color w:val="000000" w:themeColor="text1"/>
        </w:rPr>
        <w:t xml:space="preserve">Among the small finds, the excavations revealed loom weights, amulets, </w:t>
      </w:r>
      <w:r w:rsidR="000E3F90" w:rsidRPr="004A2B32">
        <w:rPr>
          <w:color w:val="000000" w:themeColor="text1"/>
        </w:rPr>
        <w:t xml:space="preserve">stone, bone and clay </w:t>
      </w:r>
      <w:r w:rsidRPr="004A2B32">
        <w:rPr>
          <w:color w:val="000000" w:themeColor="text1"/>
        </w:rPr>
        <w:t xml:space="preserve">beads </w:t>
      </w:r>
      <w:r w:rsidR="004A2A1D" w:rsidRPr="004A2B32">
        <w:rPr>
          <w:color w:val="000000" w:themeColor="text1"/>
        </w:rPr>
        <w:t>and six</w:t>
      </w:r>
      <w:r w:rsidRPr="004A2B32">
        <w:rPr>
          <w:color w:val="000000" w:themeColor="text1"/>
        </w:rPr>
        <w:t xml:space="preserve"> stamp seals of various shapes</w:t>
      </w:r>
      <w:r w:rsidR="00F83746" w:rsidRPr="004A2B32">
        <w:rPr>
          <w:color w:val="000000" w:themeColor="text1"/>
        </w:rPr>
        <w:t>,</w:t>
      </w:r>
      <w:r w:rsidR="00787EF8" w:rsidRPr="004A2B32">
        <w:rPr>
          <w:color w:val="000000" w:themeColor="text1"/>
        </w:rPr>
        <w:t xml:space="preserve"> </w:t>
      </w:r>
      <w:r w:rsidR="004E65FC" w:rsidRPr="004A2B32">
        <w:rPr>
          <w:color w:val="000000" w:themeColor="text1"/>
        </w:rPr>
        <w:t>bone pins, needles and</w:t>
      </w:r>
      <w:r w:rsidR="00787EF8" w:rsidRPr="004A2B32">
        <w:rPr>
          <w:color w:val="000000" w:themeColor="text1"/>
        </w:rPr>
        <w:t xml:space="preserve"> </w:t>
      </w:r>
      <w:r w:rsidR="004E65FC" w:rsidRPr="004A2B32">
        <w:rPr>
          <w:color w:val="000000" w:themeColor="text1"/>
        </w:rPr>
        <w:t xml:space="preserve">some other </w:t>
      </w:r>
      <w:r w:rsidR="0057318B" w:rsidRPr="004A2B32">
        <w:rPr>
          <w:color w:val="000000" w:themeColor="text1"/>
        </w:rPr>
        <w:t>crafted</w:t>
      </w:r>
      <w:r w:rsidR="004E65FC" w:rsidRPr="004A2B32">
        <w:rPr>
          <w:color w:val="000000" w:themeColor="text1"/>
        </w:rPr>
        <w:t xml:space="preserve"> bones and horns</w:t>
      </w:r>
      <w:r w:rsidR="00B031D4" w:rsidRPr="004A2B32">
        <w:rPr>
          <w:color w:val="000000" w:themeColor="text1"/>
        </w:rPr>
        <w:fldChar w:fldCharType="begin" w:fldLock="1"/>
      </w:r>
      <w:r w:rsidR="00BE2180">
        <w:rPr>
          <w:color w:val="000000" w:themeColor="text1"/>
        </w:rPr>
        <w:instrText>ADDIN CSL_CITATION {"citationItems":[{"id":"ITEM-1","itemData":{"author":[{"dropping-particle":"","family":"Michalopoulou","given":"S","non-dropping-particle":"","parse-names":false,"suffix":""}],"id":"ITEM-1","issued":{"date-parts":[["2017"]]},"number-of-pages":"1054","publisher":"University of Athens","title":"Early Neolithic in Western Macedonia, Greece: the contribution of the zooarchaeological study from the sites Fyllotsairi -Mavropigi and Portes - Ksirolimni","type":"thesis"},"uris":["http://www.mendeley.com/documents/?uuid=c4d067e1-64e9-4009-9a60-18fd2f3787b9"]}],"mendeley":{"formattedCitation":"&lt;sup&gt;22&lt;/sup&gt;","plainTextFormattedCitation":"22","previouslyFormattedCitation":"&lt;sup&gt;22&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22</w:t>
      </w:r>
      <w:r w:rsidR="00B031D4" w:rsidRPr="004A2B32">
        <w:rPr>
          <w:color w:val="000000" w:themeColor="text1"/>
        </w:rPr>
        <w:fldChar w:fldCharType="end"/>
      </w:r>
      <w:r w:rsidRPr="004A2B32">
        <w:rPr>
          <w:color w:val="000000" w:themeColor="text1"/>
        </w:rPr>
        <w:t xml:space="preserve">. </w:t>
      </w:r>
      <w:r w:rsidR="00F83746" w:rsidRPr="004A2B32">
        <w:rPr>
          <w:color w:val="000000" w:themeColor="text1"/>
        </w:rPr>
        <w:t xml:space="preserve">From a </w:t>
      </w:r>
      <w:r w:rsidRPr="004A2B32">
        <w:rPr>
          <w:color w:val="000000" w:themeColor="text1"/>
        </w:rPr>
        <w:t>total of 187 figurines</w:t>
      </w:r>
      <w:r w:rsidR="00F83746" w:rsidRPr="004A2B32">
        <w:rPr>
          <w:color w:val="000000" w:themeColor="text1"/>
        </w:rPr>
        <w:t>, 184 were made of c</w:t>
      </w:r>
      <w:r w:rsidRPr="004A2B32">
        <w:rPr>
          <w:color w:val="000000" w:themeColor="text1"/>
        </w:rPr>
        <w:t xml:space="preserve">lay, two </w:t>
      </w:r>
      <w:r w:rsidR="00F83746" w:rsidRPr="004A2B32">
        <w:rPr>
          <w:color w:val="000000" w:themeColor="text1"/>
        </w:rPr>
        <w:t>from</w:t>
      </w:r>
      <w:r w:rsidRPr="004A2B32">
        <w:rPr>
          <w:color w:val="000000" w:themeColor="text1"/>
        </w:rPr>
        <w:t xml:space="preserve"> stone and one</w:t>
      </w:r>
      <w:r w:rsidR="00F83746" w:rsidRPr="004A2B32">
        <w:rPr>
          <w:color w:val="000000" w:themeColor="text1"/>
        </w:rPr>
        <w:t xml:space="preserve"> from</w:t>
      </w:r>
      <w:r w:rsidRPr="004A2B32">
        <w:rPr>
          <w:color w:val="000000" w:themeColor="text1"/>
        </w:rPr>
        <w:t xml:space="preserve"> marble. Some of them </w:t>
      </w:r>
      <w:r w:rsidR="00F83746" w:rsidRPr="004A2B32">
        <w:rPr>
          <w:color w:val="000000" w:themeColor="text1"/>
        </w:rPr>
        <w:t>exhibit</w:t>
      </w:r>
      <w:r w:rsidR="00787EF8" w:rsidRPr="004A2B32">
        <w:rPr>
          <w:color w:val="000000" w:themeColor="text1"/>
        </w:rPr>
        <w:t xml:space="preserve"> </w:t>
      </w:r>
      <w:r w:rsidRPr="004A2B32">
        <w:rPr>
          <w:color w:val="000000" w:themeColor="text1"/>
        </w:rPr>
        <w:t>new types</w:t>
      </w:r>
      <w:r w:rsidR="00F83746" w:rsidRPr="004A2B32">
        <w:rPr>
          <w:color w:val="000000" w:themeColor="text1"/>
        </w:rPr>
        <w:t>,</w:t>
      </w:r>
      <w:r w:rsidRPr="004A2B32">
        <w:rPr>
          <w:color w:val="000000" w:themeColor="text1"/>
        </w:rPr>
        <w:t xml:space="preserve"> not found in other excavations in the region of Kozani</w:t>
      </w:r>
      <w:r w:rsidR="00B031D4" w:rsidRPr="004A2B32">
        <w:rPr>
          <w:color w:val="000000" w:themeColor="text1"/>
        </w:rPr>
        <w:fldChar w:fldCharType="begin" w:fldLock="1"/>
      </w:r>
      <w:r w:rsidR="00BE2180">
        <w:rPr>
          <w:color w:val="000000" w:themeColor="text1"/>
        </w:rPr>
        <w:instrText>ADDIN CSL_CITATION {"citationItems":[{"id":"ITEM-1","itemData":{"author":[{"dropping-particle":"","family":"Karamitrou-Mentessidi","given":"Georgia","non-dropping-particle":"","parse-names":false,"suffix":""}],"container-title":"Figurines. A microcosmos of clay","id":"ITEM-1","issued":{"date-parts":[["2017"]]},"page":"64-67","title":"Aiani. A coroplastic workshop of the Archaic era","type":"paper-conference"},"uris":["http://www.mendeley.com/documents/?uuid=acc1e471-689d-42d6-b4f3-83bc05207b24"]},{"id":"ITEM-2","itemData":{"author":[{"dropping-particle":"","family":"Starnini","given":"E.","non-dropping-particle":"","parse-names":false,"suffix":""}],"container-title":"Eurasian Prehistory","id":"ITEM-2","issue":"1-2","issued":{"date-parts":[["2018"]]},"page":"55-152","title":"The figurines from the Early Neolithic settlement of Mavropigi (Western Macedonia-Greece) and their significance in the neolithization process of Greece","type":"article-journal","volume":"14"},"uris":["http://www.mendeley.com/documents/?uuid=58e2fd73-ed34-4e6f-be11-ebf8be25cad6"]}],"mendeley":{"formattedCitation":"&lt;sup&gt;23,24&lt;/sup&gt;","plainTextFormattedCitation":"23,24","previouslyFormattedCitation":"&lt;sup&gt;23,24&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23,24</w:t>
      </w:r>
      <w:r w:rsidR="00B031D4" w:rsidRPr="004A2B32">
        <w:rPr>
          <w:color w:val="000000" w:themeColor="text1"/>
        </w:rPr>
        <w:fldChar w:fldCharType="end"/>
      </w:r>
      <w:r w:rsidR="00A45299" w:rsidRPr="004A2B32">
        <w:rPr>
          <w:color w:val="000000" w:themeColor="text1"/>
        </w:rPr>
        <w:t xml:space="preserve">. </w:t>
      </w:r>
      <w:r w:rsidRPr="004A2B32">
        <w:rPr>
          <w:color w:val="000000" w:themeColor="text1"/>
        </w:rPr>
        <w:t xml:space="preserve">The economy of the settlement was </w:t>
      </w:r>
      <w:r w:rsidR="00DB4F35" w:rsidRPr="004A2B32">
        <w:rPr>
          <w:color w:val="000000" w:themeColor="text1"/>
        </w:rPr>
        <w:t xml:space="preserve">based </w:t>
      </w:r>
      <w:r w:rsidRPr="004A2B32">
        <w:rPr>
          <w:color w:val="000000" w:themeColor="text1"/>
        </w:rPr>
        <w:t xml:space="preserve">on </w:t>
      </w:r>
      <w:r w:rsidRPr="004A2B32">
        <w:rPr>
          <w:bCs/>
          <w:color w:val="000000" w:themeColor="text1"/>
        </w:rPr>
        <w:t>cultivation of domestic cereal</w:t>
      </w:r>
      <w:r w:rsidR="00DB4F35" w:rsidRPr="004A2B32">
        <w:rPr>
          <w:bCs/>
          <w:color w:val="000000" w:themeColor="text1"/>
        </w:rPr>
        <w:t>s</w:t>
      </w:r>
      <w:r w:rsidRPr="004A2B32">
        <w:rPr>
          <w:bCs/>
          <w:color w:val="000000" w:themeColor="text1"/>
        </w:rPr>
        <w:t xml:space="preserve"> and pulses (emmer, einkorn, barley, oats, lentils, peas or chickpeas) according to </w:t>
      </w:r>
      <w:r w:rsidR="00F83746" w:rsidRPr="004A2B32">
        <w:rPr>
          <w:bCs/>
          <w:color w:val="000000" w:themeColor="text1"/>
        </w:rPr>
        <w:t xml:space="preserve">the </w:t>
      </w:r>
      <w:r w:rsidR="00D8168C" w:rsidRPr="004A2B32">
        <w:rPr>
          <w:bCs/>
          <w:color w:val="000000" w:themeColor="text1"/>
        </w:rPr>
        <w:t xml:space="preserve">archaeobotanical </w:t>
      </w:r>
      <w:r w:rsidRPr="004A2B32">
        <w:rPr>
          <w:bCs/>
          <w:color w:val="000000" w:themeColor="text1"/>
        </w:rPr>
        <w:t xml:space="preserve">remains and on animal husbandry, </w:t>
      </w:r>
      <w:r w:rsidR="003919F9" w:rsidRPr="004A2B32">
        <w:rPr>
          <w:bCs/>
          <w:color w:val="000000" w:themeColor="text1"/>
        </w:rPr>
        <w:t>as</w:t>
      </w:r>
      <w:r w:rsidR="003919F9" w:rsidRPr="004A2B32">
        <w:rPr>
          <w:color w:val="000000" w:themeColor="text1"/>
        </w:rPr>
        <w:t xml:space="preserve"> shown by t</w:t>
      </w:r>
      <w:r w:rsidRPr="004A2B32">
        <w:rPr>
          <w:color w:val="000000" w:themeColor="text1"/>
        </w:rPr>
        <w:t xml:space="preserve">he </w:t>
      </w:r>
      <w:proofErr w:type="spellStart"/>
      <w:r w:rsidRPr="004A2B32">
        <w:rPr>
          <w:color w:val="000000" w:themeColor="text1"/>
        </w:rPr>
        <w:t>archaeozoological</w:t>
      </w:r>
      <w:proofErr w:type="spellEnd"/>
      <w:r w:rsidR="00946123" w:rsidRPr="004A2B32">
        <w:rPr>
          <w:color w:val="000000" w:themeColor="text1"/>
        </w:rPr>
        <w:t xml:space="preserve"> </w:t>
      </w:r>
      <w:r w:rsidR="003919F9" w:rsidRPr="004A2B32">
        <w:rPr>
          <w:color w:val="000000" w:themeColor="text1"/>
        </w:rPr>
        <w:t>identification of</w:t>
      </w:r>
      <w:r w:rsidRPr="004A2B32">
        <w:rPr>
          <w:color w:val="000000" w:themeColor="text1"/>
        </w:rPr>
        <w:t xml:space="preserve"> 23 animal species</w:t>
      </w:r>
      <w:r w:rsidR="00B031D4" w:rsidRPr="004A2B32">
        <w:rPr>
          <w:color w:val="000000" w:themeColor="text1"/>
        </w:rPr>
        <w:fldChar w:fldCharType="begin" w:fldLock="1"/>
      </w:r>
      <w:r w:rsidR="00BE2180">
        <w:rPr>
          <w:color w:val="000000" w:themeColor="text1"/>
        </w:rPr>
        <w:instrText>ADDIN CSL_CITATION {"citationItems":[{"id":"ITEM-1","itemData":{"author":[{"dropping-particle":"","family":"Michalopoulou","given":"S","non-dropping-particle":"","parse-names":false,"suffix":""}],"id":"ITEM-1","issued":{"date-parts":[["2017"]]},"number-of-pages":"1054","publisher":"University of Athens","title":"Early Neolithic in Western Macedonia, Greece: the contribution of the zooarchaeological study from the sites Fyllotsairi -Mavropigi and Portes - Ksirolimni","type":"thesis"},"uris":["http://www.mendeley.com/documents/?uuid=c4d067e1-64e9-4009-9a60-18fd2f3787b9"]}],"mendeley":{"formattedCitation":"&lt;sup&gt;22&lt;/sup&gt;","plainTextFormattedCitation":"22","previouslyFormattedCitation":"&lt;sup&gt;22&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22</w:t>
      </w:r>
      <w:r w:rsidR="00B031D4" w:rsidRPr="004A2B32">
        <w:rPr>
          <w:color w:val="000000" w:themeColor="text1"/>
        </w:rPr>
        <w:fldChar w:fldCharType="end"/>
      </w:r>
      <w:r w:rsidR="00886056" w:rsidRPr="004A2B32">
        <w:rPr>
          <w:color w:val="000000" w:themeColor="text1"/>
        </w:rPr>
        <w:t xml:space="preserve">. </w:t>
      </w:r>
      <w:r w:rsidR="003919F9" w:rsidRPr="004A2B32">
        <w:rPr>
          <w:color w:val="000000" w:themeColor="text1"/>
        </w:rPr>
        <w:t>Microfauna research</w:t>
      </w:r>
      <w:r w:rsidR="00787EF8" w:rsidRPr="004A2B32">
        <w:rPr>
          <w:color w:val="000000" w:themeColor="text1"/>
        </w:rPr>
        <w:t xml:space="preserve"> </w:t>
      </w:r>
      <w:r w:rsidR="00343E26" w:rsidRPr="004A2B32">
        <w:rPr>
          <w:color w:val="000000" w:themeColor="text1"/>
        </w:rPr>
        <w:t>did not</w:t>
      </w:r>
      <w:r w:rsidR="003919F9" w:rsidRPr="004A2B32">
        <w:rPr>
          <w:color w:val="000000" w:themeColor="text1"/>
        </w:rPr>
        <w:t xml:space="preserve"> identif</w:t>
      </w:r>
      <w:r w:rsidR="00343E26" w:rsidRPr="004A2B32">
        <w:rPr>
          <w:color w:val="000000" w:themeColor="text1"/>
        </w:rPr>
        <w:t>y</w:t>
      </w:r>
      <w:r w:rsidR="003919F9" w:rsidRPr="004A2B32">
        <w:rPr>
          <w:color w:val="000000" w:themeColor="text1"/>
        </w:rPr>
        <w:t xml:space="preserve"> remains </w:t>
      </w:r>
      <w:r w:rsidR="00343E26" w:rsidRPr="004A2B32">
        <w:rPr>
          <w:color w:val="000000" w:themeColor="text1"/>
        </w:rPr>
        <w:t xml:space="preserve">of house mouse </w:t>
      </w:r>
      <w:r w:rsidR="00343E26" w:rsidRPr="004A2B32">
        <w:rPr>
          <w:i/>
          <w:iCs/>
          <w:color w:val="000000" w:themeColor="text1"/>
        </w:rPr>
        <w:t xml:space="preserve">(Mus musculus </w:t>
      </w:r>
      <w:proofErr w:type="spellStart"/>
      <w:r w:rsidR="00343E26" w:rsidRPr="004A2B32">
        <w:rPr>
          <w:i/>
          <w:iCs/>
          <w:color w:val="000000" w:themeColor="text1"/>
        </w:rPr>
        <w:t>domesticus</w:t>
      </w:r>
      <w:proofErr w:type="spellEnd"/>
      <w:r w:rsidR="00343E26" w:rsidRPr="004A2B32">
        <w:rPr>
          <w:i/>
          <w:iCs/>
          <w:color w:val="000000" w:themeColor="text1"/>
        </w:rPr>
        <w:t>)</w:t>
      </w:r>
      <w:r w:rsidR="00343E26" w:rsidRPr="004A2B32">
        <w:rPr>
          <w:color w:val="000000" w:themeColor="text1"/>
        </w:rPr>
        <w:t xml:space="preserve"> but only</w:t>
      </w:r>
      <w:r w:rsidR="00946123" w:rsidRPr="004A2B32">
        <w:rPr>
          <w:color w:val="000000" w:themeColor="text1"/>
        </w:rPr>
        <w:t xml:space="preserve"> </w:t>
      </w:r>
      <w:r w:rsidRPr="004A2B32">
        <w:rPr>
          <w:color w:val="000000" w:themeColor="text1"/>
        </w:rPr>
        <w:t xml:space="preserve">rodent </w:t>
      </w:r>
      <w:r w:rsidR="003919F9" w:rsidRPr="004A2B32">
        <w:rPr>
          <w:color w:val="000000" w:themeColor="text1"/>
        </w:rPr>
        <w:t xml:space="preserve">species </w:t>
      </w:r>
      <w:r w:rsidRPr="004A2B32">
        <w:rPr>
          <w:color w:val="000000" w:themeColor="text1"/>
        </w:rPr>
        <w:t>(</w:t>
      </w:r>
      <w:r w:rsidRPr="004A2B32">
        <w:rPr>
          <w:i/>
          <w:color w:val="000000" w:themeColor="text1"/>
        </w:rPr>
        <w:t xml:space="preserve">Mus </w:t>
      </w:r>
      <w:proofErr w:type="spellStart"/>
      <w:r w:rsidRPr="004A2B32">
        <w:rPr>
          <w:i/>
          <w:color w:val="000000" w:themeColor="text1"/>
        </w:rPr>
        <w:t>macedonicus</w:t>
      </w:r>
      <w:proofErr w:type="spellEnd"/>
      <w:r w:rsidRPr="004A2B32">
        <w:rPr>
          <w:color w:val="000000" w:themeColor="text1"/>
        </w:rPr>
        <w:t>/</w:t>
      </w:r>
      <w:proofErr w:type="spellStart"/>
      <w:r w:rsidRPr="004A2B32">
        <w:rPr>
          <w:i/>
          <w:color w:val="000000" w:themeColor="text1"/>
        </w:rPr>
        <w:t>spicilegus</w:t>
      </w:r>
      <w:proofErr w:type="spellEnd"/>
      <w:r w:rsidRPr="004A2B32">
        <w:rPr>
          <w:color w:val="000000" w:themeColor="text1"/>
        </w:rPr>
        <w:t>)</w:t>
      </w:r>
      <w:r w:rsidR="00B031D4" w:rsidRPr="004A2B32">
        <w:rPr>
          <w:color w:val="000000" w:themeColor="text1"/>
        </w:rPr>
        <w:fldChar w:fldCharType="begin" w:fldLock="1"/>
      </w:r>
      <w:r w:rsidR="00BE2180">
        <w:rPr>
          <w:color w:val="000000" w:themeColor="text1"/>
        </w:rPr>
        <w:instrText>ADDIN CSL_CITATION {"citationItems":[{"id":"ITEM-1","itemData":{"DOI":"10.1038/s41598-020-64939-9","ISSN":"2045-2322","abstract":"The house mouse ( Mus musculus ) represents the extreme of globalization of invasive mammals. However, the timing and basis of its origin and early phases of dispersal remain poorly documented. To track its synanthropisation and subsequent invasive spread during the develoment of complex human societies, we analyzed 829 Mus specimens from 43 archaeological contexts in Southwestern Asia and Southeastern Europe, between 40,000 and 3,000 cal. BP, combining geometric morphometrics numerical taxonomy, ancient mitochondrial DNA and direct radiocarbon dating. We found that large late hunter-gatherer sedentary settlements in the Levant, c. 14,500 cal. BP, promoted the commensal behaviour of the house mouse, which probably led the commensal pathway to cat domestication. House mouse invasive spread was then fostered through the emergence of agriculture throughout the Near East 12,000 years ago. Stowaway transport of house mice to Cyprus can be inferred as early as 10,800 years ago. However, the house mouse invasion of Europe did not happen until the development of proto urbanism and exchange networks — 6,500 years ago in Eastern Europe and 4000 years ago in Southern Europe — which in turn may have driven the first human mediated dispersal of cats in Europe.","author":[{"dropping-particle":"","family":"Cucchi","given":"Thomas","non-dropping-particle":"","parse-names":false,"suffix":""},{"dropping-particle":"","family":"Papayianni","given":"Katerina","non-dropping-particle":"","parse-names":false,"suffix":""},{"dropping-particle":"","family":"Cersoy","given":"Sophie","non-dropping-particle":"","parse-names":false,"suffix":""},{"dropping-particle":"","family":"Aznar-Cormano","given":"Laetitia","non-dropping-particle":"","parse-names":false,"suffix":""},{"dropping-particle":"","family":"Zazzo","given":"Antoine","non-dropping-particle":"","parse-names":false,"suffix":""},{"dropping-particle":"","family":"Debruyne","given":"Régis","non-dropping-particle":"","parse-names":false,"suffix":""},{"dropping-particle":"","family":"Berthon","given":"Rémi","non-dropping-particle":"","parse-names":false,"suffix":""},{"dropping-particle":"","family":"Bălășescu","given":"Adrian","non-dropping-particle":"","parse-names":false,"suffix":""},{"dropping-particle":"","family":"Simmons","given":"Alan","non-dropping-particle":"","parse-names":false,"suffix":""},{"dropping-particle":"","family":"Valla","given":"François","non-dropping-particle":"","parse-names":false,"suffix":""},{"dropping-particle":"","family":"Hamilakis","given":"Yannis","non-dropping-particle":"","parse-names":false,"suffix":""},{"dropping-particle":"","family":"Mavridis","given":"Fanis","non-dropping-particle":"","parse-names":false,"suffix":""},{"dropping-particle":"","family":"Mashkour","given":"Marjan","non-dropping-particle":"","parse-names":false,"suffix":""},{"dropping-particle":"","family":"Darvish","given":"Jamshid","non-dropping-particle":"","parse-names":false,"suffix":""},{"dropping-particle":"","family":"Siahsarvi","given":"Roohollah","non-dropping-particle":"","parse-names":false,"suffix":""},{"dropping-particle":"","family":"Biglari","given":"Fereidoun","non-dropping-particle":"","parse-names":false,"suffix":""},{"dropping-particle":"","family":"Petrie","given":"Cameron A.","non-dropping-particle":"","parse-names":false,"suffix":""},{"dropping-particle":"","family":"Weeks","given":"Lloyd","non-dropping-particle":"","parse-names":false,"suffix":""},{"dropping-particle":"","family":"Sardari","given":"Alireza","non-dropping-particle":"","parse-names":false,"suffix":""},{"dropping-particle":"","family":"Maziar","given":"Sepideh","non-dropping-particle":"","parse-names":false,"suffix":""},{"dropping-particle":"","family":"Denys","given":"Christiane","non-dropping-particle":"","parse-names":false,"suffix":""},{"dropping-particle":"","family":"Orton","given":"David","non-dropping-particle":"","parse-names":false,"suffix":""},{"dropping-particle":"","family":"Jenkins","given":"Emma","non-dropping-particle":"","parse-names":false,"suffix":""},{"dropping-particle":"","family":"Zeder","given":"Melinda","non-dropping-particle":"","parse-names":false,"suffix":""},{"dropping-particle":"","family":"Searle","given":"Jeremy B.","non-dropping-particle":"","parse-names":false,"suffix":""},{"dropping-particle":"","family":"Larson","given":"Greger","non-dropping-particle":"","parse-names":false,"suffix":""},{"dropping-particle":"","family":"Bonhomme","given":"François","non-dropping-particle":"","parse-names":false,"suffix":""},{"dropping-particle":"","family":"Auffray","given":"Jean-Christophe","non-dropping-particle":"","parse-names":false,"suffix":""},{"dropping-particle":"","family":"Vigne","given":"Jean-Denis","non-dropping-particle":"","parse-names":false,"suffix":""}],"container-title":"Scientific Reports","id":"ITEM-1","issue":"1","issued":{"date-parts":[["2020","12","19"]]},"page":"8276","title":"Tracking the Near Eastern origins and European dispersal of the western house mouse","type":"article-journal","volume":"10"},"uris":["http://www.mendeley.com/documents/?uuid=bd771975-c0c0-4450-a601-d42125d6e46a"]}],"mendeley":{"formattedCitation":"&lt;sup&gt;25&lt;/sup&gt;","plainTextFormattedCitation":"25","previouslyFormattedCitation":"&lt;sup&gt;25&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25</w:t>
      </w:r>
      <w:r w:rsidR="00B031D4" w:rsidRPr="004A2B32">
        <w:rPr>
          <w:color w:val="000000" w:themeColor="text1"/>
        </w:rPr>
        <w:fldChar w:fldCharType="end"/>
      </w:r>
      <w:r w:rsidR="00F83746" w:rsidRPr="004A2B32">
        <w:rPr>
          <w:color w:val="000000" w:themeColor="text1"/>
        </w:rPr>
        <w:t>. T</w:t>
      </w:r>
      <w:r w:rsidR="003919F9" w:rsidRPr="004A2B32">
        <w:rPr>
          <w:color w:val="000000" w:themeColor="text1"/>
        </w:rPr>
        <w:t>he results of herpetofauna are</w:t>
      </w:r>
      <w:r w:rsidR="00B448DF" w:rsidRPr="004A2B32">
        <w:rPr>
          <w:color w:val="000000" w:themeColor="text1"/>
        </w:rPr>
        <w:t xml:space="preserve"> expected</w:t>
      </w:r>
      <w:r w:rsidR="00B031D4" w:rsidRPr="004A2B32">
        <w:rPr>
          <w:color w:val="000000" w:themeColor="text1"/>
        </w:rPr>
        <w:fldChar w:fldCharType="begin" w:fldLock="1"/>
      </w:r>
      <w:r w:rsidR="00BE2180">
        <w:rPr>
          <w:color w:val="000000" w:themeColor="text1"/>
        </w:rPr>
        <w:instrText>ADDIN CSL_CITATION {"citationItems":[{"id":"ITEM-1","itemData":{"author":[{"dropping-particle":"","family":"Michalopoulou","given":"S","non-dropping-particle":"","parse-names":false,"suffix":""}],"id":"ITEM-1","issued":{"date-parts":[["2017"]]},"number-of-pages":"1054","publisher":"University of Athens","title":"Early Neolithic in Western Macedonia, Greece: the contribution of the zooarchaeological study from the sites Fyllotsairi -Mavropigi and Portes - Ksirolimni","type":"thesis"},"uris":["http://www.mendeley.com/documents/?uuid=c4d067e1-64e9-4009-9a60-18fd2f3787b9"]}],"mendeley":{"formattedCitation":"&lt;sup&gt;22&lt;/sup&gt;","plainTextFormattedCitation":"22","previouslyFormattedCitation":"&lt;sup&gt;22&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22</w:t>
      </w:r>
      <w:r w:rsidR="00B031D4" w:rsidRPr="004A2B32">
        <w:rPr>
          <w:color w:val="000000" w:themeColor="text1"/>
        </w:rPr>
        <w:fldChar w:fldCharType="end"/>
      </w:r>
      <w:r w:rsidR="00B448DF" w:rsidRPr="004A2B32">
        <w:rPr>
          <w:color w:val="000000" w:themeColor="text1"/>
        </w:rPr>
        <w:t>.</w:t>
      </w:r>
    </w:p>
    <w:p w14:paraId="2111611C" w14:textId="3F331BD0" w:rsidR="00194C56" w:rsidRPr="004A2B32" w:rsidRDefault="00194C56" w:rsidP="00D820C9">
      <w:pPr>
        <w:spacing w:after="0"/>
        <w:ind w:firstLine="720"/>
        <w:jc w:val="both"/>
        <w:rPr>
          <w:color w:val="000000" w:themeColor="text1"/>
        </w:rPr>
      </w:pPr>
      <w:r w:rsidRPr="004A2B32">
        <w:rPr>
          <w:color w:val="000000" w:themeColor="text1"/>
        </w:rPr>
        <w:t xml:space="preserve">In the excavated area, skeletal remains </w:t>
      </w:r>
      <w:r w:rsidR="00D8168C" w:rsidRPr="004A2B32">
        <w:rPr>
          <w:color w:val="000000" w:themeColor="text1"/>
        </w:rPr>
        <w:t xml:space="preserve">were found </w:t>
      </w:r>
      <w:r w:rsidRPr="004A2B32">
        <w:rPr>
          <w:color w:val="000000" w:themeColor="text1"/>
        </w:rPr>
        <w:t xml:space="preserve">of 19 individuals in 17 graves (two of them contained a secondary burial). The deceased were placed in crouched position and were dated </w:t>
      </w:r>
      <w:r w:rsidR="00D8168C" w:rsidRPr="004A2B32">
        <w:rPr>
          <w:color w:val="000000" w:themeColor="text1"/>
        </w:rPr>
        <w:t xml:space="preserve">to </w:t>
      </w:r>
      <w:r w:rsidRPr="004A2B32">
        <w:rPr>
          <w:color w:val="000000" w:themeColor="text1"/>
        </w:rPr>
        <w:t xml:space="preserve">Phase III. One </w:t>
      </w:r>
      <w:r w:rsidR="00E43042" w:rsidRPr="004A2B32">
        <w:rPr>
          <w:color w:val="000000" w:themeColor="text1"/>
        </w:rPr>
        <w:t>more</w:t>
      </w:r>
      <w:r w:rsidR="00787EF8" w:rsidRPr="004A2B32">
        <w:rPr>
          <w:color w:val="000000" w:themeColor="text1"/>
        </w:rPr>
        <w:t xml:space="preserve"> </w:t>
      </w:r>
      <w:r w:rsidRPr="004A2B32">
        <w:rPr>
          <w:color w:val="000000" w:themeColor="text1"/>
        </w:rPr>
        <w:t xml:space="preserve">burial (number 13) was found in </w:t>
      </w:r>
      <w:r w:rsidR="00D8168C" w:rsidRPr="004A2B32">
        <w:rPr>
          <w:color w:val="000000" w:themeColor="text1"/>
        </w:rPr>
        <w:t xml:space="preserve">a </w:t>
      </w:r>
      <w:r w:rsidRPr="004A2B32">
        <w:rPr>
          <w:color w:val="000000" w:themeColor="text1"/>
        </w:rPr>
        <w:t>supine position and was dated</w:t>
      </w:r>
      <w:r w:rsidR="00787EF8" w:rsidRPr="004A2B32">
        <w:rPr>
          <w:color w:val="000000" w:themeColor="text1"/>
        </w:rPr>
        <w:t xml:space="preserve"> </w:t>
      </w:r>
      <w:r w:rsidR="00D8168C" w:rsidRPr="004A2B32">
        <w:rPr>
          <w:color w:val="000000" w:themeColor="text1"/>
        </w:rPr>
        <w:t>to</w:t>
      </w:r>
      <w:r w:rsidRPr="004A2B32">
        <w:rPr>
          <w:color w:val="000000" w:themeColor="text1"/>
        </w:rPr>
        <w:t xml:space="preserve"> the Byzantine period</w:t>
      </w:r>
      <w:r w:rsidR="00B031D4" w:rsidRPr="004A2B32">
        <w:rPr>
          <w:color w:val="000000" w:themeColor="text1"/>
        </w:rPr>
        <w:fldChar w:fldCharType="begin" w:fldLock="1"/>
      </w:r>
      <w:r w:rsidR="00BE2180">
        <w:rPr>
          <w:color w:val="000000" w:themeColor="text1"/>
        </w:rPr>
        <w:instrText>ADDIN CSL_CITATION {"citationItems":[{"id":"ITEM-1","itemData":{"author":[{"dropping-particle":"","family":"Papathanasiou","given":"Anastasia","non-dropping-particle":"","parse-names":false,"suffix":""},{"dropping-particle":"","family":"Richards","given":"Michael P","non-dropping-particle":"","parse-names":false,"suffix":""}],"container-title":"AEAM 1","id":"ITEM-1","issued":{"date-parts":[["2009"]]},"page":"257-274","title":"Anthropologika kataloipa apo tis proimes theseis Mavropigis, Ksirolimnis kai Pontokomis tis Archaioteris Neolithikis sti Ditiki Makedonia","type":"chapter"},"uris":["http://www.mendeley.com/documents/?uuid=b3afa17e-0318-41cc-83b9-746fa6c652e3"]}],"mendeley":{"formattedCitation":"&lt;sup&gt;26&lt;/sup&gt;","plainTextFormattedCitation":"26","previouslyFormattedCitation":"&lt;sup&gt;26&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26</w:t>
      </w:r>
      <w:r w:rsidR="00B031D4" w:rsidRPr="004A2B32">
        <w:rPr>
          <w:color w:val="000000" w:themeColor="text1"/>
        </w:rPr>
        <w:fldChar w:fldCharType="end"/>
      </w:r>
      <w:r w:rsidR="00886056" w:rsidRPr="004A2B32">
        <w:rPr>
          <w:color w:val="000000" w:themeColor="text1"/>
        </w:rPr>
        <w:t xml:space="preserve">. </w:t>
      </w:r>
      <w:r w:rsidRPr="004A2B32">
        <w:rPr>
          <w:color w:val="000000" w:themeColor="text1"/>
        </w:rPr>
        <w:t>Child burials included seeds (burials 1 and 3</w:t>
      </w:r>
      <w:r w:rsidR="00B031D4" w:rsidRPr="004A2B32">
        <w:rPr>
          <w:color w:val="000000" w:themeColor="text1"/>
        </w:rPr>
        <w:fldChar w:fldCharType="begin" w:fldLock="1"/>
      </w:r>
      <w:r w:rsidR="00BE2180">
        <w:rPr>
          <w:color w:val="000000" w:themeColor="text1"/>
        </w:rPr>
        <w:instrText>ADDIN CSL_CITATION {"citationItems":[{"id":"ITEM-1","itemData":{"author":[{"dropping-particle":"","family":"Karamitrou-Mentessidi","given":"Georgia","non-dropping-particle":"","parse-names":false,"suffix":""}],"container-title":"AEMTh 19","editor":[{"dropping-particle":"","family":"Adam-Veleni","given":"P","non-dropping-particle":"","parse-names":false,"suffix":""},{"dropping-particle":"","family":"Tsakalou","given":"K","non-dropping-particle":"","parse-names":false,"suffix":""}],"id":"ITEM-1","issued":{"date-parts":[["2005"]]},"page":"511-539","publisher":"Ministry of Culture","title":"Mavropiyi 2005. Lignite mines and Antiquities","type":"paper-conference"},"uris":["http://www.mendeley.com/documents/?uuid=1c26dcc4-cb98-41fd-b39d-e37e642b2e56"]},{"id":"ITEM-2","itemData":{"author":[{"dropping-particle":"","family":"Valamoti","given":"Soultana Maria","non-dropping-particle":"","parse-names":false,"suffix":""}],"container-title":"AEAM 1","id":"ITEM-2","issued":{"date-parts":[["2009"]]},"page":"245-256","title":"Seeds for the dead ? Archaeobotanical remains from Mavropigi near Kozani, site Fyllotsairi","type":"paper-conference"},"uris":["http://www.mendeley.com/documents/?uuid=a91c2a01-08f2-480a-ba72-de417ad54185"]}],"mendeley":{"formattedCitation":"&lt;sup&gt;10,27&lt;/sup&gt;","plainTextFormattedCitation":"10,27","previouslyFormattedCitation":"&lt;sup&gt;10,27&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10,27</w:t>
      </w:r>
      <w:r w:rsidR="00B031D4" w:rsidRPr="004A2B32">
        <w:rPr>
          <w:color w:val="000000" w:themeColor="text1"/>
        </w:rPr>
        <w:fldChar w:fldCharType="end"/>
      </w:r>
      <w:r w:rsidR="00556B31" w:rsidRPr="004A2B32">
        <w:rPr>
          <w:color w:val="000000" w:themeColor="text1"/>
        </w:rPr>
        <w:t>)</w:t>
      </w:r>
      <w:r w:rsidRPr="004A2B32">
        <w:rPr>
          <w:color w:val="000000" w:themeColor="text1"/>
        </w:rPr>
        <w:t xml:space="preserve"> and two of them were accompanied by “grave goods” (burials 7 and 9</w:t>
      </w:r>
      <w:r w:rsidR="00B031D4" w:rsidRPr="004A2B32">
        <w:rPr>
          <w:color w:val="000000" w:themeColor="text1"/>
        </w:rPr>
        <w:fldChar w:fldCharType="begin" w:fldLock="1"/>
      </w:r>
      <w:r w:rsidR="00BE2180">
        <w:rPr>
          <w:color w:val="000000" w:themeColor="text1"/>
        </w:rPr>
        <w:instrText>ADDIN CSL_CITATION {"citationItems":[{"id":"ITEM-1","itemData":{"author":[{"dropping-particle":"","family":"Karamitrou-Mentessidi","given":"Georgia","non-dropping-particle":"","parse-names":false,"suffix":""}],"container-title":"AEMTh 19","editor":[{"dropping-particle":"","family":"Adam-Veleni","given":"P","non-dropping-particle":"","parse-names":false,"suffix":""},{"dropping-particle":"","family":"Tsakalou","given":"K","non-dropping-particle":"","parse-names":false,"suffix":""}],"id":"ITEM-1","issued":{"date-parts":[["2005"]]},"page":"511-539","publisher":"Ministry of Culture","title":"Mavropiyi 2005. Lignite mines and Antiquities","type":"paper-conference"},"uris":["http://www.mendeley.com/documents/?uuid=1c26dcc4-cb98-41fd-b39d-e37e642b2e56"]}],"mendeley":{"formattedCitation":"&lt;sup&gt;10&lt;/sup&gt;","plainTextFormattedCitation":"10","previouslyFormattedCitation":"&lt;sup&gt;10&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10</w:t>
      </w:r>
      <w:r w:rsidR="00B031D4" w:rsidRPr="004A2B32">
        <w:rPr>
          <w:color w:val="000000" w:themeColor="text1"/>
        </w:rPr>
        <w:fldChar w:fldCharType="end"/>
      </w:r>
      <w:r w:rsidR="00EE799D" w:rsidRPr="004A2B32">
        <w:rPr>
          <w:color w:val="000000" w:themeColor="text1"/>
        </w:rPr>
        <w:t>)</w:t>
      </w:r>
      <w:r w:rsidR="00886056" w:rsidRPr="004A2B32">
        <w:rPr>
          <w:color w:val="000000" w:themeColor="text1"/>
        </w:rPr>
        <w:t xml:space="preserve">. </w:t>
      </w:r>
      <w:r w:rsidRPr="004A2B32">
        <w:rPr>
          <w:color w:val="000000" w:themeColor="text1"/>
        </w:rPr>
        <w:t>The human skeletal material has been studied to assess pathological conditions and dietary patterns (stable isotope analysis of human and fauna remains of the site)</w:t>
      </w:r>
      <w:r w:rsidR="00B031D4" w:rsidRPr="004A2B32">
        <w:rPr>
          <w:color w:val="000000" w:themeColor="text1"/>
        </w:rPr>
        <w:fldChar w:fldCharType="begin" w:fldLock="1"/>
      </w:r>
      <w:r w:rsidR="00BE2180">
        <w:rPr>
          <w:color w:val="000000" w:themeColor="text1"/>
        </w:rPr>
        <w:instrText>ADDIN CSL_CITATION {"citationItems":[{"id":"ITEM-1","itemData":{"author":[{"dropping-particle":"","family":"Papathanasiou","given":"Anastasia","non-dropping-particle":"","parse-names":false,"suffix":""},{"dropping-particle":"","family":"Richards","given":"Michael P","non-dropping-particle":"","parse-names":false,"suffix":""}],"container-title":"AEAM 1","id":"ITEM-1","issued":{"date-parts":[["2009"]]},"page":"257-274","title":"Anthropologika kataloipa apo tis proimes theseis Mavropigis, Ksirolimnis kai Pontokomis tis Archaioteris Neolithikis sti Ditiki Makedonia","type":"chapter"},"uris":["http://www.mendeley.com/documents/?uuid=b3afa17e-0318-41cc-83b9-746fa6c652e3"]}],"mendeley":{"formattedCitation":"&lt;sup&gt;26&lt;/sup&gt;","plainTextFormattedCitation":"26","previouslyFormattedCitation":"&lt;sup&gt;26&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26</w:t>
      </w:r>
      <w:r w:rsidR="00B031D4" w:rsidRPr="004A2B32">
        <w:rPr>
          <w:color w:val="000000" w:themeColor="text1"/>
        </w:rPr>
        <w:fldChar w:fldCharType="end"/>
      </w:r>
      <w:r w:rsidR="009106C0" w:rsidRPr="004A2B32">
        <w:rPr>
          <w:color w:val="000000" w:themeColor="text1"/>
        </w:rPr>
        <w:t>.</w:t>
      </w:r>
      <w:r w:rsidR="001E3B31" w:rsidRPr="001E3B31">
        <w:rPr>
          <w:color w:val="000000" w:themeColor="text1"/>
        </w:rPr>
        <w:t xml:space="preserve"> </w:t>
      </w:r>
      <w:r w:rsidRPr="004A2B32">
        <w:rPr>
          <w:color w:val="000000" w:themeColor="text1"/>
        </w:rPr>
        <w:t xml:space="preserve">The results show that </w:t>
      </w:r>
      <w:r w:rsidR="00B448DF" w:rsidRPr="004A2B32">
        <w:rPr>
          <w:color w:val="000000" w:themeColor="text1"/>
        </w:rPr>
        <w:t xml:space="preserve">agriculture </w:t>
      </w:r>
      <w:r w:rsidR="00D8168C" w:rsidRPr="004A2B32">
        <w:rPr>
          <w:color w:val="000000" w:themeColor="text1"/>
        </w:rPr>
        <w:t xml:space="preserve">was </w:t>
      </w:r>
      <w:r w:rsidR="00D8168C" w:rsidRPr="004A2B32">
        <w:rPr>
          <w:color w:val="000000" w:themeColor="text1"/>
        </w:rPr>
        <w:lastRenderedPageBreak/>
        <w:t xml:space="preserve">already well established </w:t>
      </w:r>
      <w:r w:rsidR="00B448DF" w:rsidRPr="004A2B32">
        <w:rPr>
          <w:color w:val="000000" w:themeColor="text1"/>
        </w:rPr>
        <w:t>based on the absence of</w:t>
      </w:r>
      <w:r w:rsidRPr="004A2B32">
        <w:rPr>
          <w:color w:val="000000" w:themeColor="text1"/>
        </w:rPr>
        <w:t xml:space="preserve"> physiological and dietary stress</w:t>
      </w:r>
      <w:r w:rsidR="00D8168C" w:rsidRPr="004A2B32">
        <w:rPr>
          <w:color w:val="000000" w:themeColor="text1"/>
        </w:rPr>
        <w:t xml:space="preserve"> in the population</w:t>
      </w:r>
      <w:r w:rsidRPr="004A2B32">
        <w:rPr>
          <w:color w:val="000000" w:themeColor="text1"/>
        </w:rPr>
        <w:t>. Selected skeletons were also sampled for intestinal parasites</w:t>
      </w:r>
      <w:r w:rsidR="00B031D4" w:rsidRPr="004A2B32">
        <w:rPr>
          <w:color w:val="000000" w:themeColor="text1"/>
        </w:rPr>
        <w:fldChar w:fldCharType="begin" w:fldLock="1"/>
      </w:r>
      <w:r w:rsidR="00BE2180">
        <w:rPr>
          <w:color w:val="000000" w:themeColor="text1"/>
        </w:rPr>
        <w:instrText>ADDIN CSL_CITATION {"citationItems":[{"id":"ITEM-1","itemData":{"author":[{"dropping-particle":"","family":"Anastasiou","given":"E","non-dropping-particle":"","parse-names":false,"suffix":""}],"id":"ITEM-1","issued":{"date-parts":[["2013"]]},"publisher":"University of Cambridge","title":"The Paleoparasitology of Eastern Mediterranean and Adjacent Regions: Understanding Intestinal Diseases Through Time","type":"thesis"},"uris":["http://www.mendeley.com/documents/?uuid=fa6e6b3b-70ca-44d9-a2fb-aa2256dd3c60"]}],"mendeley":{"formattedCitation":"&lt;sup&gt;28&lt;/sup&gt;","plainTextFormattedCitation":"28","previouslyFormattedCitation":"&lt;sup&gt;28&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28</w:t>
      </w:r>
      <w:r w:rsidR="00B031D4" w:rsidRPr="004A2B32">
        <w:rPr>
          <w:color w:val="000000" w:themeColor="text1"/>
        </w:rPr>
        <w:fldChar w:fldCharType="end"/>
      </w:r>
      <w:r w:rsidRPr="004A2B32">
        <w:rPr>
          <w:color w:val="000000" w:themeColor="text1"/>
        </w:rPr>
        <w:t xml:space="preserve"> and DNA analyses</w:t>
      </w:r>
      <w:r w:rsidR="00787EF8" w:rsidRPr="004A2B32">
        <w:rPr>
          <w:color w:val="000000" w:themeColor="text1"/>
        </w:rPr>
        <w:t xml:space="preserve"> </w:t>
      </w:r>
      <w:r w:rsidR="00B031D4" w:rsidRPr="004A2B32">
        <w:rPr>
          <w:color w:val="000000" w:themeColor="text1"/>
        </w:rPr>
        <w:fldChar w:fldCharType="begin" w:fldLock="1"/>
      </w:r>
      <w:r w:rsidR="00BE2180">
        <w:rPr>
          <w:color w:val="000000" w:themeColor="text1"/>
        </w:rPr>
        <w:instrText>ADDIN CSL_CITATION {"citationItems":[{"id":"ITEM-1","itemData":{"author":[{"dropping-particle":"","family":"Papageorgopoulou","given":"Christina","non-dropping-particle":"","parse-names":false,"suffix":""}],"container-title":"100 Years Research in prehistoric Macedonia 1912-2012","id":"ITEM-1","issued":{"date-parts":[["2014"]]},"page":"477-491","publisher-place":"Thessaloniki.","title":"Ancient DNA: applications, perspectives, limitations","type":"chapter"},"uris":["http://www.mendeley.com/documents/?uuid=cbdd5c19-daf2-47f0-8b1b-ea8a9c49b94d"]}],"mendeley":{"formattedCitation":"&lt;sup&gt;29&lt;/sup&gt;","plainTextFormattedCitation":"29","previouslyFormattedCitation":"&lt;sup&gt;29&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29</w:t>
      </w:r>
      <w:r w:rsidR="00B031D4" w:rsidRPr="004A2B32">
        <w:rPr>
          <w:color w:val="000000" w:themeColor="text1"/>
        </w:rPr>
        <w:fldChar w:fldCharType="end"/>
      </w:r>
      <w:r w:rsidR="009106C0" w:rsidRPr="004A2B32">
        <w:rPr>
          <w:color w:val="000000" w:themeColor="text1"/>
        </w:rPr>
        <w:t>.</w:t>
      </w:r>
    </w:p>
    <w:p w14:paraId="32C7444B" w14:textId="23BF4999" w:rsidR="00194C56" w:rsidRPr="004A2B32" w:rsidRDefault="00D8168C">
      <w:pPr>
        <w:spacing w:after="0"/>
        <w:ind w:firstLine="720"/>
        <w:jc w:val="both"/>
        <w:rPr>
          <w:color w:val="000000" w:themeColor="text1"/>
        </w:rPr>
      </w:pPr>
      <w:r w:rsidRPr="004A2B32">
        <w:rPr>
          <w:color w:val="000000" w:themeColor="text1"/>
        </w:rPr>
        <w:t xml:space="preserve">Absolute </w:t>
      </w:r>
      <w:r w:rsidR="00194C56" w:rsidRPr="004A2B32">
        <w:rPr>
          <w:color w:val="000000" w:themeColor="text1"/>
        </w:rPr>
        <w:t>dating of c</w:t>
      </w:r>
      <w:r w:rsidRPr="004A2B32">
        <w:rPr>
          <w:color w:val="000000" w:themeColor="text1"/>
        </w:rPr>
        <w:t>h</w:t>
      </w:r>
      <w:r w:rsidR="00194C56" w:rsidRPr="004A2B32">
        <w:rPr>
          <w:color w:val="000000" w:themeColor="text1"/>
        </w:rPr>
        <w:t>arcoal, human</w:t>
      </w:r>
      <w:r w:rsidR="002E300C" w:rsidRPr="004A2B32">
        <w:rPr>
          <w:color w:val="000000" w:themeColor="text1"/>
        </w:rPr>
        <w:t xml:space="preserve"> and</w:t>
      </w:r>
      <w:r w:rsidR="00787EF8" w:rsidRPr="004A2B32">
        <w:rPr>
          <w:color w:val="000000" w:themeColor="text1"/>
        </w:rPr>
        <w:t xml:space="preserve"> </w:t>
      </w:r>
      <w:r w:rsidR="00194C56" w:rsidRPr="004A2B32">
        <w:rPr>
          <w:color w:val="000000" w:themeColor="text1"/>
        </w:rPr>
        <w:t xml:space="preserve">archaeobotanical </w:t>
      </w:r>
      <w:r w:rsidR="002E300C" w:rsidRPr="004A2B32">
        <w:rPr>
          <w:color w:val="000000" w:themeColor="text1"/>
        </w:rPr>
        <w:t>samples</w:t>
      </w:r>
      <w:r w:rsidR="00D4517E" w:rsidRPr="004A2B32">
        <w:rPr>
          <w:color w:val="000000" w:themeColor="text1"/>
        </w:rPr>
        <w:t>,</w:t>
      </w:r>
      <w:r w:rsidR="002E300C" w:rsidRPr="004A2B32">
        <w:rPr>
          <w:color w:val="000000" w:themeColor="text1"/>
        </w:rPr>
        <w:t xml:space="preserve"> dates</w:t>
      </w:r>
      <w:r w:rsidR="00194C56" w:rsidRPr="004A2B32">
        <w:rPr>
          <w:color w:val="000000" w:themeColor="text1"/>
        </w:rPr>
        <w:t xml:space="preserve"> Phase I from 6</w:t>
      </w:r>
      <w:r w:rsidR="002E300C" w:rsidRPr="004A2B32">
        <w:rPr>
          <w:color w:val="000000" w:themeColor="text1"/>
        </w:rPr>
        <w:t>,</w:t>
      </w:r>
      <w:r w:rsidR="00194C56" w:rsidRPr="004A2B32">
        <w:rPr>
          <w:color w:val="000000" w:themeColor="text1"/>
        </w:rPr>
        <w:t>600 to 6</w:t>
      </w:r>
      <w:r w:rsidR="002E300C" w:rsidRPr="004A2B32">
        <w:rPr>
          <w:color w:val="000000" w:themeColor="text1"/>
        </w:rPr>
        <w:t>,</w:t>
      </w:r>
      <w:r w:rsidR="00194C56" w:rsidRPr="004A2B32">
        <w:rPr>
          <w:color w:val="000000" w:themeColor="text1"/>
        </w:rPr>
        <w:t>400 BC, Phase II from 6</w:t>
      </w:r>
      <w:r w:rsidR="002E300C" w:rsidRPr="004A2B32">
        <w:rPr>
          <w:color w:val="000000" w:themeColor="text1"/>
        </w:rPr>
        <w:t>,</w:t>
      </w:r>
      <w:r w:rsidR="00194C56" w:rsidRPr="004A2B32">
        <w:rPr>
          <w:color w:val="000000" w:themeColor="text1"/>
        </w:rPr>
        <w:t>400 to 6</w:t>
      </w:r>
      <w:r w:rsidR="002E300C" w:rsidRPr="004A2B32">
        <w:rPr>
          <w:color w:val="000000" w:themeColor="text1"/>
        </w:rPr>
        <w:t>,</w:t>
      </w:r>
      <w:r w:rsidR="00194C56" w:rsidRPr="004A2B32">
        <w:rPr>
          <w:color w:val="000000" w:themeColor="text1"/>
        </w:rPr>
        <w:t>300 BC and Phase III from 6</w:t>
      </w:r>
      <w:r w:rsidR="00DB28E4" w:rsidRPr="004A2B32">
        <w:rPr>
          <w:color w:val="000000" w:themeColor="text1"/>
        </w:rPr>
        <w:t>,</w:t>
      </w:r>
      <w:r w:rsidR="00194C56" w:rsidRPr="004A2B32">
        <w:rPr>
          <w:color w:val="000000" w:themeColor="text1"/>
        </w:rPr>
        <w:t>300/6</w:t>
      </w:r>
      <w:r w:rsidR="00DB28E4" w:rsidRPr="004A2B32">
        <w:rPr>
          <w:color w:val="000000" w:themeColor="text1"/>
        </w:rPr>
        <w:t>,</w:t>
      </w:r>
      <w:r w:rsidR="00194C56" w:rsidRPr="004A2B32">
        <w:rPr>
          <w:color w:val="000000" w:themeColor="text1"/>
        </w:rPr>
        <w:t>200 to 5</w:t>
      </w:r>
      <w:r w:rsidR="00DB28E4" w:rsidRPr="004A2B32">
        <w:rPr>
          <w:color w:val="000000" w:themeColor="text1"/>
        </w:rPr>
        <w:t>,</w:t>
      </w:r>
      <w:r w:rsidR="00194C56" w:rsidRPr="004A2B32">
        <w:rPr>
          <w:color w:val="000000" w:themeColor="text1"/>
        </w:rPr>
        <w:t>900 BC</w:t>
      </w:r>
      <w:r w:rsidR="00B031D4" w:rsidRPr="004A2B32">
        <w:rPr>
          <w:color w:val="000000" w:themeColor="text1"/>
        </w:rPr>
        <w:fldChar w:fldCharType="begin" w:fldLock="1"/>
      </w:r>
      <w:r w:rsidR="00BE2180">
        <w:rPr>
          <w:color w:val="000000" w:themeColor="text1"/>
        </w:rPr>
        <w:instrText>ADDIN CSL_CITATION {"citationItems":[{"id":"ITEM-1","itemData":{"author":[{"dropping-particle":"","family":"Karamitrou-Mentessidi","given":"Georgia","non-dropping-particle":"","parse-names":false,"suffix":""}],"container-title":"AEMTh 19","editor":[{"dropping-particle":"","family":"Adam-Veleni","given":"P","non-dropping-particle":"","parse-names":false,"suffix":""},{"dropping-particle":"","family":"Tsakalou","given":"K","non-dropping-particle":"","parse-names":false,"suffix":""}],"id":"ITEM-1","issued":{"date-parts":[["2005"]]},"page":"511-539","publisher":"Ministry of Culture","title":"Mavropiyi 2005. Lignite mines and Antiquities","type":"paper-conference"},"uris":["http://www.mendeley.com/documents/?uuid=1c26dcc4-cb98-41fd-b39d-e37e642b2e56"]},{"id":"ITEM-2","itemData":{"author":[{"dropping-particle":"","family":"Papathanasiou","given":"Anastasia","non-dropping-particle":"","parse-names":false,"suffix":""},{"dropping-particle":"","family":"Richards","given":"Michael P","non-dropping-particle":"","parse-names":false,"suffix":""}],"container-title":"AEAM 1","id":"ITEM-2","issued":{"date-parts":[["2009"]]},"page":"257-274","title":"Anthropologika kataloipa apo tis proimes theseis Mavropigis, Ksirolimnis kai Pontokomis tis Archaioteris Neolithikis sti Ditiki Makedonia","type":"chapter"},"uris":["http://www.mendeley.com/documents/?uuid=b3afa17e-0318-41cc-83b9-746fa6c652e3"]},{"id":"ITEM-3","itemData":{"author":[{"dropping-particle":"","family":"Valamoti","given":"Soultana Maria","non-dropping-particle":"","parse-names":false,"suffix":""}],"container-title":"AEAM 1","id":"ITEM-3","issued":{"date-parts":[["2009"]]},"page":"245-256","title":"Seeds for the dead ? Archaeobotanical remains from Mavropigi near Kozani, site Fyllotsairi","type":"paper-conference"},"uris":["http://www.mendeley.com/documents/?uuid=a91c2a01-08f2-480a-ba72-de417ad54185"]},{"id":"ITEM-4","itemData":{"author":[{"dropping-particle":"","family":"Karamitrou-Mentessidi","given":"G.","non-dropping-particle":"","parse-names":false,"suffix":""},{"dropping-particle":"","family":"Efstratiou","given":"N.","non-dropping-particle":"","parse-names":false,"suffix":""},{"dropping-particle":"","family":"Kozlowski","given":"J.","non-dropping-particle":"","parse-names":false,"suffix":""},{"dropping-particle":"","family":"Kaczanowska","given":"M.","non-dropping-particle":"","parse-names":false,"suffix":""},{"dropping-particle":"","family":"Maniatis","given":"Y.","non-dropping-particle":"","parse-names":false,"suffix":""},{"dropping-particle":"","family":"Curci","given":"A.","non-dropping-particle":"","parse-names":false,"suffix":""},{"dropping-particle":"","family":"Michalopoulou","given":"S.","non-dropping-particle":"","parse-names":false,"suffix":""},{"dropping-particle":"","family":"Papathanassiou","given":"A.","non-dropping-particle":"","parse-names":false,"suffix":""},{"dropping-particle":"","family":"Valamoti","given":"S.M.","non-dropping-particle":"","parse-names":false,"suffix":""}],"container-title":"Antiquity","id":"ITEM-4","issued":{"date-parts":[["2013"]]},"page":"1-4","title":"New evidence on the beginning of farming in Greece: the Early Neolithic settlement of Mavropigi in western Macedonia (Greece)","type":"article-journal","volume":"87"},"uris":["http://www.mendeley.com/documents/?uuid=75acadd3-6136-4725-a96c-8ea809524316"]},{"id":"ITEM-5","itemData":{"author":[{"dropping-particle":"","family":"Karamitrou-Mentessidi","given":"Georgia","non-dropping-particle":"","parse-names":false,"suffix":""}],"container-title":"A century of research in prehistoric Macedonia 1912-2012","editor":[{"dropping-particle":"","family":"Stephani","given":"E","non-dropping-particle":"","parse-names":false,"suffix":""},{"dropping-particle":"","family":"Merousis","given":"N","non-dropping-particle":"","parse-names":false,"suffix":""},{"dropping-particle":"","family":"Dimoula","given":"A","non-dropping-particle":"","parse-names":false,"suffix":""}],"id":"ITEM-5","issued":{"date-parts":[["2014"]]},"page":"223-250","publisher-place":"Thessaloniki","title":"About prehistoric sites in western Macedonia: prefectures of Kozani and Grevena","type":"paper-conference"},"uris":["http://www.mendeley.com/documents/?uuid=a79914c2-8b0d-405b-82c6-e9f4b16dc013"]},{"id":"ITEM-6","itemData":{"author":[{"dropping-particle":"","family":"Maniatis","given":"Y","non-dropping-particle":"","parse-names":false,"suffix":""}],"container-title":"A century of research in prehistoric Macedonia 1912-2012 Research in prehistoric Macedonia 1912-2012","editor":[{"dropping-particle":"","family":"Stefani","given":"E","non-dropping-particle":"","parse-names":false,"suffix":""},{"dropping-particle":"","family":"Merousis","given":"N","non-dropping-particle":"","parse-names":false,"suffix":""},{"dropping-particle":"","family":"Dimoula","given":"A","non-dropping-particle":"","parse-names":false,"suffix":""}],"id":"ITEM-6","issued":{"date-parts":[["2014"]]},"page":"205-222","publisher-place":"Archaeological Museum of Thessaloniki,","title":"Radiocarbon dating of the major cultural phases in prehistoric Macedonia: Recent developments","type":"paper-conference"},"uris":["http://www.mendeley.com/documents/?uuid=bbe5f695-1901-4ae0-8a00-13d2bb3f2a99"]},{"id":"ITEM-7","itemData":{"author":[{"dropping-particle":"","family":"Karamitrou-Mentessidi","given":"G.","non-dropping-particle":"","parse-names":false,"suffix":""},{"dropping-particle":"","family":"Efstratiou","given":"N.","non-dropping-particle":"","parse-names":false,"suffix":""},{"dropping-particle":"","family":"Kaczanowska","given":"M.","non-dropping-particle":"","parse-names":false,"suffix":""},{"dropping-particle":"","family":"Kozłowski","given":"J.","non-dropping-particle":"","parse-names":false,"suffix":""}],"container-title":"Eurasian Prehistory","id":"ITEM-7","issue":"1-2","issued":{"date-parts":[["2015"]]},"page":"47-116","title":"Early Neolithic Settlement of Mavropigi in Western Greek Macedonia","type":"article-journal","volume":"12"},"uris":["http://www.mendeley.com/documents/?uuid=29b9870d-d856-43f6-8731-25e36adfafa7"]},{"id":"ITEM-8","itemData":{"author":[{"dropping-particle":"","family":"Michalopoulou","given":"S","non-dropping-particle":"","parse-names":false,"suffix":""}],"id":"ITEM-8","issued":{"date-parts":[["2017"]]},"number-of-pages":"1054","publisher":"University of Athens","title":"Early Neolithic in Western Macedonia, Greece: the contribution of the zooarchaeological study from the sites Fyllotsairi -Mavropigi and Portes - Ksirolimni","type":"thesis"},"uris":["http://www.mendeley.com/documents/?uuid=c4d067e1-64e9-4009-9a60-18fd2f3787b9"]},{"id":"ITEM-9","itemData":{"author":[{"dropping-particle":"","family":"Starnini","given":"E.","non-dropping-particle":"","parse-names":false,"suffix":""}],"container-title":"Eurasian Prehistory","id":"ITEM-9","issue":"1-2","issued":{"date-parts":[["2018"]]},"page":"55-152","title":"The figurines from the Early Neolithic settlement of Mavropigi (Western Macedonia-Greece) and their significance in the neolithization process of Greece","type":"article-journal","volume":"14"},"uris":["http://www.mendeley.com/documents/?uuid=58e2fd73-ed34-4e6f-be11-ebf8be25cad6"]},{"id":"ITEM-10","itemData":{"author":[{"dropping-particle":"","family":"Douka","given":"K","non-dropping-particle":"","parse-names":false,"suffix":""},{"dropping-particle":"","family":"Efstratiou","given":"N","non-dropping-particle":"","parse-names":false,"suffix":""},{"dropping-particle":"","family":"Moundrea-Agrafioti","given":"Α","non-dropping-particle":"","parse-names":false,"suffix":""},{"dropping-particle":"","family":"Karamitrou-Mentessidi","given":"G","non-dropping-particle":"","parse-names":false,"suffix":""}],"container-title":"Early Neolithic of Europe, 6-8 November","id":"ITEM-10","issued":{"date-parts":[["2019"]]},"publisher":"CSIC and Maritim Museum of Barcelona","title":"Dating the Early Neolithic of mainland of Greece, with a focus on Thessaly and Macedonia","type":"paper-conference"},"uris":["http://www.mendeley.com/documents/?uuid=fc5d1e0e-4c54-4a8b-a6ea-62ef78ae82a0"]},{"id":"ITEM-11","itemData":{"author":[{"dropping-particle":"","family":"Bonga","given":"Lily","non-dropping-particle":"","parse-names":false,"suffix":""}],"container-title":"Athens University Review of Archaeology","id":"ITEM-11","issued":{"date-parts":[["2020"]]},"page":"9-62","title":"Pioneering potters: Early Neolithic ceramics from Mavropigi-Fillotsairi, Western Macedonia","type":"paper-conference"},"uris":["http://www.mendeley.com/documents/?uuid=3907e076-6d89-49e7-b934-70b49a897849"]},{"id":"ITEM-12","itemData":{"DOI":"10.1038/s41598-020-64939-9","ISSN":"2045-2322","abstract":"The house mouse ( Mus musculus ) represents the extreme of globalization of invasive mammals. However, the timing and basis of its origin and early phases of dispersal remain poorly documented. To track its synanthropisation and subsequent invasive spread during the develoment of complex human societies, we analyzed 829 Mus specimens from 43 archaeological contexts in Southwestern Asia and Southeastern Europe, between 40,000 and 3,000 cal. BP, combining geometric morphometrics numerical taxonomy, ancient mitochondrial DNA and direct radiocarbon dating. We found that large late hunter-gatherer sedentary settlements in the Levant, c. 14,500 cal. BP, promoted the commensal behaviour of the house mouse, which probably led the commensal pathway to cat domestication. House mouse invasive spread was then fostered through the emergence of agriculture throughout the Near East 12,000 years ago. Stowaway transport of house mice to Cyprus can be inferred as early as 10,800 years ago. However, the house mouse invasion of Europe did not happen until the development of proto urbanism and exchange networks — 6,500 years ago in Eastern Europe and 4000 years ago in Southern Europe — which in turn may have driven the first human mediated dispersal of cats in Europe.","author":[{"dropping-particle":"","family":"Cucchi","given":"Thomas","non-dropping-particle":"","parse-names":false,"suffix":""},{"dropping-particle":"","family":"Papayianni","given":"Katerina","non-dropping-particle":"","parse-names":false,"suffix":""},{"dropping-particle":"","family":"Cersoy","given":"Sophie","non-dropping-particle":"","parse-names":false,"suffix":""},{"dropping-particle":"","family":"Aznar-Cormano","given":"Laetitia","non-dropping-particle":"","parse-names":false,"suffix":""},{"dropping-particle":"","family":"Zazzo","given":"Antoine","non-dropping-particle":"","parse-names":false,"suffix":""},{"dropping-particle":"","family":"Debruyne","given":"Régis","non-dropping-particle":"","parse-names":false,"suffix":""},{"dropping-particle":"","family":"Berthon","given":"Rémi","non-dropping-particle":"","parse-names":false,"suffix":""},{"dropping-particle":"","family":"Bălășescu","given":"Adrian","non-dropping-particle":"","parse-names":false,"suffix":""},{"dropping-particle":"","family":"Simmons","given":"Alan","non-dropping-particle":"","parse-names":false,"suffix":""},{"dropping-particle":"","family":"Valla","given":"François","non-dropping-particle":"","parse-names":false,"suffix":""},{"dropping-particle":"","family":"Hamilakis","given":"Yannis","non-dropping-particle":"","parse-names":false,"suffix":""},{"dropping-particle":"","family":"Mavridis","given":"Fanis","non-dropping-particle":"","parse-names":false,"suffix":""},{"dropping-particle":"","family":"Mashkour","given":"Marjan","non-dropping-particle":"","parse-names":false,"suffix":""},{"dropping-particle":"","family":"Darvish","given":"Jamshid","non-dropping-particle":"","parse-names":false,"suffix":""},{"dropping-particle":"","family":"Siahsarvi","given":"Roohollah","non-dropping-particle":"","parse-names":false,"suffix":""},{"dropping-particle":"","family":"Biglari","given":"Fereidoun","non-dropping-particle":"","parse-names":false,"suffix":""},{"dropping-particle":"","family":"Petrie","given":"Cameron A.","non-dropping-particle":"","parse-names":false,"suffix":""},{"dropping-particle":"","family":"Weeks","given":"Lloyd","non-dropping-particle":"","parse-names":false,"suffix":""},{"dropping-particle":"","family":"Sardari","given":"Alireza","non-dropping-particle":"","parse-names":false,"suffix":""},{"dropping-particle":"","family":"Maziar","given":"Sepideh","non-dropping-particle":"","parse-names":false,"suffix":""},{"dropping-particle":"","family":"Denys","given":"Christiane","non-dropping-particle":"","parse-names":false,"suffix":""},{"dropping-particle":"","family":"Orton","given":"David","non-dropping-particle":"","parse-names":false,"suffix":""},{"dropping-particle":"","family":"Jenkins","given":"Emma","non-dropping-particle":"","parse-names":false,"suffix":""},{"dropping-particle":"","family":"Zeder","given":"Melinda","non-dropping-particle":"","parse-names":false,"suffix":""},{"dropping-particle":"","family":"Searle","given":"Jeremy B.","non-dropping-particle":"","parse-names":false,"suffix":""},{"dropping-particle":"","family":"Larson","given":"Greger","non-dropping-particle":"","parse-names":false,"suffix":""},{"dropping-particle":"","family":"Bonhomme","given":"François","non-dropping-particle":"","parse-names":false,"suffix":""},{"dropping-particle":"","family":"Auffray","given":"Jean-Christophe","non-dropping-particle":"","parse-names":false,"suffix":""},{"dropping-particle":"","family":"Vigne","given":"Jean-Denis","non-dropping-particle":"","parse-names":false,"suffix":""}],"container-title":"Scientific Reports","id":"ITEM-12","issue":"1","issued":{"date-parts":[["2020","12","19"]]},"page":"8276","title":"Tracking the Near Eastern origins and European dispersal of the western house mouse","type":"article-journal","volume":"10"},"uris":["http://www.mendeley.com/documents/?uuid=bd771975-c0c0-4450-a601-d42125d6e46a"]}],"mendeley":{"formattedCitation":"&lt;sup&gt;10,11,16,17,22,24–27,30–32&lt;/sup&gt;","plainTextFormattedCitation":"10,11,16,17,22,24–27,30–32","previouslyFormattedCitation":"&lt;sup&gt;10,11,16,17,22,24–27,30–32&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lang w:val="fr-FR"/>
        </w:rPr>
        <w:t>10,11,16,17,22,24–27,30–32</w:t>
      </w:r>
      <w:r w:rsidR="00B031D4" w:rsidRPr="004A2B32">
        <w:rPr>
          <w:color w:val="000000" w:themeColor="text1"/>
        </w:rPr>
        <w:fldChar w:fldCharType="end"/>
      </w:r>
      <w:r w:rsidR="00554DD5" w:rsidRPr="004A2B32">
        <w:rPr>
          <w:color w:val="000000" w:themeColor="text1"/>
          <w:lang w:val="fr-FR"/>
        </w:rPr>
        <w:t>.</w:t>
      </w:r>
      <w:r w:rsidR="00194C56" w:rsidRPr="004A2B32">
        <w:rPr>
          <w:color w:val="000000" w:themeColor="text1"/>
          <w:lang w:val="fr-FR"/>
        </w:rPr>
        <w:t xml:space="preserve"> </w:t>
      </w:r>
      <w:r w:rsidR="00194C56" w:rsidRPr="004A2B32">
        <w:rPr>
          <w:color w:val="000000" w:themeColor="text1"/>
        </w:rPr>
        <w:t xml:space="preserve">The settlement of </w:t>
      </w:r>
      <w:proofErr w:type="spellStart"/>
      <w:r w:rsidR="00194C56" w:rsidRPr="004A2B32">
        <w:rPr>
          <w:color w:val="000000" w:themeColor="text1"/>
        </w:rPr>
        <w:t>Mavropigi-Fillotsairi</w:t>
      </w:r>
      <w:proofErr w:type="spellEnd"/>
      <w:r w:rsidR="00194C56" w:rsidRPr="004A2B32">
        <w:rPr>
          <w:color w:val="000000" w:themeColor="text1"/>
        </w:rPr>
        <w:t xml:space="preserve"> is one of the Early Neolithic sites in Greece (and the Balkan peninsula) offering invaluable insight in</w:t>
      </w:r>
      <w:r w:rsidR="002E300C" w:rsidRPr="004A2B32">
        <w:rPr>
          <w:color w:val="000000" w:themeColor="text1"/>
        </w:rPr>
        <w:t>to</w:t>
      </w:r>
      <w:r w:rsidR="00194C56" w:rsidRPr="004A2B32">
        <w:rPr>
          <w:color w:val="000000" w:themeColor="text1"/>
        </w:rPr>
        <w:t xml:space="preserve"> the ongoing debate </w:t>
      </w:r>
      <w:r w:rsidR="002E300C" w:rsidRPr="004A2B32">
        <w:rPr>
          <w:color w:val="000000" w:themeColor="text1"/>
        </w:rPr>
        <w:t xml:space="preserve">on the inception </w:t>
      </w:r>
      <w:r w:rsidR="00194C56" w:rsidRPr="004A2B32">
        <w:rPr>
          <w:color w:val="000000" w:themeColor="text1"/>
        </w:rPr>
        <w:t>of the Neolithic in Europe.</w:t>
      </w:r>
    </w:p>
    <w:p w14:paraId="2193B1E9" w14:textId="558F166B" w:rsidR="00194C56" w:rsidRPr="004A2B32" w:rsidRDefault="00194C56">
      <w:pPr>
        <w:spacing w:after="0"/>
        <w:ind w:firstLine="720"/>
        <w:jc w:val="both"/>
        <w:rPr>
          <w:color w:val="000000" w:themeColor="text1"/>
        </w:rPr>
      </w:pPr>
      <w:r w:rsidRPr="004A2B32">
        <w:rPr>
          <w:color w:val="000000" w:themeColor="text1"/>
        </w:rPr>
        <w:t>Samples Mau1(burial n</w:t>
      </w:r>
      <w:r w:rsidR="002E300C" w:rsidRPr="004A2B32">
        <w:rPr>
          <w:color w:val="000000" w:themeColor="text1"/>
        </w:rPr>
        <w:t>o.</w:t>
      </w:r>
      <w:r w:rsidRPr="004A2B32">
        <w:rPr>
          <w:color w:val="000000" w:themeColor="text1"/>
        </w:rPr>
        <w:t xml:space="preserve"> 3) belongs to a 15-year old subadult individual, Mau2 (burial </w:t>
      </w:r>
      <w:r w:rsidR="002E300C" w:rsidRPr="004A2B32">
        <w:rPr>
          <w:color w:val="000000" w:themeColor="text1"/>
        </w:rPr>
        <w:t xml:space="preserve">no. </w:t>
      </w:r>
      <w:r w:rsidRPr="004A2B32">
        <w:rPr>
          <w:color w:val="000000" w:themeColor="text1"/>
        </w:rPr>
        <w:t xml:space="preserve">5) belong to a 35-year-old woman </w:t>
      </w:r>
      <w:r w:rsidR="00B031D4" w:rsidRPr="004A2B32">
        <w:rPr>
          <w:color w:val="000000" w:themeColor="text1"/>
        </w:rPr>
        <w:fldChar w:fldCharType="begin" w:fldLock="1"/>
      </w:r>
      <w:r w:rsidR="00BE2180">
        <w:rPr>
          <w:color w:val="000000" w:themeColor="text1"/>
        </w:rPr>
        <w:instrText>ADDIN CSL_CITATION {"citationItems":[{"id":"ITEM-1","itemData":{"author":[{"dropping-particle":"","family":"Papathanasiou","given":"Anastasia","non-dropping-particle":"","parse-names":false,"suffix":""},{"dropping-particle":"","family":"Richards","given":"Michael P","non-dropping-particle":"","parse-names":false,"suffix":""}],"container-title":"AEAM 1","id":"ITEM-1","issued":{"date-parts":[["2009"]]},"page":"257-274","title":"Anthropologika kataloipa apo tis proimes theseis Mavropigis, Ksirolimnis kai Pontokomis tis Archaioteris Neolithikis sti Ditiki Makedonia","type":"chapter"},"uris":["http://www.mendeley.com/documents/?uuid=b3afa17e-0318-41cc-83b9-746fa6c652e3"]}],"mendeley":{"formattedCitation":"&lt;sup&gt;26&lt;/sup&gt;","plainTextFormattedCitation":"26","previouslyFormattedCitation":"&lt;sup&gt;26&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26</w:t>
      </w:r>
      <w:r w:rsidR="00B031D4" w:rsidRPr="004A2B32">
        <w:rPr>
          <w:color w:val="000000" w:themeColor="text1"/>
        </w:rPr>
        <w:fldChar w:fldCharType="end"/>
      </w:r>
      <w:r w:rsidRPr="004A2B32">
        <w:rPr>
          <w:color w:val="000000" w:themeColor="text1"/>
        </w:rPr>
        <w:t xml:space="preserve">. Direct </w:t>
      </w:r>
      <w:r w:rsidRPr="004A2B32">
        <w:rPr>
          <w:color w:val="000000" w:themeColor="text1"/>
          <w:vertAlign w:val="superscript"/>
        </w:rPr>
        <w:t>14</w:t>
      </w:r>
      <w:r w:rsidRPr="004A2B32">
        <w:rPr>
          <w:color w:val="000000" w:themeColor="text1"/>
        </w:rPr>
        <w:t xml:space="preserve">C analysis </w:t>
      </w:r>
      <w:r w:rsidR="002E300C" w:rsidRPr="004A2B32">
        <w:rPr>
          <w:color w:val="000000" w:themeColor="text1"/>
        </w:rPr>
        <w:t xml:space="preserve">of </w:t>
      </w:r>
      <w:r w:rsidRPr="004A2B32">
        <w:rPr>
          <w:color w:val="000000" w:themeColor="text1"/>
        </w:rPr>
        <w:t>the Mau1</w:t>
      </w:r>
      <w:r w:rsidR="002E300C" w:rsidRPr="004A2B32">
        <w:rPr>
          <w:color w:val="000000" w:themeColor="text1"/>
        </w:rPr>
        <w:t xml:space="preserve"> skeleton </w:t>
      </w:r>
      <w:r w:rsidRPr="004A2B32">
        <w:rPr>
          <w:color w:val="000000" w:themeColor="text1"/>
        </w:rPr>
        <w:t>and dates</w:t>
      </w:r>
      <w:r w:rsidR="002E300C" w:rsidRPr="004A2B32">
        <w:rPr>
          <w:color w:val="000000" w:themeColor="text1"/>
        </w:rPr>
        <w:t xml:space="preserve"> this</w:t>
      </w:r>
      <w:r w:rsidRPr="004A2B32">
        <w:rPr>
          <w:color w:val="000000" w:themeColor="text1"/>
        </w:rPr>
        <w:t xml:space="preserve"> to 7</w:t>
      </w:r>
      <w:r w:rsidR="00DB28E4" w:rsidRPr="004A2B32">
        <w:rPr>
          <w:color w:val="000000" w:themeColor="text1"/>
        </w:rPr>
        <w:t>,</w:t>
      </w:r>
      <w:r w:rsidRPr="004A2B32">
        <w:rPr>
          <w:color w:val="000000" w:themeColor="text1"/>
        </w:rPr>
        <w:t>463±36BP/ /6</w:t>
      </w:r>
      <w:r w:rsidR="00DB28E4" w:rsidRPr="004A2B32">
        <w:rPr>
          <w:color w:val="000000" w:themeColor="text1"/>
        </w:rPr>
        <w:t>,</w:t>
      </w:r>
      <w:r w:rsidRPr="004A2B32">
        <w:rPr>
          <w:color w:val="000000" w:themeColor="text1"/>
        </w:rPr>
        <w:t xml:space="preserve">333±56 2σ </w:t>
      </w:r>
      <w:proofErr w:type="spellStart"/>
      <w:r w:rsidRPr="004A2B32">
        <w:rPr>
          <w:color w:val="000000" w:themeColor="text1"/>
        </w:rPr>
        <w:t>cal</w:t>
      </w:r>
      <w:proofErr w:type="spellEnd"/>
      <w:r w:rsidRPr="004A2B32">
        <w:rPr>
          <w:color w:val="000000" w:themeColor="text1"/>
        </w:rPr>
        <w:t xml:space="preserve"> BC.</w:t>
      </w:r>
    </w:p>
    <w:p w14:paraId="06CD43E3" w14:textId="35EC9010" w:rsidR="00194C56" w:rsidRDefault="00194C56" w:rsidP="00D820C9">
      <w:pPr>
        <w:rPr>
          <w:color w:val="000000" w:themeColor="text1"/>
        </w:rPr>
      </w:pPr>
      <w:r w:rsidRPr="004A2B32">
        <w:rPr>
          <w:color w:val="000000" w:themeColor="text1"/>
        </w:rPr>
        <w:t xml:space="preserve">In the present study we </w:t>
      </w:r>
      <w:proofErr w:type="spellStart"/>
      <w:r w:rsidRPr="004A2B32">
        <w:rPr>
          <w:color w:val="000000" w:themeColor="text1"/>
        </w:rPr>
        <w:t>analysed</w:t>
      </w:r>
      <w:proofErr w:type="spellEnd"/>
      <w:r w:rsidRPr="004A2B32">
        <w:rPr>
          <w:color w:val="000000" w:themeColor="text1"/>
        </w:rPr>
        <w:t xml:space="preserve"> teeth from two individuals (Mau1</w:t>
      </w:r>
      <w:r w:rsidR="001E3B31" w:rsidRPr="001E3B31">
        <w:rPr>
          <w:color w:val="000000" w:themeColor="text1"/>
        </w:rPr>
        <w:t xml:space="preserve">, </w:t>
      </w:r>
      <w:r w:rsidRPr="004A2B32">
        <w:rPr>
          <w:color w:val="000000" w:themeColor="text1"/>
        </w:rPr>
        <w:t>Mau2) and long bones from two</w:t>
      </w:r>
      <w:r w:rsidR="002E300C" w:rsidRPr="004A2B32">
        <w:rPr>
          <w:color w:val="000000" w:themeColor="text1"/>
        </w:rPr>
        <w:t xml:space="preserve"> further</w:t>
      </w:r>
      <w:r w:rsidRPr="004A2B32">
        <w:rPr>
          <w:color w:val="000000" w:themeColor="text1"/>
        </w:rPr>
        <w:t xml:space="preserve"> individuals (Mau4, Mau5)</w:t>
      </w:r>
      <w:r w:rsidR="004843CE" w:rsidRPr="004A2B32">
        <w:rPr>
          <w:color w:val="000000" w:themeColor="text1"/>
        </w:rPr>
        <w:t xml:space="preserve"> </w:t>
      </w:r>
      <w:r w:rsidR="004E1AE1" w:rsidRPr="004A2B32">
        <w:rPr>
          <w:color w:val="000000" w:themeColor="text1"/>
        </w:rPr>
        <w:t>(Table S1)</w:t>
      </w:r>
      <w:r w:rsidRPr="004A2B32">
        <w:rPr>
          <w:color w:val="000000" w:themeColor="text1"/>
        </w:rPr>
        <w:t xml:space="preserve">.  </w:t>
      </w:r>
    </w:p>
    <w:p w14:paraId="56640AFC" w14:textId="77777777" w:rsidR="00FA6003" w:rsidRPr="004A2B32" w:rsidRDefault="00FA6003" w:rsidP="00D820C9">
      <w:pPr>
        <w:rPr>
          <w:color w:val="000000" w:themeColor="text1"/>
        </w:rPr>
      </w:pPr>
    </w:p>
    <w:p w14:paraId="0BB21EE7" w14:textId="5CC67034" w:rsidR="00194C56" w:rsidRPr="004A2B32" w:rsidRDefault="00194C56" w:rsidP="00D820C9">
      <w:pPr>
        <w:pStyle w:val="4"/>
        <w:rPr>
          <w:color w:val="000000" w:themeColor="text1"/>
          <w:sz w:val="22"/>
          <w:szCs w:val="22"/>
        </w:rPr>
      </w:pPr>
      <w:proofErr w:type="spellStart"/>
      <w:r w:rsidRPr="004A2B32">
        <w:rPr>
          <w:color w:val="000000" w:themeColor="text1"/>
          <w:sz w:val="22"/>
          <w:szCs w:val="22"/>
        </w:rPr>
        <w:t>Xirolim</w:t>
      </w:r>
      <w:r w:rsidR="002E300C" w:rsidRPr="004A2B32">
        <w:rPr>
          <w:color w:val="000000" w:themeColor="text1"/>
          <w:sz w:val="22"/>
          <w:szCs w:val="22"/>
        </w:rPr>
        <w:t>n</w:t>
      </w:r>
      <w:r w:rsidRPr="004A2B32">
        <w:rPr>
          <w:color w:val="000000" w:themeColor="text1"/>
          <w:sz w:val="22"/>
          <w:szCs w:val="22"/>
        </w:rPr>
        <w:t>i-Portes</w:t>
      </w:r>
      <w:proofErr w:type="spellEnd"/>
      <w:r w:rsidRPr="004A2B32">
        <w:rPr>
          <w:color w:val="000000" w:themeColor="text1"/>
          <w:sz w:val="22"/>
          <w:szCs w:val="22"/>
        </w:rPr>
        <w:t xml:space="preserve">: An Early Neolithic settlement in </w:t>
      </w:r>
      <w:r w:rsidR="007E2C45">
        <w:rPr>
          <w:color w:val="000000" w:themeColor="text1"/>
          <w:sz w:val="22"/>
          <w:szCs w:val="22"/>
        </w:rPr>
        <w:t>w</w:t>
      </w:r>
      <w:r w:rsidRPr="004A2B32">
        <w:rPr>
          <w:color w:val="000000" w:themeColor="text1"/>
          <w:sz w:val="22"/>
          <w:szCs w:val="22"/>
        </w:rPr>
        <w:t>estern Macedonia (Greece)</w:t>
      </w:r>
    </w:p>
    <w:p w14:paraId="4B5849AD" w14:textId="6E5E0EFC" w:rsidR="00194C56" w:rsidRPr="004A2B32" w:rsidRDefault="00194C56" w:rsidP="00DB28E4">
      <w:pPr>
        <w:spacing w:after="0"/>
        <w:jc w:val="both"/>
        <w:rPr>
          <w:color w:val="000000" w:themeColor="text1"/>
        </w:rPr>
      </w:pPr>
      <w:r w:rsidRPr="004A2B32">
        <w:rPr>
          <w:color w:val="000000" w:themeColor="text1"/>
        </w:rPr>
        <w:t xml:space="preserve">The site </w:t>
      </w:r>
      <w:proofErr w:type="spellStart"/>
      <w:r w:rsidRPr="004A2B32">
        <w:rPr>
          <w:color w:val="000000" w:themeColor="text1"/>
        </w:rPr>
        <w:t>Portes</w:t>
      </w:r>
      <w:proofErr w:type="spellEnd"/>
      <w:r w:rsidRPr="004A2B32">
        <w:rPr>
          <w:color w:val="000000" w:themeColor="text1"/>
        </w:rPr>
        <w:t xml:space="preserve">, close to the modern village of </w:t>
      </w:r>
      <w:proofErr w:type="spellStart"/>
      <w:r w:rsidRPr="004A2B32">
        <w:rPr>
          <w:color w:val="000000" w:themeColor="text1"/>
        </w:rPr>
        <w:t>Xirolimni</w:t>
      </w:r>
      <w:proofErr w:type="spellEnd"/>
      <w:r w:rsidRPr="004A2B32">
        <w:rPr>
          <w:color w:val="000000" w:themeColor="text1"/>
        </w:rPr>
        <w:t>, was first discovered in 1993</w:t>
      </w:r>
      <w:r w:rsidR="00B031D4" w:rsidRPr="004A2B32">
        <w:rPr>
          <w:color w:val="000000" w:themeColor="text1"/>
        </w:rPr>
        <w:fldChar w:fldCharType="begin" w:fldLock="1"/>
      </w:r>
      <w:r w:rsidR="00BE2180">
        <w:rPr>
          <w:color w:val="000000" w:themeColor="text1"/>
        </w:rPr>
        <w:instrText>ADDIN CSL_CITATION {"citationItems":[{"id":"ITEM-1","itemData":{"author":[{"dropping-particle":"","family":"Karamitrou-Mentessidi","given":"Georgia","non-dropping-particle":"","parse-names":false,"suffix":""}],"id":"ITEM-1","issued":{"date-parts":[["1999"]]},"page":"104, 108, 212-215","title":"Voion-Notia Orestis: archaeologiki ereuna kai historiki topographia","type":"chapter"},"uris":["http://www.mendeley.com/documents/?uuid=8df9784d-08fa-4ff1-84d9-8708c85ddeab"]},{"id":"ITEM-2","itemData":{"author":[{"dropping-particle":"","family":"Karamitrou-Mentessidi","given":"Georgia","non-dropping-particle":"","parse-names":false,"suffix":""}],"container-title":"Archaeologikon Deltion","id":"ITEM-2","issued":{"date-parts":[["1993"]]},"page":"380-381","publisher":"Ministry of Culture","title":"Xirolimni","type":"paper-conference","volume":"48"},"uris":["http://www.mendeley.com/documents/?uuid=3dc0a654-7a45-46ae-a06f-f6ed04847a50"]}],"mendeley":{"formattedCitation":"&lt;sup&gt;33,34&lt;/sup&gt;","plainTextFormattedCitation":"33,34","previouslyFormattedCitation":"&lt;sup&gt;33,34&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33,34</w:t>
      </w:r>
      <w:r w:rsidR="00B031D4" w:rsidRPr="004A2B32">
        <w:rPr>
          <w:color w:val="000000" w:themeColor="text1"/>
        </w:rPr>
        <w:fldChar w:fldCharType="end"/>
      </w:r>
      <w:r w:rsidRPr="004A2B32">
        <w:rPr>
          <w:color w:val="000000" w:themeColor="text1"/>
        </w:rPr>
        <w:t xml:space="preserve">. The archaeological site (officially named </w:t>
      </w:r>
      <w:proofErr w:type="spellStart"/>
      <w:r w:rsidRPr="004A2B32">
        <w:rPr>
          <w:color w:val="000000" w:themeColor="text1"/>
        </w:rPr>
        <w:t>Xirolimni-Portes</w:t>
      </w:r>
      <w:proofErr w:type="spellEnd"/>
      <w:r w:rsidRPr="004A2B32">
        <w:rPr>
          <w:color w:val="000000" w:themeColor="text1"/>
        </w:rPr>
        <w:t xml:space="preserve">) is located on the narrow passage between the </w:t>
      </w:r>
      <w:proofErr w:type="spellStart"/>
      <w:r w:rsidRPr="004A2B32">
        <w:rPr>
          <w:color w:val="000000" w:themeColor="text1"/>
        </w:rPr>
        <w:t>Vermion</w:t>
      </w:r>
      <w:proofErr w:type="spellEnd"/>
      <w:r w:rsidRPr="004A2B32">
        <w:rPr>
          <w:color w:val="000000" w:themeColor="text1"/>
        </w:rPr>
        <w:t xml:space="preserve"> and </w:t>
      </w:r>
      <w:proofErr w:type="spellStart"/>
      <w:r w:rsidRPr="004A2B32">
        <w:rPr>
          <w:color w:val="000000" w:themeColor="text1"/>
        </w:rPr>
        <w:t>Askion</w:t>
      </w:r>
      <w:proofErr w:type="spellEnd"/>
      <w:r w:rsidRPr="004A2B32">
        <w:rPr>
          <w:color w:val="000000" w:themeColor="text1"/>
        </w:rPr>
        <w:t xml:space="preserve"> Mountains, that leads to </w:t>
      </w:r>
      <w:r w:rsidR="007E2C45">
        <w:rPr>
          <w:color w:val="000000" w:themeColor="text1"/>
        </w:rPr>
        <w:t>w</w:t>
      </w:r>
      <w:r w:rsidRPr="004A2B32">
        <w:rPr>
          <w:color w:val="000000" w:themeColor="text1"/>
        </w:rPr>
        <w:t xml:space="preserve">estern Greece. </w:t>
      </w:r>
      <w:r w:rsidR="002E300C" w:rsidRPr="004A2B32">
        <w:rPr>
          <w:color w:val="000000" w:themeColor="text1"/>
        </w:rPr>
        <w:t>E</w:t>
      </w:r>
      <w:r w:rsidRPr="004A2B32">
        <w:rPr>
          <w:color w:val="000000" w:themeColor="text1"/>
        </w:rPr>
        <w:t>xtensive rescue excavations in three sectors beg</w:t>
      </w:r>
      <w:r w:rsidR="002E300C" w:rsidRPr="004A2B32">
        <w:rPr>
          <w:color w:val="000000" w:themeColor="text1"/>
        </w:rPr>
        <w:t>a</w:t>
      </w:r>
      <w:r w:rsidRPr="004A2B32">
        <w:rPr>
          <w:color w:val="000000" w:themeColor="text1"/>
        </w:rPr>
        <w:t xml:space="preserve">n </w:t>
      </w:r>
      <w:r w:rsidR="002E300C" w:rsidRPr="004A2B32">
        <w:rPr>
          <w:color w:val="000000" w:themeColor="text1"/>
        </w:rPr>
        <w:t>in advance</w:t>
      </w:r>
      <w:r w:rsidRPr="004A2B32">
        <w:rPr>
          <w:color w:val="000000" w:themeColor="text1"/>
        </w:rPr>
        <w:t xml:space="preserve"> of the construction of the national road Via Egnatia</w:t>
      </w:r>
      <w:r w:rsidR="00B031D4" w:rsidRPr="004A2B32">
        <w:rPr>
          <w:color w:val="000000" w:themeColor="text1"/>
        </w:rPr>
        <w:fldChar w:fldCharType="begin" w:fldLock="1"/>
      </w:r>
      <w:r w:rsidR="00BE2180">
        <w:rPr>
          <w:color w:val="000000" w:themeColor="text1"/>
        </w:rPr>
        <w:instrText>ADDIN CSL_CITATION {"citationItems":[{"id":"ITEM-1","itemData":{"author":[{"dropping-particle":"","family":"Karamitrou-Mentessidi","given":"Georgia","non-dropping-particle":"","parse-names":false,"suffix":""}],"container-title":"Archaeologikon Deltion","id":"ITEM-1","issued":{"date-parts":[["1998"]]},"page":"671-673","publisher":"Ministry of Culture","title":"Xirolimni-Thesi Porta","type":"paper-conference"},"uris":["http://www.mendeley.com/documents/?uuid=2dca9d09-677d-411d-a7e1-709c1ac3ca01"]},{"id":"ITEM-2","itemData":{"author":[{"dropping-particle":"","family":"Karamitrou-Mentessidi","given":"Georgia","non-dropping-particle":"","parse-names":false,"suffix":""}],"container-title":"AEMTh 12","editor":[{"dropping-particle":"","family":"Adam-Veleni","given":"P","non-dropping-particle":"","parse-names":false,"suffix":""}],"id":"ITEM-2","issued":{"date-parts":[["1998"]]},"page":"465-480","publisher":"Ministry of Culture","title":"Xirolimni Kozanis 1998","type":"paper-conference"},"uris":["http://www.mendeley.com/documents/?uuid=cb11c130-f6ef-44de-9379-c5395669c7b0"]},{"id":"ITEM-3","itemData":{"author":[{"dropping-particle":"","family":"Karamitrou-Mentessidi","given":"Georgia","non-dropping-particle":"","parse-names":false,"suffix":""}],"container-title":"Archaeologikon Deltion","id":"ITEM-3","issue":"B2","issued":{"date-parts":[["1999"]]},"page":"629-632","publisher":"Ministry of Culture","title":"Xirolimni","type":"paper-conference","volume":"54"},"uris":["http://www.mendeley.com/documents/?uuid=a199500a-7346-4b43-9e3f-aa84159b5d70"]},{"id":"ITEM-4","itemData":{"author":[{"dropping-particle":"","family":"Karamitrou-Mentessidi","given":"Georgia","non-dropping-particle":"","parse-names":false,"suffix":""}],"id":"ITEM-4","issued":{"date-parts":[["1999"]]},"page":"104, 108, 212-215","title":"Voion-Notia Orestis: archaeologiki ereuna kai historiki topographia","type":"chapter"},"uris":["http://www.mendeley.com/documents/?uuid=8df9784d-08fa-4ff1-84d9-8708c85ddeab"]},{"id":"ITEM-5","itemData":{"author":[{"dropping-particle":"","family":"Karamitrou-Mentessidi","given":"Georgia","non-dropping-particle":"","parse-names":false,"suffix":""}],"container-title":"Archaeologikon Deltion","id":"ITEM-5","issue":"B2","issued":{"date-parts":[["2000"]]},"page":"794-796","publisher":"Ministry of Culture","title":"Xirolimni","type":"paper-conference","volume":"55"},"uris":["http://www.mendeley.com/documents/?uuid=b819681a-1014-4c24-a680-7bd8de64284a"]},{"id":"ITEM-6","itemData":{"author":[{"dropping-particle":"","family":"Karamitrou-Mentessidi","given":"Georgia","non-dropping-particle":"","parse-names":false,"suffix":""}],"container-title":"Archaeologikon Deltion","id":"ITEM-6","issue":"B3β","issued":{"date-parts":[["2001"]]},"page":"379","publisher":"Ministry of Culture","title":"Prefecture of Kozani","type":"article","volume":"56-59"},"uris":["http://www.mendeley.com/documents/?uuid=111be5a4-f96b-4abc-a3e1-378a729e9bd8"]},{"id":"ITEM-7","itemData":{"author":[{"dropping-particle":"","family":"Karamitrou-Mentessidi","given":"Georgia","non-dropping-particle":"","parse-names":false,"suffix":""}],"container-title":"Kozani kai Grevena, O Choros kai oi Anthropoi","id":"ITEM-7","issued":{"date-parts":[["2004"]]},"page":"249-256, 270-282","title":"O Nomos Kozanis stin Proistoriki, Archaici-Classiki, Hellenistiki kai Romaiki Epochi","type":"chapter"},"uris":["http://www.mendeley.com/documents/?uuid=b0feccba-d790-49ee-a1a2-d0dc63d29940"]},{"id":"ITEM-8","itemData":{"author":[{"dropping-particle":"","family":"Karamitrou-Mentessidi","given":"Georgia","non-dropping-particle":"","parse-names":false,"suffix":""}],"container-title":"AEMTH 20 years","editor":[{"dropping-particle":"","family":"Adam-Veleni","given":"P","non-dropping-particle":"","parse-names":false,"suffix":""},{"dropping-particle":"","family":"Tzanavari","given":"K","non-dropping-particle":"","parse-names":false,"suffix":""}],"id":"ITEM-8","issued":{"date-parts":[["2009"]]},"page":"105-126","publisher":"Ministry of Culture","title":"Aiani and the Prefecture of Kozani: ten years of survey","type":"paper-conference"},"uris":["http://www.mendeley.com/documents/?uuid=40fe1239-019a-4838-9e5e-c07d46ff1d51"]}],"mendeley":{"formattedCitation":"&lt;sup&gt;14,33,35–40&lt;/sup&gt;","plainTextFormattedCitation":"14,33,35–40","previouslyFormattedCitation":"&lt;sup&gt;14,33,35–40&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14,33,35–40</w:t>
      </w:r>
      <w:r w:rsidR="00B031D4" w:rsidRPr="004A2B32">
        <w:rPr>
          <w:color w:val="000000" w:themeColor="text1"/>
        </w:rPr>
        <w:fldChar w:fldCharType="end"/>
      </w:r>
      <w:r w:rsidR="00556B31" w:rsidRPr="004A2B32">
        <w:rPr>
          <w:color w:val="000000" w:themeColor="text1"/>
        </w:rPr>
        <w:t>.</w:t>
      </w:r>
    </w:p>
    <w:p w14:paraId="150F4FD0" w14:textId="5D3E555F" w:rsidR="003A487A" w:rsidRPr="004A2B32" w:rsidRDefault="003A487A" w:rsidP="003A487A">
      <w:pPr>
        <w:spacing w:after="0"/>
        <w:ind w:firstLine="720"/>
        <w:jc w:val="both"/>
        <w:rPr>
          <w:color w:val="000000" w:themeColor="text1"/>
        </w:rPr>
      </w:pPr>
      <w:r w:rsidRPr="004A2B32">
        <w:rPr>
          <w:color w:val="000000" w:themeColor="text1"/>
        </w:rPr>
        <w:t xml:space="preserve">Sector A included habitation remains dating mainly into the Early Neolithic period. The archaeological site, which extended beyond the </w:t>
      </w:r>
      <w:proofErr w:type="spellStart"/>
      <w:r w:rsidRPr="004A2B32">
        <w:rPr>
          <w:color w:val="000000" w:themeColor="text1"/>
        </w:rPr>
        <w:t>Egnatia</w:t>
      </w:r>
      <w:proofErr w:type="spellEnd"/>
      <w:r w:rsidRPr="004A2B32">
        <w:rPr>
          <w:color w:val="000000" w:themeColor="text1"/>
        </w:rPr>
        <w:t xml:space="preserve"> highway, was excavated in 5.000 m² and consists of deposits that reach 2 m in depth above the natural bedrock. The settlement was established on an almost flat area. A destruction layer was uncovered over a wide area, mainly consisting of building materials from ruined structures with stone bases and dense surfaces of concentrated masses of clay, which are evidently the remains of clay-built structures</w:t>
      </w:r>
      <w:r w:rsidR="00B031D4" w:rsidRPr="004A2B32">
        <w:rPr>
          <w:color w:val="000000" w:themeColor="text1"/>
        </w:rPr>
        <w:fldChar w:fldCharType="begin" w:fldLock="1"/>
      </w:r>
      <w:r w:rsidR="00BE2180">
        <w:rPr>
          <w:color w:val="000000" w:themeColor="text1"/>
        </w:rPr>
        <w:instrText>ADDIN CSL_CITATION {"citationItems":[{"id":"ITEM-1","itemData":{"author":[{"dropping-particle":"","family":"Karamitrou-Mentessidi","given":"Georgia","non-dropping-particle":"","parse-names":false,"suffix":""}],"container-title":"AEMTH 20 years","editor":[{"dropping-particle":"","family":"Adam-Veleni","given":"P","non-dropping-particle":"","parse-names":false,"suffix":""},{"dropping-particle":"","family":"Tzanavari","given":"K","non-dropping-particle":"","parse-names":false,"suffix":""}],"id":"ITEM-1","issued":{"date-parts":[["2009"]]},"page":"105-126","publisher":"Ministry of Culture","title":"Aiani and the Prefecture of Kozani: ten years of survey","type":"paper-conference"},"uris":["http://www.mendeley.com/documents/?uuid=40fe1239-019a-4838-9e5e-c07d46ff1d51"]}],"mendeley":{"formattedCitation":"&lt;sup&gt;14&lt;/sup&gt;","plainTextFormattedCitation":"14","previouslyFormattedCitation":"&lt;sup&gt;14&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14</w:t>
      </w:r>
      <w:r w:rsidR="00B031D4" w:rsidRPr="004A2B32">
        <w:rPr>
          <w:color w:val="000000" w:themeColor="text1"/>
        </w:rPr>
        <w:fldChar w:fldCharType="end"/>
      </w:r>
      <w:r w:rsidRPr="004A2B32">
        <w:rPr>
          <w:color w:val="000000" w:themeColor="text1"/>
        </w:rPr>
        <w:t xml:space="preserve">. The clay-built structures belong to small hut dwellings made with unbaked bricks or piled clay, with or without stone bases, floors of compacted clay, and roofs of plaited straw and reeds coated with clay, and beams that would have held it up, as is attested by the existence of a considerable number of post-holes of varying sizes and at varying intervals apart. The settlement's main habitation phase may be dated to the Early Neolithic, as may the extensive destruction fill and more generally a fairly thick, brown, sandy clay fill with a high proportion of pottery and finds. It is certain that the </w:t>
      </w:r>
      <w:proofErr w:type="spellStart"/>
      <w:r w:rsidRPr="004A2B32">
        <w:rPr>
          <w:color w:val="000000" w:themeColor="text1"/>
        </w:rPr>
        <w:t>Xirolimni-Portes</w:t>
      </w:r>
      <w:proofErr w:type="spellEnd"/>
      <w:r w:rsidRPr="004A2B32">
        <w:rPr>
          <w:color w:val="000000" w:themeColor="text1"/>
        </w:rPr>
        <w:t xml:space="preserve"> settlement produced a very local type of pottery with some distinctive characteristics. </w:t>
      </w:r>
    </w:p>
    <w:p w14:paraId="07758980" w14:textId="0503C5E9" w:rsidR="00A816E5" w:rsidRPr="004A2B32" w:rsidRDefault="008C24B6" w:rsidP="00674449">
      <w:pPr>
        <w:spacing w:after="0"/>
        <w:ind w:firstLine="720"/>
        <w:jc w:val="both"/>
        <w:rPr>
          <w:color w:val="000000" w:themeColor="text1"/>
        </w:rPr>
      </w:pPr>
      <w:r w:rsidRPr="004A2B32">
        <w:rPr>
          <w:color w:val="000000" w:themeColor="text1"/>
        </w:rPr>
        <w:t>Most of the excavated objects (5</w:t>
      </w:r>
      <w:r w:rsidR="00DB28E4" w:rsidRPr="004A2B32">
        <w:rPr>
          <w:color w:val="000000" w:themeColor="text1"/>
        </w:rPr>
        <w:t>,</w:t>
      </w:r>
      <w:r w:rsidRPr="004A2B32">
        <w:rPr>
          <w:color w:val="000000" w:themeColor="text1"/>
        </w:rPr>
        <w:t xml:space="preserve">645 </w:t>
      </w:r>
      <w:r w:rsidRPr="004A2B32">
        <w:rPr>
          <w:bCs/>
          <w:color w:val="000000" w:themeColor="text1"/>
        </w:rPr>
        <w:t xml:space="preserve">from </w:t>
      </w:r>
      <w:r w:rsidR="003A487A" w:rsidRPr="004A2B32">
        <w:rPr>
          <w:bCs/>
          <w:color w:val="000000" w:themeColor="text1"/>
        </w:rPr>
        <w:t>a total of</w:t>
      </w:r>
      <w:r w:rsidR="00DB28E4" w:rsidRPr="004A2B32">
        <w:rPr>
          <w:bCs/>
          <w:color w:val="000000" w:themeColor="text1"/>
        </w:rPr>
        <w:t xml:space="preserve"> </w:t>
      </w:r>
      <w:r w:rsidRPr="004A2B32">
        <w:rPr>
          <w:color w:val="000000" w:themeColor="text1"/>
        </w:rPr>
        <w:t>9</w:t>
      </w:r>
      <w:r w:rsidR="00DB28E4" w:rsidRPr="004A2B32">
        <w:rPr>
          <w:color w:val="000000" w:themeColor="text1"/>
        </w:rPr>
        <w:t>,</w:t>
      </w:r>
      <w:r w:rsidRPr="004A2B32">
        <w:rPr>
          <w:color w:val="000000" w:themeColor="text1"/>
        </w:rPr>
        <w:t xml:space="preserve">443) date to the prehistoric </w:t>
      </w:r>
      <w:r w:rsidRPr="004A2B32">
        <w:rPr>
          <w:color w:val="000000" w:themeColor="text1"/>
        </w:rPr>
        <w:lastRenderedPageBreak/>
        <w:t xml:space="preserve">period. </w:t>
      </w:r>
      <w:r w:rsidR="005D1CB6" w:rsidRPr="004A2B32">
        <w:rPr>
          <w:color w:val="000000" w:themeColor="text1"/>
        </w:rPr>
        <w:t xml:space="preserve">The </w:t>
      </w:r>
      <w:r w:rsidR="005542F5" w:rsidRPr="004A2B32">
        <w:rPr>
          <w:color w:val="000000" w:themeColor="text1"/>
        </w:rPr>
        <w:t>find</w:t>
      </w:r>
      <w:r w:rsidRPr="004A2B32">
        <w:rPr>
          <w:color w:val="000000" w:themeColor="text1"/>
        </w:rPr>
        <w:t xml:space="preserve">s </w:t>
      </w:r>
      <w:r w:rsidR="005542F5" w:rsidRPr="004A2B32">
        <w:rPr>
          <w:color w:val="000000" w:themeColor="text1"/>
        </w:rPr>
        <w:t xml:space="preserve">include </w:t>
      </w:r>
      <w:r w:rsidR="00EA1F53" w:rsidRPr="004A2B32">
        <w:rPr>
          <w:color w:val="000000" w:themeColor="text1"/>
        </w:rPr>
        <w:t>lithic</w:t>
      </w:r>
      <w:r w:rsidR="00E43042" w:rsidRPr="004A2B32">
        <w:rPr>
          <w:color w:val="000000" w:themeColor="text1"/>
        </w:rPr>
        <w:t xml:space="preserve"> tool</w:t>
      </w:r>
      <w:r w:rsidR="005542F5" w:rsidRPr="004A2B32">
        <w:rPr>
          <w:color w:val="000000" w:themeColor="text1"/>
        </w:rPr>
        <w:t>s</w:t>
      </w:r>
      <w:r w:rsidR="00EA1F53" w:rsidRPr="004A2B32">
        <w:rPr>
          <w:color w:val="000000" w:themeColor="text1"/>
        </w:rPr>
        <w:t xml:space="preserve">, </w:t>
      </w:r>
      <w:r w:rsidRPr="004A2B32">
        <w:rPr>
          <w:color w:val="000000" w:themeColor="text1"/>
        </w:rPr>
        <w:t>chipped and ground stone tools, weaving objects</w:t>
      </w:r>
      <w:r w:rsidR="00787EF8" w:rsidRPr="004A2B32">
        <w:rPr>
          <w:color w:val="000000" w:themeColor="text1"/>
        </w:rPr>
        <w:t xml:space="preserve"> </w:t>
      </w:r>
      <w:r w:rsidR="00BF13F8" w:rsidRPr="004A2B32">
        <w:rPr>
          <w:color w:val="000000" w:themeColor="text1"/>
        </w:rPr>
        <w:t xml:space="preserve">and </w:t>
      </w:r>
      <w:proofErr w:type="spellStart"/>
      <w:r w:rsidR="00BF13F8" w:rsidRPr="004A2B32">
        <w:rPr>
          <w:color w:val="000000" w:themeColor="text1"/>
        </w:rPr>
        <w:t>jewellery</w:t>
      </w:r>
      <w:proofErr w:type="spellEnd"/>
      <w:r w:rsidRPr="004A2B32">
        <w:rPr>
          <w:color w:val="000000" w:themeColor="text1"/>
        </w:rPr>
        <w:t xml:space="preserve">. Many objects, </w:t>
      </w:r>
      <w:r w:rsidR="005542F5" w:rsidRPr="004A2B32">
        <w:rPr>
          <w:color w:val="000000" w:themeColor="text1"/>
        </w:rPr>
        <w:t>about 1</w:t>
      </w:r>
      <w:r w:rsidR="00DB28E4" w:rsidRPr="004A2B32">
        <w:rPr>
          <w:color w:val="000000" w:themeColor="text1"/>
        </w:rPr>
        <w:t>,</w:t>
      </w:r>
      <w:r w:rsidR="005542F5" w:rsidRPr="004A2B32">
        <w:rPr>
          <w:color w:val="000000" w:themeColor="text1"/>
        </w:rPr>
        <w:t>354</w:t>
      </w:r>
      <w:r w:rsidRPr="004A2B32">
        <w:rPr>
          <w:color w:val="000000" w:themeColor="text1"/>
        </w:rPr>
        <w:t>,</w:t>
      </w:r>
      <w:r w:rsidR="00DB28E4" w:rsidRPr="004A2B32">
        <w:rPr>
          <w:color w:val="000000" w:themeColor="text1"/>
        </w:rPr>
        <w:t xml:space="preserve"> </w:t>
      </w:r>
      <w:r w:rsidRPr="004A2B32">
        <w:rPr>
          <w:color w:val="000000" w:themeColor="text1"/>
        </w:rPr>
        <w:t>were made from bone (little were made from horn) and for several (</w:t>
      </w:r>
      <w:r w:rsidR="005542F5" w:rsidRPr="004A2B32">
        <w:rPr>
          <w:color w:val="000000" w:themeColor="text1"/>
        </w:rPr>
        <w:t>288</w:t>
      </w:r>
      <w:r w:rsidRPr="004A2B32">
        <w:rPr>
          <w:color w:val="000000" w:themeColor="text1"/>
        </w:rPr>
        <w:t>) it was possible to determine the species of the animal</w:t>
      </w:r>
      <w:r w:rsidR="00B031D4" w:rsidRPr="004A2B32">
        <w:rPr>
          <w:color w:val="000000" w:themeColor="text1"/>
        </w:rPr>
        <w:fldChar w:fldCharType="begin" w:fldLock="1"/>
      </w:r>
      <w:r w:rsidR="00BE2180">
        <w:rPr>
          <w:color w:val="000000" w:themeColor="text1"/>
        </w:rPr>
        <w:instrText>ADDIN CSL_CITATION {"citationItems":[{"id":"ITEM-1","itemData":{"author":[{"dropping-particle":"","family":"Michalopoulou","given":"S","non-dropping-particle":"","parse-names":false,"suffix":""}],"id":"ITEM-1","issued":{"date-parts":[["2017"]]},"number-of-pages":"1054","publisher":"University of Athens","title":"Early Neolithic in Western Macedonia, Greece: the contribution of the zooarchaeological study from the sites Fyllotsairi -Mavropigi and Portes - Ksirolimni","type":"thesis"},"uris":["http://www.mendeley.com/documents/?uuid=c4d067e1-64e9-4009-9a60-18fd2f3787b9"]}],"mendeley":{"formattedCitation":"&lt;sup&gt;22&lt;/sup&gt;","plainTextFormattedCitation":"22","previouslyFormattedCitation":"&lt;sup&gt;22&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22</w:t>
      </w:r>
      <w:r w:rsidR="00B031D4" w:rsidRPr="004A2B32">
        <w:rPr>
          <w:color w:val="000000" w:themeColor="text1"/>
        </w:rPr>
        <w:fldChar w:fldCharType="end"/>
      </w:r>
      <w:r w:rsidR="00BF13F8" w:rsidRPr="004A2B32">
        <w:rPr>
          <w:color w:val="000000" w:themeColor="text1"/>
        </w:rPr>
        <w:t xml:space="preserve">. </w:t>
      </w:r>
      <w:r w:rsidR="00A816E5" w:rsidRPr="004A2B32">
        <w:rPr>
          <w:color w:val="000000" w:themeColor="text1"/>
        </w:rPr>
        <w:t xml:space="preserve">Very intriguing are the 57 figurines </w:t>
      </w:r>
      <w:r w:rsidRPr="004A2B32">
        <w:rPr>
          <w:color w:val="000000" w:themeColor="text1"/>
        </w:rPr>
        <w:t>portraying standing and sitting anthropomorphic, birdlike and zoomorphic</w:t>
      </w:r>
      <w:r w:rsidR="005542F5" w:rsidRPr="004A2B32">
        <w:rPr>
          <w:color w:val="000000" w:themeColor="text1"/>
        </w:rPr>
        <w:t>. They are</w:t>
      </w:r>
      <w:r w:rsidR="00787EF8" w:rsidRPr="004A2B32">
        <w:rPr>
          <w:color w:val="000000" w:themeColor="text1"/>
        </w:rPr>
        <w:t xml:space="preserve"> </w:t>
      </w:r>
      <w:r w:rsidRPr="004A2B32">
        <w:rPr>
          <w:color w:val="000000" w:themeColor="text1"/>
        </w:rPr>
        <w:t xml:space="preserve">all </w:t>
      </w:r>
      <w:r w:rsidR="00A816E5" w:rsidRPr="004A2B32">
        <w:rPr>
          <w:color w:val="000000" w:themeColor="text1"/>
        </w:rPr>
        <w:t xml:space="preserve">made </w:t>
      </w:r>
      <w:r w:rsidRPr="004A2B32">
        <w:rPr>
          <w:color w:val="000000" w:themeColor="text1"/>
        </w:rPr>
        <w:t>from</w:t>
      </w:r>
      <w:r w:rsidR="00A816E5" w:rsidRPr="004A2B32">
        <w:rPr>
          <w:color w:val="000000" w:themeColor="text1"/>
        </w:rPr>
        <w:t xml:space="preserve"> clay apart from </w:t>
      </w:r>
      <w:r w:rsidRPr="004A2B32">
        <w:rPr>
          <w:color w:val="000000" w:themeColor="text1"/>
        </w:rPr>
        <w:t>a</w:t>
      </w:r>
      <w:r w:rsidR="00A816E5" w:rsidRPr="004A2B32">
        <w:rPr>
          <w:color w:val="000000" w:themeColor="text1"/>
        </w:rPr>
        <w:t xml:space="preserve"> stone figurine resembling a frog, </w:t>
      </w:r>
      <w:r w:rsidRPr="004A2B32">
        <w:rPr>
          <w:color w:val="000000" w:themeColor="text1"/>
        </w:rPr>
        <w:t xml:space="preserve">which was similar to another one found in </w:t>
      </w:r>
      <w:proofErr w:type="spellStart"/>
      <w:r w:rsidR="00A816E5" w:rsidRPr="004A2B32">
        <w:rPr>
          <w:color w:val="000000" w:themeColor="text1"/>
        </w:rPr>
        <w:t>Mavropigi-Fillotsairi</w:t>
      </w:r>
      <w:proofErr w:type="spellEnd"/>
      <w:r w:rsidRPr="004A2B32">
        <w:rPr>
          <w:color w:val="000000" w:themeColor="text1"/>
        </w:rPr>
        <w:t xml:space="preserve"> as well as in </w:t>
      </w:r>
      <w:r w:rsidR="00A816E5" w:rsidRPr="004A2B32">
        <w:rPr>
          <w:bCs/>
          <w:color w:val="000000" w:themeColor="text1"/>
        </w:rPr>
        <w:t>Florina,</w:t>
      </w:r>
      <w:r w:rsidR="004843CE" w:rsidRPr="004A2B32">
        <w:rPr>
          <w:bCs/>
          <w:color w:val="000000" w:themeColor="text1"/>
        </w:rPr>
        <w:t xml:space="preserve"> </w:t>
      </w:r>
      <w:proofErr w:type="spellStart"/>
      <w:r w:rsidR="00A816E5" w:rsidRPr="004A2B32">
        <w:rPr>
          <w:color w:val="000000" w:themeColor="text1"/>
        </w:rPr>
        <w:t>Nea</w:t>
      </w:r>
      <w:proofErr w:type="spellEnd"/>
      <w:r w:rsidR="00946123" w:rsidRPr="004A2B32">
        <w:rPr>
          <w:color w:val="000000" w:themeColor="text1"/>
        </w:rPr>
        <w:t xml:space="preserve"> </w:t>
      </w:r>
      <w:proofErr w:type="spellStart"/>
      <w:r w:rsidR="00A816E5" w:rsidRPr="004A2B32">
        <w:rPr>
          <w:color w:val="000000" w:themeColor="text1"/>
        </w:rPr>
        <w:t>Nikomed</w:t>
      </w:r>
      <w:r w:rsidRPr="004A2B32">
        <w:rPr>
          <w:color w:val="000000" w:themeColor="text1"/>
        </w:rPr>
        <w:t>ei</w:t>
      </w:r>
      <w:r w:rsidR="00A816E5" w:rsidRPr="004A2B32">
        <w:rPr>
          <w:color w:val="000000" w:themeColor="text1"/>
        </w:rPr>
        <w:t>a</w:t>
      </w:r>
      <w:proofErr w:type="spellEnd"/>
      <w:r w:rsidR="00A816E5" w:rsidRPr="004A2B32">
        <w:rPr>
          <w:color w:val="000000" w:themeColor="text1"/>
        </w:rPr>
        <w:t xml:space="preserve"> and other sites in the Balkans</w:t>
      </w:r>
      <w:r w:rsidR="00B031D4" w:rsidRPr="004A2B32">
        <w:rPr>
          <w:color w:val="000000" w:themeColor="text1"/>
        </w:rPr>
        <w:fldChar w:fldCharType="begin" w:fldLock="1"/>
      </w:r>
      <w:r w:rsidR="00BE2180">
        <w:rPr>
          <w:color w:val="000000" w:themeColor="text1"/>
        </w:rPr>
        <w:instrText>ADDIN CSL_CITATION {"citationItems":[{"id":"ITEM-1","itemData":{"author":[{"dropping-particle":"","family":"Karamitrou-Mentessidi","given":"Georgia","non-dropping-particle":"","parse-names":false,"suffix":""}],"container-title":"Figurines. A microcosmos of clay","id":"ITEM-1","issued":{"date-parts":[["2017"]]},"page":"64-67","title":"Aiani. A coroplastic workshop of the Archaic era","type":"paper-conference"},"uris":["http://www.mendeley.com/documents/?uuid=acc1e471-689d-42d6-b4f3-83bc05207b24"]},{"id":"ITEM-2","itemData":{"author":[{"dropping-particle":"","family":"Karamitrou-Mentessidi","given":"Georgia","non-dropping-particle":"","parse-names":false,"suffix":""}],"container-title":"Kozani kai Grevena, O Choros kai oi Anthropoi","id":"ITEM-2","issued":{"date-parts":[["2004"]]},"page":"249-256, 270-282","title":"O Nomos Kozanis stin Proistoriki, Archaici-Classiki, Hellenistiki kai Romaiki Epochi","type":"chapter"},"uris":["http://www.mendeley.com/documents/?uuid=b0feccba-d790-49ee-a1a2-d0dc63d29940"]}],"mendeley":{"formattedCitation":"&lt;sup&gt;23,40&lt;/sup&gt;","plainTextFormattedCitation":"23,40","previouslyFormattedCitation":"&lt;sup&gt;23,40&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23,40</w:t>
      </w:r>
      <w:r w:rsidR="00B031D4" w:rsidRPr="004A2B32">
        <w:rPr>
          <w:color w:val="000000" w:themeColor="text1"/>
        </w:rPr>
        <w:fldChar w:fldCharType="end"/>
      </w:r>
      <w:r w:rsidR="00A816E5" w:rsidRPr="004A2B32">
        <w:rPr>
          <w:color w:val="000000" w:themeColor="text1"/>
        </w:rPr>
        <w:t>.</w:t>
      </w:r>
    </w:p>
    <w:p w14:paraId="4328AA0C" w14:textId="218ABB2A" w:rsidR="00194C56" w:rsidRPr="004A2B32" w:rsidRDefault="00194C56" w:rsidP="00674449">
      <w:pPr>
        <w:spacing w:after="0"/>
        <w:ind w:firstLine="720"/>
        <w:jc w:val="both"/>
        <w:rPr>
          <w:color w:val="000000" w:themeColor="text1"/>
        </w:rPr>
      </w:pPr>
      <w:r w:rsidRPr="004A2B32">
        <w:rPr>
          <w:color w:val="000000" w:themeColor="text1"/>
        </w:rPr>
        <w:t>In the Neolithic settlement</w:t>
      </w:r>
      <w:r w:rsidR="003A487A" w:rsidRPr="004A2B32">
        <w:rPr>
          <w:color w:val="000000" w:themeColor="text1"/>
        </w:rPr>
        <w:t>,</w:t>
      </w:r>
      <w:r w:rsidRPr="004A2B32">
        <w:rPr>
          <w:color w:val="000000" w:themeColor="text1"/>
        </w:rPr>
        <w:t xml:space="preserve"> 14 buried individuals </w:t>
      </w:r>
      <w:r w:rsidR="003A487A" w:rsidRPr="004A2B32">
        <w:rPr>
          <w:color w:val="000000" w:themeColor="text1"/>
        </w:rPr>
        <w:t xml:space="preserve">were found </w:t>
      </w:r>
      <w:r w:rsidRPr="004A2B32">
        <w:rPr>
          <w:color w:val="000000" w:themeColor="text1"/>
        </w:rPr>
        <w:t xml:space="preserve">in 12 graves (two contained a secondary burial) in </w:t>
      </w:r>
      <w:r w:rsidR="00992089" w:rsidRPr="004A2B32">
        <w:rPr>
          <w:color w:val="000000" w:themeColor="text1"/>
        </w:rPr>
        <w:t xml:space="preserve">a </w:t>
      </w:r>
      <w:r w:rsidRPr="004A2B32">
        <w:rPr>
          <w:color w:val="000000" w:themeColor="text1"/>
        </w:rPr>
        <w:t>crouched position (</w:t>
      </w:r>
      <w:r w:rsidR="003A487A" w:rsidRPr="004A2B32">
        <w:rPr>
          <w:color w:val="000000" w:themeColor="text1"/>
        </w:rPr>
        <w:t xml:space="preserve">all </w:t>
      </w:r>
      <w:r w:rsidRPr="004A2B32">
        <w:rPr>
          <w:color w:val="000000" w:themeColor="text1"/>
        </w:rPr>
        <w:t xml:space="preserve">except for three) in pits, that were dug after the destruction layer. An established burial practice </w:t>
      </w:r>
      <w:r w:rsidR="00DB4F35" w:rsidRPr="004A2B32">
        <w:rPr>
          <w:color w:val="000000" w:themeColor="text1"/>
        </w:rPr>
        <w:t xml:space="preserve">was </w:t>
      </w:r>
      <w:r w:rsidRPr="004A2B32">
        <w:rPr>
          <w:color w:val="000000" w:themeColor="text1"/>
        </w:rPr>
        <w:t xml:space="preserve">the deposition of human remains in </w:t>
      </w:r>
      <w:r w:rsidR="00992089" w:rsidRPr="004A2B32">
        <w:rPr>
          <w:color w:val="000000" w:themeColor="text1"/>
        </w:rPr>
        <w:t xml:space="preserve">commingled </w:t>
      </w:r>
      <w:r w:rsidRPr="004A2B32">
        <w:rPr>
          <w:color w:val="000000" w:themeColor="text1"/>
        </w:rPr>
        <w:t xml:space="preserve">assemblages. Many of the burials were intact with no accompanying grave goods. One skeleton was radiocarbon dated </w:t>
      </w:r>
      <w:r w:rsidR="00992089" w:rsidRPr="004A2B32">
        <w:rPr>
          <w:color w:val="000000" w:themeColor="text1"/>
        </w:rPr>
        <w:t xml:space="preserve">to </w:t>
      </w:r>
      <w:r w:rsidRPr="004A2B32">
        <w:rPr>
          <w:color w:val="000000" w:themeColor="text1"/>
        </w:rPr>
        <w:t>6</w:t>
      </w:r>
      <w:r w:rsidR="00DB28E4" w:rsidRPr="004A2B32">
        <w:rPr>
          <w:color w:val="000000" w:themeColor="text1"/>
        </w:rPr>
        <w:t>,</w:t>
      </w:r>
      <w:r w:rsidRPr="004A2B32">
        <w:rPr>
          <w:color w:val="000000" w:themeColor="text1"/>
        </w:rPr>
        <w:t>164+/- 51 BCE. The human skeletal material has been studied to assess pathological conditions and dietary patterns (stable isotope analysis of human and fauna remains of the site)</w:t>
      </w:r>
      <w:r w:rsidR="00B031D4" w:rsidRPr="004A2B32">
        <w:rPr>
          <w:color w:val="000000" w:themeColor="text1"/>
        </w:rPr>
        <w:fldChar w:fldCharType="begin" w:fldLock="1"/>
      </w:r>
      <w:r w:rsidR="00BE2180">
        <w:rPr>
          <w:color w:val="000000" w:themeColor="text1"/>
        </w:rPr>
        <w:instrText>ADDIN CSL_CITATION {"citationItems":[{"id":"ITEM-1","itemData":{"author":[{"dropping-particle":"","family":"Papathanasiou","given":"Anastasia","non-dropping-particle":"","parse-names":false,"suffix":""},{"dropping-particle":"","family":"Richards","given":"Michael P","non-dropping-particle":"","parse-names":false,"suffix":""}],"container-title":"AEAM 1","id":"ITEM-1","issued":{"date-parts":[["2009"]]},"page":"257-274","title":"Anthropologika kataloipa apo tis proimes theseis Mavropigis, Ksirolimnis kai Pontokomis tis Archaioteris Neolithikis sti Ditiki Makedonia","type":"chapter"},"uris":["http://www.mendeley.com/documents/?uuid=b3afa17e-0318-41cc-83b9-746fa6c652e3"]}],"mendeley":{"formattedCitation":"&lt;sup&gt;26&lt;/sup&gt;","plainTextFormattedCitation":"26","previouslyFormattedCitation":"&lt;sup&gt;26&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26</w:t>
      </w:r>
      <w:r w:rsidR="00B031D4" w:rsidRPr="004A2B32">
        <w:rPr>
          <w:color w:val="000000" w:themeColor="text1"/>
        </w:rPr>
        <w:fldChar w:fldCharType="end"/>
      </w:r>
      <w:r w:rsidR="00BE4C54" w:rsidRPr="004A2B32">
        <w:rPr>
          <w:color w:val="000000" w:themeColor="text1"/>
        </w:rPr>
        <w:t>.</w:t>
      </w:r>
      <w:r w:rsidR="003A487A" w:rsidRPr="004A2B32">
        <w:rPr>
          <w:color w:val="000000" w:themeColor="text1"/>
        </w:rPr>
        <w:t xml:space="preserve">The results show that the population was not under physiological </w:t>
      </w:r>
      <w:r w:rsidR="00DF7B11" w:rsidRPr="004A2B32">
        <w:rPr>
          <w:color w:val="000000" w:themeColor="text1"/>
        </w:rPr>
        <w:t>and dietary stress, therefore it is assumed that the agriculture had already been established. Selected skeletons were also sampled for aDNA analyses</w:t>
      </w:r>
      <w:r w:rsidR="00B031D4" w:rsidRPr="004A2B32">
        <w:rPr>
          <w:color w:val="000000" w:themeColor="text1"/>
        </w:rPr>
        <w:fldChar w:fldCharType="begin" w:fldLock="1"/>
      </w:r>
      <w:r w:rsidR="00BE2180">
        <w:rPr>
          <w:color w:val="000000" w:themeColor="text1"/>
        </w:rPr>
        <w:instrText>ADDIN CSL_CITATION {"citationItems":[{"id":"ITEM-1","itemData":{"author":[{"dropping-particle":"","family":"Papageorgopoulou","given":"Christina","non-dropping-particle":"","parse-names":false,"suffix":""}],"container-title":"100 Years Research in prehistoric Macedonia 1912-2012","id":"ITEM-1","issued":{"date-parts":[["2014"]]},"page":"477-491","publisher-place":"Thessaloniki.","title":"Ancient DNA: applications, perspectives, limitations","type":"chapter"},"uris":["http://www.mendeley.com/documents/?uuid=cbdd5c19-daf2-47f0-8b1b-ea8a9c49b94d"]}],"mendeley":{"formattedCitation":"&lt;sup&gt;29&lt;/sup&gt;","plainTextFormattedCitation":"29","previouslyFormattedCitation":"&lt;sup&gt;29&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29</w:t>
      </w:r>
      <w:r w:rsidR="00B031D4" w:rsidRPr="004A2B32">
        <w:rPr>
          <w:color w:val="000000" w:themeColor="text1"/>
        </w:rPr>
        <w:fldChar w:fldCharType="end"/>
      </w:r>
      <w:r w:rsidR="00DF7B11" w:rsidRPr="004A2B32">
        <w:rPr>
          <w:color w:val="000000" w:themeColor="text1"/>
        </w:rPr>
        <w:t xml:space="preserve">. </w:t>
      </w:r>
    </w:p>
    <w:p w14:paraId="0A107132" w14:textId="5593CCF7" w:rsidR="00194C56" w:rsidRPr="004A2B32" w:rsidRDefault="00194C56" w:rsidP="00CE5AFA">
      <w:pPr>
        <w:spacing w:after="0"/>
        <w:jc w:val="both"/>
        <w:rPr>
          <w:b/>
          <w:color w:val="000000" w:themeColor="text1"/>
        </w:rPr>
      </w:pPr>
      <w:r w:rsidRPr="004A2B32">
        <w:rPr>
          <w:color w:val="000000" w:themeColor="text1"/>
        </w:rPr>
        <w:tab/>
        <w:t>Among the faunal remains</w:t>
      </w:r>
      <w:r w:rsidR="00DF7B11" w:rsidRPr="004A2B32">
        <w:rPr>
          <w:color w:val="000000" w:themeColor="text1"/>
        </w:rPr>
        <w:t>, 21,7% (23</w:t>
      </w:r>
      <w:r w:rsidR="00DB28E4" w:rsidRPr="004A2B32">
        <w:rPr>
          <w:color w:val="000000" w:themeColor="text1"/>
        </w:rPr>
        <w:t>,</w:t>
      </w:r>
      <w:r w:rsidR="00DF7B11" w:rsidRPr="004A2B32">
        <w:rPr>
          <w:color w:val="000000" w:themeColor="text1"/>
        </w:rPr>
        <w:t>613 identified from 108</w:t>
      </w:r>
      <w:r w:rsidR="00DB28E4" w:rsidRPr="004A2B32">
        <w:rPr>
          <w:color w:val="000000" w:themeColor="text1"/>
        </w:rPr>
        <w:t>,</w:t>
      </w:r>
      <w:r w:rsidR="00DF7B11" w:rsidRPr="004A2B32">
        <w:rPr>
          <w:color w:val="000000" w:themeColor="text1"/>
        </w:rPr>
        <w:t xml:space="preserve">557 remains) belong to  </w:t>
      </w:r>
      <w:r w:rsidRPr="004A2B32">
        <w:rPr>
          <w:color w:val="000000" w:themeColor="text1"/>
        </w:rPr>
        <w:t xml:space="preserve"> domestic </w:t>
      </w:r>
      <w:r w:rsidR="00DF7B11" w:rsidRPr="004A2B32">
        <w:rPr>
          <w:color w:val="000000" w:themeColor="text1"/>
        </w:rPr>
        <w:t>animals (</w:t>
      </w:r>
      <w:r w:rsidRPr="004A2B32">
        <w:rPr>
          <w:color w:val="000000" w:themeColor="text1"/>
        </w:rPr>
        <w:t>sheep, goats, pigs, cattle</w:t>
      </w:r>
      <w:r w:rsidR="001167CE" w:rsidRPr="004A2B32">
        <w:rPr>
          <w:color w:val="000000" w:themeColor="text1"/>
        </w:rPr>
        <w:t xml:space="preserve"> and</w:t>
      </w:r>
      <w:r w:rsidRPr="004A2B32">
        <w:rPr>
          <w:color w:val="000000" w:themeColor="text1"/>
        </w:rPr>
        <w:t xml:space="preserve"> dogs)</w:t>
      </w:r>
      <w:r w:rsidR="00DF7B11" w:rsidRPr="004A2B32">
        <w:rPr>
          <w:color w:val="000000" w:themeColor="text1"/>
        </w:rPr>
        <w:t xml:space="preserve"> whereas</w:t>
      </w:r>
      <w:r w:rsidR="004843CE" w:rsidRPr="004A2B32">
        <w:rPr>
          <w:color w:val="000000" w:themeColor="text1"/>
        </w:rPr>
        <w:t xml:space="preserve"> </w:t>
      </w:r>
      <w:r w:rsidRPr="004A2B32">
        <w:rPr>
          <w:color w:val="000000" w:themeColor="text1"/>
        </w:rPr>
        <w:t>lion</w:t>
      </w:r>
      <w:r w:rsidR="00455E34" w:rsidRPr="004A2B32">
        <w:rPr>
          <w:color w:val="000000" w:themeColor="text1"/>
        </w:rPr>
        <w:t xml:space="preserve"> and </w:t>
      </w:r>
      <w:r w:rsidRPr="004A2B32">
        <w:rPr>
          <w:color w:val="000000" w:themeColor="text1"/>
        </w:rPr>
        <w:t>beaver</w:t>
      </w:r>
      <w:r w:rsidR="004843CE" w:rsidRPr="004A2B32">
        <w:rPr>
          <w:color w:val="000000" w:themeColor="text1"/>
        </w:rPr>
        <w:t xml:space="preserve"> </w:t>
      </w:r>
      <w:r w:rsidR="00DF7B11" w:rsidRPr="004A2B32">
        <w:rPr>
          <w:color w:val="000000" w:themeColor="text1"/>
        </w:rPr>
        <w:t xml:space="preserve">were also found. </w:t>
      </w:r>
      <w:r w:rsidR="00455E34" w:rsidRPr="004A2B32">
        <w:rPr>
          <w:color w:val="000000" w:themeColor="text1"/>
        </w:rPr>
        <w:t>Microfauna research</w:t>
      </w:r>
      <w:r w:rsidR="00946123" w:rsidRPr="004A2B32">
        <w:rPr>
          <w:color w:val="000000" w:themeColor="text1"/>
        </w:rPr>
        <w:t xml:space="preserve"> </w:t>
      </w:r>
      <w:r w:rsidR="00455E34" w:rsidRPr="004A2B32">
        <w:rPr>
          <w:color w:val="000000" w:themeColor="text1"/>
        </w:rPr>
        <w:t xml:space="preserve">did not identify remains of house mouse </w:t>
      </w:r>
      <w:r w:rsidR="00455E34" w:rsidRPr="004A2B32">
        <w:rPr>
          <w:bCs/>
          <w:i/>
          <w:iCs/>
          <w:color w:val="000000" w:themeColor="text1"/>
        </w:rPr>
        <w:t xml:space="preserve">(Mus musculus </w:t>
      </w:r>
      <w:proofErr w:type="spellStart"/>
      <w:r w:rsidR="00455E34" w:rsidRPr="004A2B32">
        <w:rPr>
          <w:bCs/>
          <w:i/>
          <w:iCs/>
          <w:color w:val="000000" w:themeColor="text1"/>
        </w:rPr>
        <w:t>domesticus</w:t>
      </w:r>
      <w:proofErr w:type="spellEnd"/>
      <w:r w:rsidR="00455E34" w:rsidRPr="004A2B32">
        <w:rPr>
          <w:bCs/>
          <w:i/>
          <w:iCs/>
          <w:color w:val="000000" w:themeColor="text1"/>
        </w:rPr>
        <w:t>)</w:t>
      </w:r>
      <w:r w:rsidR="004843CE" w:rsidRPr="004A2B32">
        <w:rPr>
          <w:bCs/>
          <w:i/>
          <w:iCs/>
          <w:color w:val="000000" w:themeColor="text1"/>
        </w:rPr>
        <w:t xml:space="preserve"> </w:t>
      </w:r>
      <w:r w:rsidR="00455E34" w:rsidRPr="004A2B32">
        <w:rPr>
          <w:bCs/>
          <w:color w:val="000000" w:themeColor="text1"/>
        </w:rPr>
        <w:t>but only</w:t>
      </w:r>
      <w:r w:rsidR="004843CE" w:rsidRPr="004A2B32">
        <w:rPr>
          <w:bCs/>
          <w:color w:val="000000" w:themeColor="text1"/>
        </w:rPr>
        <w:t xml:space="preserve"> </w:t>
      </w:r>
      <w:r w:rsidR="00455E34" w:rsidRPr="004A2B32">
        <w:rPr>
          <w:color w:val="000000" w:themeColor="text1"/>
        </w:rPr>
        <w:t>rodent species (</w:t>
      </w:r>
      <w:r w:rsidR="00455E34" w:rsidRPr="004A2B32">
        <w:rPr>
          <w:i/>
          <w:color w:val="000000" w:themeColor="text1"/>
        </w:rPr>
        <w:t xml:space="preserve">Mus </w:t>
      </w:r>
      <w:proofErr w:type="spellStart"/>
      <w:r w:rsidR="00455E34" w:rsidRPr="004A2B32">
        <w:rPr>
          <w:i/>
          <w:color w:val="000000" w:themeColor="text1"/>
        </w:rPr>
        <w:t>macedonicus</w:t>
      </w:r>
      <w:proofErr w:type="spellEnd"/>
      <w:r w:rsidR="00455E34" w:rsidRPr="004A2B32">
        <w:rPr>
          <w:color w:val="000000" w:themeColor="text1"/>
        </w:rPr>
        <w:t>/</w:t>
      </w:r>
      <w:proofErr w:type="spellStart"/>
      <w:r w:rsidR="00455E34" w:rsidRPr="004A2B32">
        <w:rPr>
          <w:i/>
          <w:color w:val="000000" w:themeColor="text1"/>
        </w:rPr>
        <w:t>spicilegus</w:t>
      </w:r>
      <w:proofErr w:type="spellEnd"/>
      <w:r w:rsidR="00455E34" w:rsidRPr="004A2B32">
        <w:rPr>
          <w:color w:val="000000" w:themeColor="text1"/>
        </w:rPr>
        <w:t>)</w:t>
      </w:r>
      <w:r w:rsidR="00B031D4" w:rsidRPr="004A2B32">
        <w:rPr>
          <w:noProof/>
          <w:color w:val="000000" w:themeColor="text1"/>
        </w:rPr>
        <w:fldChar w:fldCharType="begin" w:fldLock="1"/>
      </w:r>
      <w:r w:rsidR="00BE2180">
        <w:rPr>
          <w:noProof/>
          <w:color w:val="000000" w:themeColor="text1"/>
        </w:rPr>
        <w:instrText>ADDIN CSL_CITATION {"citationItems":[{"id":"ITEM-1","itemData":{"DOI":"10.1038/s41598-020-64939-9","ISSN":"2045-2322","abstract":"The house mouse ( Mus musculus ) represents the extreme of globalization of invasive mammals. However, the timing and basis of its origin and early phases of dispersal remain poorly documented. To track its synanthropisation and subsequent invasive spread during the develoment of complex human societies, we analyzed 829 Mus specimens from 43 archaeological contexts in Southwestern Asia and Southeastern Europe, between 40,000 and 3,000 cal. BP, combining geometric morphometrics numerical taxonomy, ancient mitochondrial DNA and direct radiocarbon dating. We found that large late hunter-gatherer sedentary settlements in the Levant, c. 14,500 cal. BP, promoted the commensal behaviour of the house mouse, which probably led the commensal pathway to cat domestication. House mouse invasive spread was then fostered through the emergence of agriculture throughout the Near East 12,000 years ago. Stowaway transport of house mice to Cyprus can be inferred as early as 10,800 years ago. However, the house mouse invasion of Europe did not happen until the development of proto urbanism and exchange networks — 6,500 years ago in Eastern Europe and 4000 years ago in Southern Europe — which in turn may have driven the first human mediated dispersal of cats in Europe.","author":[{"dropping-particle":"","family":"Cucchi","given":"Thomas","non-dropping-particle":"","parse-names":false,"suffix":""},{"dropping-particle":"","family":"Papayianni","given":"Katerina","non-dropping-particle":"","parse-names":false,"suffix":""},{"dropping-particle":"","family":"Cersoy","given":"Sophie","non-dropping-particle":"","parse-names":false,"suffix":""},{"dropping-particle":"","family":"Aznar-Cormano","given":"Laetitia","non-dropping-particle":"","parse-names":false,"suffix":""},{"dropping-particle":"","family":"Zazzo","given":"Antoine","non-dropping-particle":"","parse-names":false,"suffix":""},{"dropping-particle":"","family":"Debruyne","given":"Régis","non-dropping-particle":"","parse-names":false,"suffix":""},{"dropping-particle":"","family":"Berthon","given":"Rémi","non-dropping-particle":"","parse-names":false,"suffix":""},{"dropping-particle":"","family":"Bălășescu","given":"Adrian","non-dropping-particle":"","parse-names":false,"suffix":""},{"dropping-particle":"","family":"Simmons","given":"Alan","non-dropping-particle":"","parse-names":false,"suffix":""},{"dropping-particle":"","family":"Valla","given":"François","non-dropping-particle":"","parse-names":false,"suffix":""},{"dropping-particle":"","family":"Hamilakis","given":"Yannis","non-dropping-particle":"","parse-names":false,"suffix":""},{"dropping-particle":"","family":"Mavridis","given":"Fanis","non-dropping-particle":"","parse-names":false,"suffix":""},{"dropping-particle":"","family":"Mashkour","given":"Marjan","non-dropping-particle":"","parse-names":false,"suffix":""},{"dropping-particle":"","family":"Darvish","given":"Jamshid","non-dropping-particle":"","parse-names":false,"suffix":""},{"dropping-particle":"","family":"Siahsarvi","given":"Roohollah","non-dropping-particle":"","parse-names":false,"suffix":""},{"dropping-particle":"","family":"Biglari","given":"Fereidoun","non-dropping-particle":"","parse-names":false,"suffix":""},{"dropping-particle":"","family":"Petrie","given":"Cameron A.","non-dropping-particle":"","parse-names":false,"suffix":""},{"dropping-particle":"","family":"Weeks","given":"Lloyd","non-dropping-particle":"","parse-names":false,"suffix":""},{"dropping-particle":"","family":"Sardari","given":"Alireza","non-dropping-particle":"","parse-names":false,"suffix":""},{"dropping-particle":"","family":"Maziar","given":"Sepideh","non-dropping-particle":"","parse-names":false,"suffix":""},{"dropping-particle":"","family":"Denys","given":"Christiane","non-dropping-particle":"","parse-names":false,"suffix":""},{"dropping-particle":"","family":"Orton","given":"David","non-dropping-particle":"","parse-names":false,"suffix":""},{"dropping-particle":"","family":"Jenkins","given":"Emma","non-dropping-particle":"","parse-names":false,"suffix":""},{"dropping-particle":"","family":"Zeder","given":"Melinda","non-dropping-particle":"","parse-names":false,"suffix":""},{"dropping-particle":"","family":"Searle","given":"Jeremy B.","non-dropping-particle":"","parse-names":false,"suffix":""},{"dropping-particle":"","family":"Larson","given":"Greger","non-dropping-particle":"","parse-names":false,"suffix":""},{"dropping-particle":"","family":"Bonhomme","given":"François","non-dropping-particle":"","parse-names":false,"suffix":""},{"dropping-particle":"","family":"Auffray","given":"Jean-Christophe","non-dropping-particle":"","parse-names":false,"suffix":""},{"dropping-particle":"","family":"Vigne","given":"Jean-Denis","non-dropping-particle":"","parse-names":false,"suffix":""}],"container-title":"Scientific Reports","id":"ITEM-1","issue":"1","issued":{"date-parts":[["2020","12","19"]]},"page":"8276","title":"Tracking the Near Eastern origins and European dispersal of the western house mouse","type":"article-journal","volume":"10"},"uris":["http://www.mendeley.com/documents/?uuid=ebfdb80f-3b88-4747-acf1-75f5a4b7966a"]}],"mendeley":{"formattedCitation":"&lt;sup&gt;25&lt;/sup&gt;","plainTextFormattedCitation":"25","previouslyFormattedCitation":"&lt;sup&gt;25&lt;/sup&gt;"},"properties":{"noteIndex":0},"schema":"https://github.com/citation-style-language/schema/raw/master/csl-citation.json"}</w:instrText>
      </w:r>
      <w:r w:rsidR="00B031D4" w:rsidRPr="004A2B32">
        <w:rPr>
          <w:noProof/>
          <w:color w:val="000000" w:themeColor="text1"/>
        </w:rPr>
        <w:fldChar w:fldCharType="separate"/>
      </w:r>
      <w:r w:rsidR="00BE2180" w:rsidRPr="00BE2180">
        <w:rPr>
          <w:noProof/>
          <w:color w:val="000000" w:themeColor="text1"/>
          <w:vertAlign w:val="superscript"/>
        </w:rPr>
        <w:t>25</w:t>
      </w:r>
      <w:r w:rsidR="00B031D4" w:rsidRPr="004A2B32">
        <w:rPr>
          <w:noProof/>
          <w:color w:val="000000" w:themeColor="text1"/>
        </w:rPr>
        <w:fldChar w:fldCharType="end"/>
      </w:r>
      <w:r w:rsidR="00EE799D" w:rsidRPr="004A2B32">
        <w:rPr>
          <w:noProof/>
          <w:color w:val="000000" w:themeColor="text1"/>
        </w:rPr>
        <w:t xml:space="preserve">. </w:t>
      </w:r>
      <w:r w:rsidR="00DF7B11" w:rsidRPr="004A2B32">
        <w:rPr>
          <w:noProof/>
          <w:color w:val="000000" w:themeColor="text1"/>
        </w:rPr>
        <w:t>T</w:t>
      </w:r>
      <w:r w:rsidR="00455E34" w:rsidRPr="004A2B32">
        <w:rPr>
          <w:color w:val="000000" w:themeColor="text1"/>
        </w:rPr>
        <w:t>he results of herpetofauna are expected</w:t>
      </w:r>
      <w:r w:rsidR="004843CE" w:rsidRPr="004A2B32">
        <w:rPr>
          <w:color w:val="000000" w:themeColor="text1"/>
        </w:rPr>
        <w:t xml:space="preserve"> </w:t>
      </w:r>
      <w:r w:rsidR="00DF7B11" w:rsidRPr="004A2B32">
        <w:rPr>
          <w:color w:val="000000" w:themeColor="text1"/>
        </w:rPr>
        <w:t xml:space="preserve">by </w:t>
      </w:r>
      <w:proofErr w:type="spellStart"/>
      <w:r w:rsidR="00DF7B11" w:rsidRPr="004A2B32">
        <w:rPr>
          <w:color w:val="000000" w:themeColor="text1"/>
        </w:rPr>
        <w:t>Michalopoulou</w:t>
      </w:r>
      <w:proofErr w:type="spellEnd"/>
      <w:r w:rsidR="00DF7B11" w:rsidRPr="004A2B32">
        <w:rPr>
          <w:color w:val="000000" w:themeColor="text1"/>
        </w:rPr>
        <w:t>. P</w:t>
      </w:r>
      <w:r w:rsidRPr="004A2B32">
        <w:rPr>
          <w:color w:val="000000" w:themeColor="text1"/>
        </w:rPr>
        <w:t xml:space="preserve">art of the </w:t>
      </w:r>
      <w:proofErr w:type="spellStart"/>
      <w:r w:rsidRPr="004A2B32">
        <w:rPr>
          <w:color w:val="000000" w:themeColor="text1"/>
        </w:rPr>
        <w:t>ost</w:t>
      </w:r>
      <w:r w:rsidR="005542F5" w:rsidRPr="004A2B32">
        <w:rPr>
          <w:color w:val="000000" w:themeColor="text1"/>
        </w:rPr>
        <w:t>r</w:t>
      </w:r>
      <w:r w:rsidRPr="004A2B32">
        <w:rPr>
          <w:color w:val="000000" w:themeColor="text1"/>
        </w:rPr>
        <w:t>eoarchaeological</w:t>
      </w:r>
      <w:proofErr w:type="spellEnd"/>
      <w:r w:rsidRPr="004A2B32">
        <w:rPr>
          <w:color w:val="000000" w:themeColor="text1"/>
        </w:rPr>
        <w:t xml:space="preserve"> material has been studied </w:t>
      </w:r>
      <w:r w:rsidR="00CE1F53" w:rsidRPr="004A2B32">
        <w:rPr>
          <w:color w:val="000000" w:themeColor="text1"/>
        </w:rPr>
        <w:t xml:space="preserve">by </w:t>
      </w:r>
      <w:proofErr w:type="spellStart"/>
      <w:r w:rsidRPr="004A2B32">
        <w:rPr>
          <w:color w:val="000000" w:themeColor="text1"/>
        </w:rPr>
        <w:t>Theodoropoulou</w:t>
      </w:r>
      <w:proofErr w:type="spellEnd"/>
      <w:r w:rsidR="00CE1F53" w:rsidRPr="004A2B32">
        <w:rPr>
          <w:b/>
          <w:color w:val="000000" w:themeColor="text1"/>
        </w:rPr>
        <w:t>.</w:t>
      </w:r>
    </w:p>
    <w:p w14:paraId="33D32EAE" w14:textId="16CD40B1" w:rsidR="00194C56" w:rsidRPr="004A2B32" w:rsidRDefault="00194C56" w:rsidP="00CE5AFA">
      <w:pPr>
        <w:spacing w:after="0"/>
        <w:jc w:val="both"/>
        <w:rPr>
          <w:color w:val="000000" w:themeColor="text1"/>
        </w:rPr>
      </w:pPr>
      <w:r w:rsidRPr="004A2B32">
        <w:rPr>
          <w:b/>
          <w:color w:val="000000" w:themeColor="text1"/>
        </w:rPr>
        <w:tab/>
      </w:r>
      <w:r w:rsidRPr="004A2B32">
        <w:rPr>
          <w:color w:val="000000" w:themeColor="text1"/>
        </w:rPr>
        <w:t xml:space="preserve">The Early Neolithic </w:t>
      </w:r>
      <w:r w:rsidR="001167CE" w:rsidRPr="004A2B32">
        <w:rPr>
          <w:color w:val="000000" w:themeColor="text1"/>
        </w:rPr>
        <w:t xml:space="preserve">date of </w:t>
      </w:r>
      <w:r w:rsidRPr="004A2B32">
        <w:rPr>
          <w:color w:val="000000" w:themeColor="text1"/>
        </w:rPr>
        <w:t xml:space="preserve">the settlement of </w:t>
      </w:r>
      <w:proofErr w:type="spellStart"/>
      <w:r w:rsidRPr="004A2B32">
        <w:rPr>
          <w:bCs/>
          <w:color w:val="000000" w:themeColor="text1"/>
        </w:rPr>
        <w:t>Xirolimni-Portes</w:t>
      </w:r>
      <w:proofErr w:type="spellEnd"/>
      <w:r w:rsidR="00AD56D5" w:rsidRPr="004A2B32">
        <w:rPr>
          <w:bCs/>
          <w:color w:val="000000" w:themeColor="text1"/>
        </w:rPr>
        <w:t xml:space="preserve"> </w:t>
      </w:r>
      <w:r w:rsidRPr="004A2B32">
        <w:rPr>
          <w:color w:val="000000" w:themeColor="text1"/>
        </w:rPr>
        <w:t xml:space="preserve">is confirmed by </w:t>
      </w:r>
      <w:r w:rsidR="001167CE" w:rsidRPr="004A2B32">
        <w:rPr>
          <w:color w:val="000000" w:themeColor="text1"/>
        </w:rPr>
        <w:t xml:space="preserve">both relative ceramic dating </w:t>
      </w:r>
      <w:r w:rsidRPr="004A2B32">
        <w:rPr>
          <w:color w:val="000000" w:themeColor="text1"/>
        </w:rPr>
        <w:t xml:space="preserve">and </w:t>
      </w:r>
      <w:r w:rsidR="001167CE" w:rsidRPr="004A2B32">
        <w:rPr>
          <w:color w:val="000000" w:themeColor="text1"/>
        </w:rPr>
        <w:t xml:space="preserve"> absolute</w:t>
      </w:r>
      <w:r w:rsidRPr="004A2B32">
        <w:rPr>
          <w:color w:val="000000" w:themeColor="text1"/>
        </w:rPr>
        <w:t xml:space="preserve"> radiocarbon dating of samples (c</w:t>
      </w:r>
      <w:r w:rsidR="001167CE" w:rsidRPr="004A2B32">
        <w:rPr>
          <w:color w:val="000000" w:themeColor="text1"/>
        </w:rPr>
        <w:t>h</w:t>
      </w:r>
      <w:r w:rsidRPr="004A2B32">
        <w:rPr>
          <w:color w:val="000000" w:themeColor="text1"/>
        </w:rPr>
        <w:t xml:space="preserve">arcoal and bones) </w:t>
      </w:r>
      <w:r w:rsidR="001167CE" w:rsidRPr="004A2B32">
        <w:rPr>
          <w:color w:val="000000" w:themeColor="text1"/>
        </w:rPr>
        <w:t xml:space="preserve">to </w:t>
      </w:r>
      <w:r w:rsidRPr="004A2B32">
        <w:rPr>
          <w:color w:val="000000" w:themeColor="text1"/>
        </w:rPr>
        <w:t xml:space="preserve">6210-6030 </w:t>
      </w:r>
      <w:proofErr w:type="spellStart"/>
      <w:r w:rsidRPr="004A2B32">
        <w:rPr>
          <w:color w:val="000000" w:themeColor="text1"/>
        </w:rPr>
        <w:t>cal</w:t>
      </w:r>
      <w:proofErr w:type="spellEnd"/>
      <w:r w:rsidRPr="004A2B32">
        <w:rPr>
          <w:color w:val="000000" w:themeColor="text1"/>
        </w:rPr>
        <w:t xml:space="preserve"> BP</w:t>
      </w:r>
      <w:r w:rsidR="00B031D4" w:rsidRPr="004A2B32">
        <w:rPr>
          <w:color w:val="000000" w:themeColor="text1"/>
        </w:rPr>
        <w:fldChar w:fldCharType="begin" w:fldLock="1"/>
      </w:r>
      <w:r w:rsidR="00BE2180">
        <w:rPr>
          <w:color w:val="000000" w:themeColor="text1"/>
        </w:rPr>
        <w:instrText>ADDIN CSL_CITATION {"citationItems":[{"id":"ITEM-1","itemData":{"author":[{"dropping-particle":"","family":"Karamitrou-Mentessidi","given":"Georgia","non-dropping-particle":"","parse-names":false,"suffix":""}],"container-title":"Archaeologikon Deltion","id":"ITEM-1","issued":{"date-parts":[["1998"]]},"page":"671-673","publisher":"Ministry of Culture","title":"Xirolimni-Thesi Porta","type":"paper-conference"},"uris":["http://www.mendeley.com/documents/?uuid=2dca9d09-677d-411d-a7e1-709c1ac3ca01"]},{"id":"ITEM-2","itemData":{"author":[{"dropping-particle":"","family":"Karamitrou-Mentessidi","given":"Georgia","non-dropping-particle":"","parse-names":false,"suffix":""}],"container-title":"AEMTh 14","editor":[{"dropping-particle":"","family":"Adam-Veleni","given":"P","non-dropping-particle":"","parse-names":false,"suffix":""}],"id":"ITEM-2","issued":{"date-parts":[["2000"]]},"page":"607-640","publisher":"Ministry of Culture","title":"Prefecture of Kozani 2000: Excavations on roads and by the wayside","type":"paper-conference"},"uris":["http://www.mendeley.com/documents/?uuid=7104e150-9a33-4bd3-b416-b745e59e7da6"]},{"id":"ITEM-3","itemData":{"author":[{"dropping-particle":"","family":"Karamitrou-Mentessidi","given":"Georgia","non-dropping-particle":"","parse-names":false,"suffix":""}],"container-title":"AEMTH 20 years","editor":[{"dropping-particle":"","family":"Adam-Veleni","given":"P","non-dropping-particle":"","parse-names":false,"suffix":""},{"dropping-particle":"","family":"Tzanavari","given":"K","non-dropping-particle":"","parse-names":false,"suffix":""}],"id":"ITEM-3","issued":{"date-parts":[["2009"]]},"page":"105-126","publisher":"Ministry of Culture","title":"Aiani and the Prefecture of Kozani: ten years of survey","type":"paper-conference"},"uris":["http://www.mendeley.com/documents/?uuid=40fe1239-019a-4838-9e5e-c07d46ff1d51"]},{"id":"ITEM-4","itemData":{"author":[{"dropping-particle":"","family":"Papathanasiou","given":"Anastasia","non-dropping-particle":"","parse-names":false,"suffix":""},{"dropping-particle":"","family":"Richards","given":"Michael P","non-dropping-particle":"","parse-names":false,"suffix":""}],"container-title":"AEAM 1","id":"ITEM-4","issued":{"date-parts":[["2009"]]},"page":"257-274","title":"Anthropologika kataloipa apo tis proimes theseis Mavropigis, Ksirolimnis kai Pontokomis tis Archaioteris Neolithikis sti Ditiki Makedonia","type":"chapter"},"uris":["http://www.mendeley.com/documents/?uuid=b3afa17e-0318-41cc-83b9-746fa6c652e3"]},{"id":"ITEM-5","itemData":{"author":[{"dropping-particle":"","family":"Karamitrou-Mentessidi","given":"Georgia","non-dropping-particle":"","parse-names":false,"suffix":""}],"container-title":"A century of research in prehistoric Macedonia 1912-2012","editor":[{"dropping-particle":"","family":"Stephani","given":"E","non-dropping-particle":"","parse-names":false,"suffix":""},{"dropping-particle":"","family":"Merousis","given":"N","non-dropping-particle":"","parse-names":false,"suffix":""},{"dropping-particle":"","family":"Dimoula","given":"A","non-dropping-particle":"","parse-names":false,"suffix":""}],"id":"ITEM-5","issued":{"date-parts":[["2014"]]},"page":"223-250","publisher-place":"Thessaloniki","title":"About prehistoric sites in western Macedonia: prefectures of Kozani and Grevena","type":"paper-conference"},"uris":["http://www.mendeley.com/documents/?uuid=a79914c2-8b0d-405b-82c6-e9f4b16dc013"]}],"mendeley":{"formattedCitation":"&lt;sup&gt;11,14,26,35,41&lt;/sup&gt;","plainTextFormattedCitation":"11,14,26,35,41","previouslyFormattedCitation":"&lt;sup&gt;11,14,26,35,41&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11,14,26,35,41</w:t>
      </w:r>
      <w:r w:rsidR="00B031D4" w:rsidRPr="004A2B32">
        <w:rPr>
          <w:color w:val="000000" w:themeColor="text1"/>
        </w:rPr>
        <w:fldChar w:fldCharType="end"/>
      </w:r>
      <w:r w:rsidR="00CE1F53" w:rsidRPr="004A2B32">
        <w:rPr>
          <w:color w:val="000000" w:themeColor="text1"/>
        </w:rPr>
        <w:t xml:space="preserve">. </w:t>
      </w:r>
      <w:r w:rsidRPr="004A2B32">
        <w:rPr>
          <w:color w:val="000000" w:themeColor="text1"/>
        </w:rPr>
        <w:t xml:space="preserve">In </w:t>
      </w:r>
      <w:r w:rsidR="00223BBE" w:rsidRPr="004A2B32">
        <w:rPr>
          <w:color w:val="000000" w:themeColor="text1"/>
        </w:rPr>
        <w:t xml:space="preserve">the present </w:t>
      </w:r>
      <w:r w:rsidRPr="004A2B32">
        <w:rPr>
          <w:color w:val="000000" w:themeColor="text1"/>
        </w:rPr>
        <w:t xml:space="preserve">study, five samples were </w:t>
      </w:r>
      <w:proofErr w:type="spellStart"/>
      <w:r w:rsidRPr="004A2B32">
        <w:rPr>
          <w:color w:val="000000" w:themeColor="text1"/>
        </w:rPr>
        <w:t>analysed</w:t>
      </w:r>
      <w:proofErr w:type="spellEnd"/>
      <w:r w:rsidRPr="004A2B32">
        <w:rPr>
          <w:color w:val="000000" w:themeColor="text1"/>
        </w:rPr>
        <w:t xml:space="preserve"> (</w:t>
      </w:r>
      <w:proofErr w:type="spellStart"/>
      <w:r w:rsidRPr="004A2B32">
        <w:rPr>
          <w:color w:val="000000" w:themeColor="text1"/>
        </w:rPr>
        <w:t>Xir</w:t>
      </w:r>
      <w:proofErr w:type="spellEnd"/>
      <w:r w:rsidRPr="004A2B32">
        <w:rPr>
          <w:color w:val="000000" w:themeColor="text1"/>
        </w:rPr>
        <w:t xml:space="preserve"> 1, Xir2, Xir3, Xir4B, Xir5). One sample (Xir5, burial Nr 10) was </w:t>
      </w:r>
      <w:r w:rsidRPr="004A2B32">
        <w:rPr>
          <w:color w:val="000000" w:themeColor="text1"/>
          <w:vertAlign w:val="superscript"/>
        </w:rPr>
        <w:t>14</w:t>
      </w:r>
      <w:r w:rsidRPr="004A2B32">
        <w:rPr>
          <w:color w:val="000000" w:themeColor="text1"/>
        </w:rPr>
        <w:t xml:space="preserve">C dated together with samples from </w:t>
      </w:r>
      <w:proofErr w:type="spellStart"/>
      <w:r w:rsidRPr="004A2B32">
        <w:rPr>
          <w:color w:val="000000" w:themeColor="text1"/>
        </w:rPr>
        <w:t>Mavropigi-Fillotsairi</w:t>
      </w:r>
      <w:proofErr w:type="spellEnd"/>
      <w:r w:rsidRPr="004A2B32">
        <w:rPr>
          <w:color w:val="000000" w:themeColor="text1"/>
        </w:rPr>
        <w:t xml:space="preserve"> in the Oxford Radiocarbon Accelerator Unit and dates to 7314±37BP/ /6164±51 2σ </w:t>
      </w:r>
      <w:proofErr w:type="spellStart"/>
      <w:r w:rsidRPr="004A2B32">
        <w:rPr>
          <w:color w:val="000000" w:themeColor="text1"/>
        </w:rPr>
        <w:t>cal</w:t>
      </w:r>
      <w:proofErr w:type="spellEnd"/>
      <w:r w:rsidRPr="004A2B32">
        <w:rPr>
          <w:color w:val="000000" w:themeColor="text1"/>
        </w:rPr>
        <w:t xml:space="preserve"> BC</w:t>
      </w:r>
      <w:r w:rsidR="00946123" w:rsidRPr="004A2B32">
        <w:rPr>
          <w:color w:val="000000" w:themeColor="text1"/>
        </w:rPr>
        <w:t>E</w:t>
      </w:r>
      <w:r w:rsidRPr="004A2B32">
        <w:rPr>
          <w:color w:val="000000" w:themeColor="text1"/>
        </w:rPr>
        <w:t>.</w:t>
      </w:r>
      <w:r w:rsidR="00946123" w:rsidRPr="004A2B32">
        <w:rPr>
          <w:color w:val="000000" w:themeColor="text1"/>
        </w:rPr>
        <w:t xml:space="preserve"> </w:t>
      </w:r>
      <w:r w:rsidRPr="004A2B32">
        <w:rPr>
          <w:color w:val="000000" w:themeColor="text1"/>
        </w:rPr>
        <w:t xml:space="preserve">We </w:t>
      </w:r>
      <w:proofErr w:type="spellStart"/>
      <w:r w:rsidRPr="004A2B32">
        <w:rPr>
          <w:color w:val="000000" w:themeColor="text1"/>
        </w:rPr>
        <w:t>analysed</w:t>
      </w:r>
      <w:proofErr w:type="spellEnd"/>
      <w:r w:rsidRPr="004A2B32">
        <w:rPr>
          <w:color w:val="000000" w:themeColor="text1"/>
        </w:rPr>
        <w:t xml:space="preserve"> teeth from four individuals (Xir1, Xir2, Xir4</w:t>
      </w:r>
      <w:proofErr w:type="gramStart"/>
      <w:r w:rsidRPr="004A2B32">
        <w:rPr>
          <w:color w:val="000000" w:themeColor="text1"/>
        </w:rPr>
        <w:t>a,b</w:t>
      </w:r>
      <w:proofErr w:type="gramEnd"/>
      <w:r w:rsidRPr="004A2B32">
        <w:rPr>
          <w:color w:val="000000" w:themeColor="text1"/>
        </w:rPr>
        <w:t>) and</w:t>
      </w:r>
      <w:r w:rsidR="00223BBE" w:rsidRPr="004A2B32">
        <w:rPr>
          <w:color w:val="000000" w:themeColor="text1"/>
        </w:rPr>
        <w:t xml:space="preserve"> a</w:t>
      </w:r>
      <w:r w:rsidRPr="004A2B32">
        <w:rPr>
          <w:color w:val="000000" w:themeColor="text1"/>
        </w:rPr>
        <w:t xml:space="preserve"> femur from one (Xir5)</w:t>
      </w:r>
      <w:r w:rsidR="004E1AE1" w:rsidRPr="004A2B32">
        <w:rPr>
          <w:color w:val="000000" w:themeColor="text1"/>
        </w:rPr>
        <w:t xml:space="preserve"> (Table S1)</w:t>
      </w:r>
      <w:r w:rsidRPr="004A2B32">
        <w:rPr>
          <w:color w:val="000000" w:themeColor="text1"/>
        </w:rPr>
        <w:t>.</w:t>
      </w:r>
    </w:p>
    <w:p w14:paraId="47B2A6CC" w14:textId="77777777" w:rsidR="004A61F6" w:rsidRPr="004A2B32" w:rsidRDefault="004A61F6" w:rsidP="00DB28E4">
      <w:pPr>
        <w:rPr>
          <w:color w:val="000000" w:themeColor="text1"/>
        </w:rPr>
      </w:pPr>
      <w:bookmarkStart w:id="11" w:name="_eglv20uwe794" w:colFirst="0" w:colLast="0"/>
      <w:bookmarkStart w:id="12" w:name="_7bjfppamf8p8" w:colFirst="0" w:colLast="0"/>
      <w:bookmarkEnd w:id="11"/>
      <w:bookmarkEnd w:id="12"/>
    </w:p>
    <w:p w14:paraId="2BB5B4EE" w14:textId="77777777" w:rsidR="00194C56" w:rsidRPr="004A2B32" w:rsidRDefault="00194C56" w:rsidP="00CE5AFA">
      <w:pPr>
        <w:pStyle w:val="4"/>
        <w:spacing w:before="0" w:after="0"/>
        <w:jc w:val="both"/>
        <w:rPr>
          <w:color w:val="000000" w:themeColor="text1"/>
          <w:sz w:val="22"/>
          <w:szCs w:val="22"/>
        </w:rPr>
      </w:pPr>
      <w:proofErr w:type="spellStart"/>
      <w:r w:rsidRPr="004A2B32">
        <w:rPr>
          <w:color w:val="000000" w:themeColor="text1"/>
          <w:sz w:val="22"/>
          <w:szCs w:val="22"/>
        </w:rPr>
        <w:t>Revenia</w:t>
      </w:r>
      <w:proofErr w:type="spellEnd"/>
    </w:p>
    <w:p w14:paraId="74EAD99C" w14:textId="7CA1FCCE" w:rsidR="009F0932" w:rsidRPr="004A2B32" w:rsidRDefault="009F0932" w:rsidP="00DB28E4">
      <w:pPr>
        <w:spacing w:after="0"/>
        <w:jc w:val="both"/>
        <w:rPr>
          <w:color w:val="000000" w:themeColor="text1"/>
        </w:rPr>
      </w:pPr>
      <w:bookmarkStart w:id="13" w:name="_9916ptherdb" w:colFirst="0" w:colLast="0"/>
      <w:bookmarkEnd w:id="13"/>
      <w:r w:rsidRPr="004A2B32">
        <w:rPr>
          <w:color w:val="000000" w:themeColor="text1"/>
        </w:rPr>
        <w:t xml:space="preserve">The open-air, flat-extended settlement at </w:t>
      </w:r>
      <w:proofErr w:type="spellStart"/>
      <w:r w:rsidRPr="004A2B32">
        <w:rPr>
          <w:color w:val="000000" w:themeColor="text1"/>
        </w:rPr>
        <w:t>Revenia-Korinos</w:t>
      </w:r>
      <w:proofErr w:type="spellEnd"/>
      <w:r w:rsidRPr="004A2B32">
        <w:rPr>
          <w:color w:val="000000" w:themeColor="text1"/>
        </w:rPr>
        <w:t xml:space="preserve"> lies in a small valley in lowland Pieria, central Macedonia, </w:t>
      </w:r>
      <w:r w:rsidR="0058004D">
        <w:rPr>
          <w:color w:val="000000" w:themeColor="text1"/>
        </w:rPr>
        <w:t>n</w:t>
      </w:r>
      <w:r w:rsidRPr="004A2B32">
        <w:rPr>
          <w:color w:val="000000" w:themeColor="text1"/>
        </w:rPr>
        <w:t xml:space="preserve">orth Greece, about 31 m above present-day sea level, northwest of the modern village of </w:t>
      </w:r>
      <w:proofErr w:type="spellStart"/>
      <w:r w:rsidRPr="004A2B32">
        <w:rPr>
          <w:color w:val="000000" w:themeColor="text1"/>
        </w:rPr>
        <w:t>Korinos</w:t>
      </w:r>
      <w:proofErr w:type="spellEnd"/>
      <w:r w:rsidRPr="004A2B32">
        <w:rPr>
          <w:color w:val="000000" w:themeColor="text1"/>
        </w:rPr>
        <w:t xml:space="preserve"> and about 5 km from the current shoreline,</w:t>
      </w:r>
      <w:r w:rsidR="004843CE" w:rsidRPr="004A2B32">
        <w:rPr>
          <w:color w:val="000000" w:themeColor="text1"/>
        </w:rPr>
        <w:t xml:space="preserve"> </w:t>
      </w:r>
      <w:r w:rsidRPr="004A2B32">
        <w:rPr>
          <w:color w:val="000000" w:themeColor="text1"/>
        </w:rPr>
        <w:t xml:space="preserve">and covers at least 4 ha, as the surface finds suggest. The rescue excavation conducted at the settlement during 2001-2004 revealed </w:t>
      </w:r>
      <w:r w:rsidRPr="004A2B32">
        <w:rPr>
          <w:color w:val="000000" w:themeColor="text1"/>
          <w:lang w:val="en-GB"/>
        </w:rPr>
        <w:t>more than 100 pits, cut into the natural bedrock.</w:t>
      </w:r>
      <w:r w:rsidR="004843CE" w:rsidRPr="004A2B32">
        <w:rPr>
          <w:color w:val="000000" w:themeColor="text1"/>
          <w:lang w:val="en-GB"/>
        </w:rPr>
        <w:t xml:space="preserve"> </w:t>
      </w:r>
      <w:r w:rsidRPr="004A2B32">
        <w:rPr>
          <w:color w:val="000000" w:themeColor="text1"/>
          <w:lang w:val="en-GB"/>
        </w:rPr>
        <w:t xml:space="preserve">The pits vary significantly </w:t>
      </w:r>
      <w:r w:rsidRPr="004A2B32">
        <w:rPr>
          <w:color w:val="000000" w:themeColor="text1"/>
          <w:lang w:val="en-GB"/>
        </w:rPr>
        <w:lastRenderedPageBreak/>
        <w:t xml:space="preserve">in shape and dimensions, </w:t>
      </w:r>
      <w:r w:rsidRPr="004A2B32">
        <w:rPr>
          <w:color w:val="000000" w:themeColor="text1"/>
        </w:rPr>
        <w:t>from</w:t>
      </w:r>
      <w:r w:rsidRPr="004A2B32">
        <w:rPr>
          <w:color w:val="000000" w:themeColor="text1"/>
          <w:lang w:val="en-GB"/>
        </w:rPr>
        <w:t xml:space="preserve"> 0.5 to more than 5 m diameter and up to 1.68</w:t>
      </w:r>
      <w:r w:rsidR="00D820C9" w:rsidRPr="004A2B32">
        <w:rPr>
          <w:color w:val="000000" w:themeColor="text1"/>
          <w:lang w:val="en-GB"/>
        </w:rPr>
        <w:t xml:space="preserve"> </w:t>
      </w:r>
      <w:r w:rsidRPr="004A2B32">
        <w:rPr>
          <w:color w:val="000000" w:themeColor="text1"/>
          <w:lang w:val="en-GB"/>
        </w:rPr>
        <w:t>m surviving depth</w:t>
      </w:r>
      <w:r w:rsidRPr="004A2B32">
        <w:rPr>
          <w:color w:val="000000" w:themeColor="text1"/>
        </w:rPr>
        <w:t>.</w:t>
      </w:r>
      <w:r w:rsidRPr="004A2B32">
        <w:rPr>
          <w:color w:val="000000" w:themeColor="text1"/>
          <w:lang w:val="en-GB"/>
        </w:rPr>
        <w:t xml:space="preserve"> Based on construction elements (</w:t>
      </w:r>
      <w:r w:rsidRPr="00286A4C">
        <w:rPr>
          <w:i/>
          <w:iCs/>
          <w:color w:val="000000" w:themeColor="text1"/>
          <w:lang w:val="en-GB"/>
        </w:rPr>
        <w:t>e.g.,</w:t>
      </w:r>
      <w:r w:rsidRPr="004A2B32">
        <w:rPr>
          <w:color w:val="000000" w:themeColor="text1"/>
          <w:lang w:val="en-GB"/>
        </w:rPr>
        <w:t xml:space="preserve"> size, associated postholes, occasionally burnt clay remains of the superstructure and other features)</w:t>
      </w:r>
      <w:r w:rsidRPr="004A2B32">
        <w:rPr>
          <w:color w:val="000000" w:themeColor="text1"/>
        </w:rPr>
        <w:t xml:space="preserve">, a number of pits were characterized </w:t>
      </w:r>
      <w:r w:rsidRPr="004A2B32">
        <w:rPr>
          <w:color w:val="000000" w:themeColor="text1"/>
          <w:lang w:val="en-GB"/>
        </w:rPr>
        <w:t xml:space="preserve">as subterranean or </w:t>
      </w:r>
      <w:r w:rsidRPr="004A2B32">
        <w:rPr>
          <w:color w:val="000000" w:themeColor="text1"/>
        </w:rPr>
        <w:t xml:space="preserve">semi-subterranean pit dwellings, while others as possible working areas and refuse pits. </w:t>
      </w:r>
      <w:r w:rsidRPr="004A2B32">
        <w:rPr>
          <w:color w:val="000000" w:themeColor="text1"/>
          <w:lang w:val="en-GB"/>
        </w:rPr>
        <w:t>It is suggested that the fills of</w:t>
      </w:r>
      <w:r w:rsidRPr="004A2B32">
        <w:rPr>
          <w:color w:val="000000" w:themeColor="text1"/>
        </w:rPr>
        <w:t xml:space="preserve"> most, if not all, of</w:t>
      </w:r>
      <w:r w:rsidRPr="004A2B32">
        <w:rPr>
          <w:color w:val="000000" w:themeColor="text1"/>
          <w:lang w:val="en-GB"/>
        </w:rPr>
        <w:t xml:space="preserve"> the pits were the result not of random discard but of structured deposition, a feature also observed spatially: </w:t>
      </w:r>
      <w:r w:rsidRPr="004A2B32">
        <w:rPr>
          <w:color w:val="000000" w:themeColor="text1"/>
        </w:rPr>
        <w:t xml:space="preserve">pits filled mainly with pottery </w:t>
      </w:r>
      <w:r w:rsidRPr="004A2B32">
        <w:rPr>
          <w:color w:val="000000" w:themeColor="text1"/>
          <w:lang w:val="en-GB"/>
        </w:rPr>
        <w:t xml:space="preserve">are located </w:t>
      </w:r>
      <w:r w:rsidRPr="004A2B32">
        <w:rPr>
          <w:color w:val="000000" w:themeColor="text1"/>
        </w:rPr>
        <w:t xml:space="preserve">to the northwest, </w:t>
      </w:r>
      <w:proofErr w:type="spellStart"/>
      <w:r w:rsidRPr="004A2B32">
        <w:rPr>
          <w:color w:val="000000" w:themeColor="text1"/>
        </w:rPr>
        <w:t>centre</w:t>
      </w:r>
      <w:proofErr w:type="spellEnd"/>
      <w:r w:rsidRPr="004A2B32">
        <w:rPr>
          <w:color w:val="000000" w:themeColor="text1"/>
        </w:rPr>
        <w:t xml:space="preserve"> and southeast of the excavated area, while pits that lacked pottery but contained animal bones, and pits that contained very few finds are located to the northeast.</w:t>
      </w:r>
      <w:r w:rsidR="004843CE" w:rsidRPr="004A2B32">
        <w:rPr>
          <w:color w:val="000000" w:themeColor="text1"/>
        </w:rPr>
        <w:t xml:space="preserve"> </w:t>
      </w:r>
      <w:r w:rsidRPr="004A2B32">
        <w:rPr>
          <w:color w:val="000000" w:themeColor="text1"/>
        </w:rPr>
        <w:t xml:space="preserve">There are two different habitation modes at </w:t>
      </w:r>
      <w:proofErr w:type="spellStart"/>
      <w:r w:rsidRPr="004A2B32">
        <w:rPr>
          <w:color w:val="000000" w:themeColor="text1"/>
        </w:rPr>
        <w:t>Revenia</w:t>
      </w:r>
      <w:proofErr w:type="spellEnd"/>
      <w:r w:rsidRPr="004A2B32">
        <w:rPr>
          <w:color w:val="000000" w:themeColor="text1"/>
        </w:rPr>
        <w:t>: subterranean pit dwellings and above-ground, rectangular post-framed structures, which were built over the pits or close to them</w:t>
      </w:r>
      <w:r w:rsidR="00B031D4" w:rsidRPr="004A2B32">
        <w:rPr>
          <w:color w:val="000000" w:themeColor="text1"/>
        </w:rPr>
        <w:fldChar w:fldCharType="begin" w:fldLock="1"/>
      </w:r>
      <w:r w:rsidR="00BE2180">
        <w:rPr>
          <w:color w:val="000000" w:themeColor="text1"/>
        </w:rPr>
        <w:instrText>ADDIN CSL_CITATION {"citationItems":[{"id":"ITEM-1","itemData":{"author":[{"dropping-particle":"","family":"Besios","given":"M","non-dropping-particle":"","parse-names":false,"suffix":""},{"dropping-particle":"","family":"Adaktylou","given":"F","non-dropping-particle":"","parse-names":false,"suffix":""}],"container-title":"AEMTh 18","editor":[{"dropping-particle":"","family":"Adam-Veleni","given":"P","non-dropping-particle":"","parse-names":false,"suffix":""},{"dropping-particle":"","family":"Tzanavari","given":"K","non-dropping-particle":"","parse-names":false,"suffix":""}],"id":"ITEM-1","issued":{"date-parts":[["2006"]]},"page":"357-366","publisher":"Ministry of Culture","title":"The Neolithic settlement at “Revenia” Korinou (in Greek).","type":"paper-conference"},"uris":["http://www.mendeley.com/documents/?uuid=592dc90a-f55c-4116-8a6d-55550ea070c1"]},{"id":"ITEM-2","itemData":{"author":[{"dropping-particle":"","family":"Adaktylou","given":"Foteini","non-dropping-particle":"","parse-names":false,"suffix":""}],"id":"ITEM-2","issued":{"date-parts":[["2017"]]},"publisher":"Aristotle University of Thessaloniki","title":"The Neolithic settlement at Revenia, Korinos, Pieria (in Greek) (Vol. I &amp; II).","type":"thesis"},"uris":["http://www.mendeley.com/documents/?uuid=9ce8d8de-8e1f-441c-9cdd-10b1ce2f0027"]}],"mendeley":{"formattedCitation":"&lt;sup&gt;42,43&lt;/sup&gt;","plainTextFormattedCitation":"42,43","previouslyFormattedCitation":"&lt;sup&gt;42,43&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42,43</w:t>
      </w:r>
      <w:r w:rsidR="00B031D4" w:rsidRPr="004A2B32">
        <w:rPr>
          <w:color w:val="000000" w:themeColor="text1"/>
        </w:rPr>
        <w:fldChar w:fldCharType="end"/>
      </w:r>
      <w:r w:rsidR="00774149" w:rsidRPr="004A2B32">
        <w:rPr>
          <w:color w:val="000000" w:themeColor="text1"/>
        </w:rPr>
        <w:t xml:space="preserve">. </w:t>
      </w:r>
      <w:r w:rsidRPr="004A2B32">
        <w:rPr>
          <w:color w:val="000000" w:themeColor="text1"/>
        </w:rPr>
        <w:t>The pit dwellings represent the earlier habitation period, in which, on the base of pottery style, two chronological phases can be distinguished by comparison with the better-known Thessalian sequence: an earlier Early Neolithic phase (EEN) and a later Early Neolithic phase (LEN). The habitation period with the above-ground, rectangular post-framed structures is poorly preserved and dated only to the second phase (LEN) of the settlement</w:t>
      </w:r>
      <w:r w:rsidR="00B031D4" w:rsidRPr="004A2B32">
        <w:rPr>
          <w:color w:val="000000" w:themeColor="text1"/>
        </w:rPr>
        <w:fldChar w:fldCharType="begin" w:fldLock="1"/>
      </w:r>
      <w:r w:rsidR="00BE2180">
        <w:rPr>
          <w:color w:val="000000" w:themeColor="text1"/>
        </w:rPr>
        <w:instrText>ADDIN CSL_CITATION {"citationItems":[{"id":"ITEM-1","itemData":{"author":[{"dropping-particle":"","family":"Urem-Kotsou","given":"Dushka","non-dropping-particle":"","parse-names":false,"suffix":""},{"dropping-particle":"","family":"Papaioannou","given":"Anna","non-dropping-particle":"","parse-names":false,"suffix":""},{"dropping-particle":"","family":"Papadakou","given":"Trisevgeni","non-dropping-particle":"","parse-names":false,"suffix":""},{"dropping-particle":"","family":"Saridaki","given":"Niki","non-dropping-particle":"","parse-names":false,"suffix":""},{"dropping-particle":"","family":"Intze","given":"Zoe","non-dropping-particle":"","parse-names":false,"suffix":""}],"container-title":"A century of research in prehistoric Macedonia 1912-2012","editor":[{"dropping-particle":"","family":"Stefani","given":"Evangelia","non-dropping-particle":"","parse-names":false,"suffix":""},{"dropping-particle":"","family":"Merousis","given":"Nikos","non-dropping-particle":"","parse-names":false,"suffix":""},{"dropping-particle":"","family":"Dimoula","given":"Anastasia","non-dropping-particle":"","parse-names":false,"suffix":""}],"id":"ITEM-1","issued":{"date-parts":[["2014"]]},"page":"505-517","title":"Pottery and stylistic boundaries. Early and middle neolithic pottery in Macedonia","type":"paper-conference"},"uris":["http://www.mendeley.com/documents/?uuid=f3e78d0f-a19b-4d44-ba36-a80d5b5189d2"]},{"id":"ITEM-2","itemData":{"author":[{"dropping-particle":"","family":"Adaktylou","given":"Foteini","non-dropping-particle":"","parse-names":false,"suffix":""}],"id":"ITEM-2","issued":{"date-parts":[["2017"]]},"publisher":"Aristotle University of Thessaloniki","title":"The Neolithic settlement at Revenia, Korinos, Pieria (in Greek) (Vol. I &amp; II).","type":"thesis"},"uris":["http://www.mendeley.com/documents/?uuid=9ce8d8de-8e1f-441c-9cdd-10b1ce2f0027"]},{"id":"ITEM-3","itemData":{"DOI":"10.2307/j.ctvw049k3.28","author":[{"dropping-particle":"","family":"Urem-Kotsou","given":"Dushka","non-dropping-particle":"","parse-names":false,"suffix":""},{"dropping-particle":"","family":"Dimoula","given":"Anastasia","non-dropping-particle":"","parse-names":false,"suffix":""},{"dropping-particle":"","family":"Elezi","given":"Gazmend","non-dropping-particle":"","parse-names":false,"suffix":""},{"dropping-particle":"","family":"Papadakou","given":"Trisevgeni","non-dropping-particle":"","parse-names":false,"suffix":""},{"dropping-particle":"","family":"Papaioannou","given":"Anna","non-dropping-particle":"","parse-names":false,"suffix":""},{"dropping-particle":"","family":"Saridaki","given":"Niki","non-dropping-particle":"","parse-names":false,"suffix":""},{"dropping-particle":"","family":"Siamidou","given":"Ioanna","non-dropping-particle":"","parse-names":false,"suffix":""},{"dropping-particle":"","family":"Silva","given":"Teresa","non-dropping-particle":"","parse-names":false,"suffix":""},{"dropping-particle":"","family":"Tzemopoulou","given":"Eirini","non-dropping-particle":"","parse-names":false,"suffix":""},{"dropping-particle":"","family":"Kotsakis","given":"Kostas","non-dropping-particle":"","parse-names":false,"suffix":""}],"container-title":"Communities, Landscapes, and Interaction in Neolithic Greece","id":"ITEM-3","issued":{"date-parts":[["2017","8","17"]]},"page":"324-338","publisher":"Berghahn Books","title":"Patterns in Contemporaneous Ceramic Traditions","type":"chapter"},"uris":["http://www.mendeley.com/documents/?uuid=52929d49-7f19-4c3d-8cc4-360ad3cbc0dc"]}],"mendeley":{"formattedCitation":"&lt;sup&gt;43–45&lt;/sup&gt;","plainTextFormattedCitation":"43–45","previouslyFormattedCitation":"&lt;sup&gt;43–45&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43–45</w:t>
      </w:r>
      <w:r w:rsidR="00B031D4" w:rsidRPr="004A2B32">
        <w:rPr>
          <w:color w:val="000000" w:themeColor="text1"/>
        </w:rPr>
        <w:fldChar w:fldCharType="end"/>
      </w:r>
      <w:r w:rsidR="00CD3242" w:rsidRPr="004A2B32">
        <w:rPr>
          <w:rFonts w:ascii="Calibri" w:hAnsi="Calibri" w:cs="Calibri"/>
          <w:color w:val="000000" w:themeColor="text1"/>
          <w:sz w:val="20"/>
        </w:rPr>
        <w:t xml:space="preserve">. </w:t>
      </w:r>
      <w:r w:rsidRPr="004A2B32">
        <w:rPr>
          <w:color w:val="000000" w:themeColor="text1"/>
        </w:rPr>
        <w:t xml:space="preserve">Six primary articulated inhumations in a flexed position, five secondary disarticulated inhumations (bone accumulations) and twelve cases of scattered isolated bones were found within the investigated area. According to the anthropological evidence, both sexes and all age groups are represented, while women are over-presented to men (four women versus one man). Five out of eleven articulated and disarticulated burials belong to subadults while adults die over their thirty’s. </w:t>
      </w:r>
      <w:r w:rsidRPr="004A2B32">
        <w:rPr>
          <w:bCs/>
          <w:color w:val="000000" w:themeColor="text1"/>
        </w:rPr>
        <w:t xml:space="preserve">As regards the levels of health status, the skeletal remains would suggest intense muscular strain due to everyday and heavy activities, high rates of malnutrition and poor diet during childhood and remarkable rates of tooth decay due to frequent consumption of soft and processed foodstuffs. </w:t>
      </w:r>
      <w:r w:rsidRPr="004A2B32">
        <w:rPr>
          <w:color w:val="000000" w:themeColor="text1"/>
        </w:rPr>
        <w:t>Some of the burials were related with particular artefacts while two out of the six articulated inhumations yielded clear evidence of secondary manipulation of the dead body</w:t>
      </w:r>
      <w:r w:rsidR="00B031D4" w:rsidRPr="004A2B32">
        <w:rPr>
          <w:color w:val="000000" w:themeColor="text1"/>
        </w:rPr>
        <w:fldChar w:fldCharType="begin" w:fldLock="1"/>
      </w:r>
      <w:r w:rsidR="00BE2180">
        <w:rPr>
          <w:color w:val="000000" w:themeColor="text1"/>
        </w:rPr>
        <w:instrText>ADDIN CSL_CITATION {"citationItems":[{"id":"ITEM-1","itemData":{"author":[{"dropping-particle":"","family":"Triantaphyllou","given":"Sevasti","non-dropping-particle":"","parse-names":false,"suffix":""},{"dropping-particle":"","family":"Adaktylou","given":"Foteini","non-dropping-particle":"","parse-names":false,"suffix":""}],"container-title":"AEMTh 28","editor":[{"dropping-particle":"","family":"Adam-Veleni","given":"P","non-dropping-particle":"","parse-names":false,"suffix":""},{"dropping-particle":"","family":"Arvanitaki","given":"A","non-dropping-particle":"","parse-names":false,"suffix":""},{"dropping-particle":"","family":"Zografou","given":"E","non-dropping-particle":"","parse-names":false,"suffix":""}],"id":"ITEM-1","issued":{"date-parts":[["2019"]]},"page":"215-222","publisher":"Ministry of Culture","title":"The manipulation of the deceased during the earlier phases of the Neolithic period in Macedonia: first remarks from Revenia, Korinos, northern Pieria (in Greek).","type":"paper-conference"},"uris":["http://www.mendeley.com/documents/?uuid=22ed2bb5-ad8e-4a82-9bf6-1e49dcb782e9"]}],"mendeley":{"formattedCitation":"&lt;sup&gt;46&lt;/sup&gt;","plainTextFormattedCitation":"46","previouslyFormattedCitation":"&lt;sup&gt;46&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46</w:t>
      </w:r>
      <w:r w:rsidR="00B031D4" w:rsidRPr="004A2B32">
        <w:rPr>
          <w:color w:val="000000" w:themeColor="text1"/>
        </w:rPr>
        <w:fldChar w:fldCharType="end"/>
      </w:r>
      <w:r w:rsidRPr="004A2B32">
        <w:rPr>
          <w:color w:val="000000" w:themeColor="text1"/>
        </w:rPr>
        <w:t xml:space="preserve">. </w:t>
      </w:r>
      <w:r w:rsidRPr="004A2B32">
        <w:rPr>
          <w:color w:val="000000" w:themeColor="text1"/>
          <w:lang w:val="en-GB"/>
        </w:rPr>
        <w:t xml:space="preserve">The well-defined contexts from </w:t>
      </w:r>
      <w:proofErr w:type="spellStart"/>
      <w:r w:rsidRPr="004A2B32">
        <w:rPr>
          <w:color w:val="000000" w:themeColor="text1"/>
          <w:lang w:val="en-GB"/>
        </w:rPr>
        <w:t>Revenia</w:t>
      </w:r>
      <w:proofErr w:type="spellEnd"/>
      <w:r w:rsidRPr="004A2B32">
        <w:rPr>
          <w:color w:val="000000" w:themeColor="text1"/>
          <w:lang w:val="en-GB"/>
        </w:rPr>
        <w:t xml:space="preserve"> have yielded rich assemblages of several categories of skilfully manufactured artifacts and also of </w:t>
      </w:r>
      <w:proofErr w:type="spellStart"/>
      <w:r w:rsidRPr="004A2B32">
        <w:rPr>
          <w:color w:val="000000" w:themeColor="text1"/>
          <w:lang w:val="en-GB"/>
        </w:rPr>
        <w:t>ecofacts</w:t>
      </w:r>
      <w:proofErr w:type="spellEnd"/>
      <w:r w:rsidRPr="004A2B32">
        <w:rPr>
          <w:color w:val="000000" w:themeColor="text1"/>
          <w:lang w:val="en-GB"/>
        </w:rPr>
        <w:t>, which indicate a settlement where early agriculture</w:t>
      </w:r>
      <w:r w:rsidR="00B031D4" w:rsidRPr="004A2B32">
        <w:rPr>
          <w:color w:val="000000" w:themeColor="text1"/>
          <w:lang w:val="en-GB"/>
        </w:rPr>
        <w:fldChar w:fldCharType="begin" w:fldLock="1"/>
      </w:r>
      <w:r w:rsidR="00BE2180">
        <w:rPr>
          <w:color w:val="000000" w:themeColor="text1"/>
          <w:lang w:val="en-GB"/>
        </w:rPr>
        <w:instrText>ADDIN CSL_CITATION {"citationItems":[{"id":"ITEM-1","itemData":{"author":[{"dropping-particle":"","family":"Kotzamani","given":"Georgia","non-dropping-particle":"","parse-names":false,"suffix":""}],"container-title":"PhD Thesis","id":"ITEM-1","issued":{"date-parts":[["2009"]]},"publisher":"Aristotle University of Thessaloniki","title":"From gathering to cultivation: an archaeobotanical investigation of the early stages of plant exploitation and the beginnings of agriculture in Greece (Theopetra cave, Schisto cave, Sidari, Revenia) (in Greek)","type":"thesis"},"uris":["http://www.mendeley.com/documents/?uuid=7256a176-986a-46f7-a81b-7004b0427b7c"]}],"mendeley":{"formattedCitation":"&lt;sup&gt;47&lt;/sup&gt;","plainTextFormattedCitation":"47","previouslyFormattedCitation":"&lt;sup&gt;47&lt;/sup&gt;"},"properties":{"noteIndex":0},"schema":"https://github.com/citation-style-language/schema/raw/master/csl-citation.json"}</w:instrText>
      </w:r>
      <w:r w:rsidR="00B031D4" w:rsidRPr="004A2B32">
        <w:rPr>
          <w:color w:val="000000" w:themeColor="text1"/>
          <w:lang w:val="en-GB"/>
        </w:rPr>
        <w:fldChar w:fldCharType="separate"/>
      </w:r>
      <w:r w:rsidR="00BE2180" w:rsidRPr="00BE2180">
        <w:rPr>
          <w:noProof/>
          <w:color w:val="000000" w:themeColor="text1"/>
          <w:vertAlign w:val="superscript"/>
          <w:lang w:val="en-GB"/>
        </w:rPr>
        <w:t>47</w:t>
      </w:r>
      <w:r w:rsidR="00B031D4" w:rsidRPr="004A2B32">
        <w:rPr>
          <w:color w:val="000000" w:themeColor="text1"/>
          <w:lang w:val="en-GB"/>
        </w:rPr>
        <w:fldChar w:fldCharType="end"/>
      </w:r>
      <w:r w:rsidRPr="004A2B32">
        <w:rPr>
          <w:color w:val="000000" w:themeColor="text1"/>
          <w:lang w:val="en-GB"/>
        </w:rPr>
        <w:t xml:space="preserve"> and livestock management</w:t>
      </w:r>
      <w:r w:rsidR="00B031D4" w:rsidRPr="004A2B32">
        <w:rPr>
          <w:color w:val="000000" w:themeColor="text1"/>
          <w:lang w:val="en-GB"/>
        </w:rPr>
        <w:fldChar w:fldCharType="begin" w:fldLock="1"/>
      </w:r>
      <w:r w:rsidR="00BE2180">
        <w:rPr>
          <w:color w:val="000000" w:themeColor="text1"/>
          <w:lang w:val="en-GB"/>
        </w:rPr>
        <w:instrText>ADDIN CSL_CITATION {"citationItems":[{"id":"ITEM-1","itemData":{"DOI":"10.1016/j.quaint.2018.05.040","ISSN":"10406182","author":[{"dropping-particle":"","family":"Isaakidou","given":"Valasia","non-dropping-particle":"","parse-names":false,"suffix":""},{"dropping-particle":"","family":"Halstead","given":"Paul","non-dropping-particle":"","parse-names":false,"suffix":""},{"dropping-particle":"","family":"Adaktylou","given":"Foteini","non-dropping-particle":"","parse-names":false,"suffix":""}],"container-title":"Quaternary International","id":"ITEM-1","issued":{"date-parts":[["2018","12"]]},"page":"108-126","title":"Animal carcass processing, cooking and consumption at Early Neolithic Revenia-Korinou, northern Greece","type":"article-journal","volume":"496"},"uris":["http://www.mendeley.com/documents/?uuid=7c03c250-e630-417c-8b93-38215c6eb5b0"]}],"mendeley":{"formattedCitation":"&lt;sup&gt;48&lt;/sup&gt;","plainTextFormattedCitation":"48","previouslyFormattedCitation":"&lt;sup&gt;48&lt;/sup&gt;"},"properties":{"noteIndex":0},"schema":"https://github.com/citation-style-language/schema/raw/master/csl-citation.json"}</w:instrText>
      </w:r>
      <w:r w:rsidR="00B031D4" w:rsidRPr="004A2B32">
        <w:rPr>
          <w:color w:val="000000" w:themeColor="text1"/>
          <w:lang w:val="en-GB"/>
        </w:rPr>
        <w:fldChar w:fldCharType="separate"/>
      </w:r>
      <w:r w:rsidR="00BE2180" w:rsidRPr="00BE2180">
        <w:rPr>
          <w:noProof/>
          <w:color w:val="000000" w:themeColor="text1"/>
          <w:vertAlign w:val="superscript"/>
          <w:lang w:val="en-GB"/>
        </w:rPr>
        <w:t>48</w:t>
      </w:r>
      <w:r w:rsidR="00B031D4" w:rsidRPr="004A2B32">
        <w:rPr>
          <w:color w:val="000000" w:themeColor="text1"/>
          <w:lang w:val="en-GB"/>
        </w:rPr>
        <w:fldChar w:fldCharType="end"/>
      </w:r>
      <w:r w:rsidR="001E3B31" w:rsidRPr="001E3B31">
        <w:rPr>
          <w:color w:val="000000" w:themeColor="text1"/>
        </w:rPr>
        <w:t xml:space="preserve"> </w:t>
      </w:r>
      <w:r w:rsidRPr="004A2B32">
        <w:rPr>
          <w:color w:val="000000" w:themeColor="text1"/>
          <w:lang w:val="en-GB"/>
        </w:rPr>
        <w:t>were practised</w:t>
      </w:r>
      <w:r w:rsidRPr="004A2B32">
        <w:rPr>
          <w:bCs/>
          <w:color w:val="000000" w:themeColor="text1"/>
        </w:rPr>
        <w:t>.</w:t>
      </w:r>
      <w:r w:rsidRPr="004A2B32">
        <w:rPr>
          <w:color w:val="000000" w:themeColor="text1"/>
          <w:lang w:val="en-GB"/>
        </w:rPr>
        <w:t xml:space="preserve"> The inhabitants of </w:t>
      </w:r>
      <w:proofErr w:type="spellStart"/>
      <w:r w:rsidRPr="004A2B32">
        <w:rPr>
          <w:color w:val="000000" w:themeColor="text1"/>
          <w:lang w:val="en-GB"/>
        </w:rPr>
        <w:t>Revenia</w:t>
      </w:r>
      <w:proofErr w:type="spellEnd"/>
      <w:r w:rsidRPr="004A2B32">
        <w:rPr>
          <w:color w:val="000000" w:themeColor="text1"/>
          <w:lang w:val="en-GB"/>
        </w:rPr>
        <w:t xml:space="preserve"> communicated and interacted with other settlements, participating in exchange networks, as pottery analysis</w:t>
      </w:r>
      <w:r w:rsidR="00B031D4" w:rsidRPr="004A2B32">
        <w:rPr>
          <w:color w:val="000000" w:themeColor="text1"/>
          <w:lang w:val="en-GB"/>
        </w:rPr>
        <w:fldChar w:fldCharType="begin" w:fldLock="1"/>
      </w:r>
      <w:r w:rsidR="00BE2180">
        <w:rPr>
          <w:color w:val="000000" w:themeColor="text1"/>
          <w:lang w:val="en-GB"/>
        </w:rPr>
        <w:instrText>ADDIN CSL_CITATION {"citationItems":[{"id":"ITEM-1","itemData":{"DOI":"10.2307/j.ctvw049k3.28","author":[{"dropping-particle":"","family":"Urem-Kotsou","given":"Dushka","non-dropping-particle":"","parse-names":false,"suffix":""},{"dropping-particle":"","family":"Dimoula","given":"Anastasia","non-dropping-particle":"","parse-names":false,"suffix":""},{"dropping-particle":"","family":"Elezi","given":"Gazmend","non-dropping-particle":"","parse-names":false,"suffix":""},{"dropping-particle":"","family":"Papadakou","given":"Trisevgeni","non-dropping-particle":"","parse-names":false,"suffix":""},{"dropping-particle":"","family":"Papaioannou","given":"Anna","non-dropping-particle":"","parse-names":false,"suffix":""},{"dropping-particle":"","family":"Saridaki","given":"Niki","non-dropping-particle":"","parse-names":false,"suffix":""},{"dropping-particle":"","family":"Siamidou","given":"Ioanna","non-dropping-particle":"","parse-names":false,"suffix":""},{"dropping-particle":"","family":"Silva","given":"Teresa","non-dropping-particle":"","parse-names":false,"suffix":""},{"dropping-particle":"","family":"Tzemopoulou","given":"Eirini","non-dropping-particle":"","parse-names":false,"suffix":""},{"dropping-particle":"","family":"Kotsakis","given":"Kostas","non-dropping-particle":"","parse-names":false,"suffix":""}],"container-title":"Communities, Landscapes, and Interaction in Neolithic Greece","id":"ITEM-1","issued":{"date-parts":[["2017","8","17"]]},"page":"324-338","publisher":"Berghahn Books","title":"Patterns in Contemporaneous Ceramic Traditions","type":"chapter"},"uris":["http://www.mendeley.com/documents/?uuid=52929d49-7f19-4c3d-8cc4-360ad3cbc0dc"]}],"mendeley":{"formattedCitation":"&lt;sup&gt;45&lt;/sup&gt;","plainTextFormattedCitation":"45","previouslyFormattedCitation":"&lt;sup&gt;45&lt;/sup&gt;"},"properties":{"noteIndex":0},"schema":"https://github.com/citation-style-language/schema/raw/master/csl-citation.json"}</w:instrText>
      </w:r>
      <w:r w:rsidR="00B031D4" w:rsidRPr="004A2B32">
        <w:rPr>
          <w:color w:val="000000" w:themeColor="text1"/>
          <w:lang w:val="en-GB"/>
        </w:rPr>
        <w:fldChar w:fldCharType="separate"/>
      </w:r>
      <w:r w:rsidR="00BE2180" w:rsidRPr="00BE2180">
        <w:rPr>
          <w:noProof/>
          <w:color w:val="000000" w:themeColor="text1"/>
          <w:vertAlign w:val="superscript"/>
          <w:lang w:val="en-GB"/>
        </w:rPr>
        <w:t>45</w:t>
      </w:r>
      <w:r w:rsidR="00B031D4" w:rsidRPr="004A2B32">
        <w:rPr>
          <w:color w:val="000000" w:themeColor="text1"/>
          <w:lang w:val="en-GB"/>
        </w:rPr>
        <w:fldChar w:fldCharType="end"/>
      </w:r>
      <w:r w:rsidRPr="004A2B32">
        <w:rPr>
          <w:color w:val="000000" w:themeColor="text1"/>
          <w:lang w:val="en-GB"/>
        </w:rPr>
        <w:t xml:space="preserve"> and the presence of obsidian in large quantities</w:t>
      </w:r>
      <w:r w:rsidR="00B031D4" w:rsidRPr="004A2B32">
        <w:rPr>
          <w:color w:val="000000" w:themeColor="text1"/>
          <w:lang w:val="en-GB"/>
        </w:rPr>
        <w:fldChar w:fldCharType="begin" w:fldLock="1"/>
      </w:r>
      <w:r w:rsidR="00BE2180">
        <w:rPr>
          <w:color w:val="000000" w:themeColor="text1"/>
          <w:lang w:val="en-GB"/>
        </w:rPr>
        <w:instrText>ADDIN CSL_CITATION {"citationItems":[{"id":"ITEM-1","itemData":{"author":[{"dropping-particle":"","family":"Dogiama","given":"L","non-dropping-particle":"","parse-names":false,"suffix":""}],"container-title":"Communities, Landscapes, and Interaction in Neolithic Greece. Proceedings of the International Conference. Rethymno 29-30 May, 2015","editor":[{"dropping-particle":"","family":"Sarris","given":"A","non-dropping-particle":"","parse-names":false,"suffix":""},{"dropping-particle":"","family":"Kalogiropoulou","given":"E","non-dropping-particle":"","parse-names":false,"suffix":""},{"dropping-particle":"","family":"Kalayci","given":"Y","non-dropping-particle":"","parse-names":false,"suffix":""},{"dropping-particle":"","family":"Karimali","given":"L","non-dropping-particle":"","parse-names":false,"suffix":""}],"id":"ITEM-1","issued":{"date-parts":[["2017"]]},"page":"446-462","publisher":"International Monographs in Prehistory. Archaeological Series 20","title":"Casting a Wide Network: Preliminary Results from the Early Neolithic Chipped Stone Assemblages from Revenia, Pieria (Greece).","type":"paper-conference"},"uris":["http://www.mendeley.com/documents/?uuid=eeacf887-0a5f-4972-8c5a-2a4045fc9b93"]}],"mendeley":{"formattedCitation":"&lt;sup&gt;49&lt;/sup&gt;","plainTextFormattedCitation":"49","previouslyFormattedCitation":"&lt;sup&gt;49&lt;/sup&gt;"},"properties":{"noteIndex":0},"schema":"https://github.com/citation-style-language/schema/raw/master/csl-citation.json"}</w:instrText>
      </w:r>
      <w:r w:rsidR="00B031D4" w:rsidRPr="004A2B32">
        <w:rPr>
          <w:color w:val="000000" w:themeColor="text1"/>
          <w:lang w:val="en-GB"/>
        </w:rPr>
        <w:fldChar w:fldCharType="separate"/>
      </w:r>
      <w:r w:rsidR="00BE2180" w:rsidRPr="00BE2180">
        <w:rPr>
          <w:noProof/>
          <w:color w:val="000000" w:themeColor="text1"/>
          <w:vertAlign w:val="superscript"/>
          <w:lang w:val="en-GB"/>
        </w:rPr>
        <w:t>49</w:t>
      </w:r>
      <w:r w:rsidR="00B031D4" w:rsidRPr="004A2B32">
        <w:rPr>
          <w:color w:val="000000" w:themeColor="text1"/>
          <w:lang w:val="en-GB"/>
        </w:rPr>
        <w:fldChar w:fldCharType="end"/>
      </w:r>
      <w:r w:rsidRPr="004A2B32">
        <w:rPr>
          <w:color w:val="000000" w:themeColor="text1"/>
        </w:rPr>
        <w:t xml:space="preserve"> indicate. </w:t>
      </w:r>
      <w:r w:rsidRPr="004A2B32">
        <w:rPr>
          <w:bCs/>
          <w:color w:val="000000" w:themeColor="text1"/>
        </w:rPr>
        <w:t>The radiocarbon results from the earlier habitation period of the site (</w:t>
      </w:r>
      <w:r w:rsidRPr="00286A4C">
        <w:rPr>
          <w:bCs/>
          <w:i/>
          <w:iCs/>
          <w:color w:val="000000" w:themeColor="text1"/>
        </w:rPr>
        <w:t>i.e.</w:t>
      </w:r>
      <w:r w:rsidRPr="004A2B32">
        <w:rPr>
          <w:bCs/>
          <w:color w:val="000000" w:themeColor="text1"/>
        </w:rPr>
        <w:t xml:space="preserve">, the pits) show that </w:t>
      </w:r>
      <w:proofErr w:type="spellStart"/>
      <w:r w:rsidRPr="004A2B32">
        <w:rPr>
          <w:bCs/>
          <w:color w:val="000000" w:themeColor="text1"/>
        </w:rPr>
        <w:t>Revenia</w:t>
      </w:r>
      <w:proofErr w:type="spellEnd"/>
      <w:r w:rsidRPr="004A2B32">
        <w:rPr>
          <w:bCs/>
          <w:color w:val="000000" w:themeColor="text1"/>
        </w:rPr>
        <w:t xml:space="preserve"> is one of the earliest Early Neolithic settlements in </w:t>
      </w:r>
      <w:r w:rsidR="0058004D">
        <w:rPr>
          <w:bCs/>
          <w:color w:val="000000" w:themeColor="text1"/>
        </w:rPr>
        <w:t>n</w:t>
      </w:r>
      <w:r w:rsidRPr="004A2B32">
        <w:rPr>
          <w:bCs/>
          <w:color w:val="000000" w:themeColor="text1"/>
        </w:rPr>
        <w:t xml:space="preserve">orth Greece and the Aegean in general. </w:t>
      </w:r>
      <w:r w:rsidRPr="004A2B32">
        <w:rPr>
          <w:color w:val="000000" w:themeColor="text1"/>
        </w:rPr>
        <w:t>The initial phase of habitation is dated at around 6</w:t>
      </w:r>
      <w:r w:rsidR="00CD3242" w:rsidRPr="004A2B32">
        <w:rPr>
          <w:color w:val="000000" w:themeColor="text1"/>
        </w:rPr>
        <w:t>,</w:t>
      </w:r>
      <w:r w:rsidRPr="004A2B32">
        <w:rPr>
          <w:color w:val="000000" w:themeColor="text1"/>
        </w:rPr>
        <w:t>600/6</w:t>
      </w:r>
      <w:r w:rsidR="00CD3242" w:rsidRPr="004A2B32">
        <w:rPr>
          <w:color w:val="000000" w:themeColor="text1"/>
        </w:rPr>
        <w:t>,</w:t>
      </w:r>
      <w:r w:rsidRPr="004A2B32">
        <w:rPr>
          <w:color w:val="000000" w:themeColor="text1"/>
        </w:rPr>
        <w:t>550 BC. Habitation intensified at around 6</w:t>
      </w:r>
      <w:r w:rsidR="00CD3242" w:rsidRPr="004A2B32">
        <w:rPr>
          <w:color w:val="000000" w:themeColor="text1"/>
        </w:rPr>
        <w:t>,</w:t>
      </w:r>
      <w:r w:rsidRPr="004A2B32">
        <w:rPr>
          <w:color w:val="000000" w:themeColor="text1"/>
        </w:rPr>
        <w:t>460/6</w:t>
      </w:r>
      <w:r w:rsidR="00CD3242" w:rsidRPr="004A2B32">
        <w:rPr>
          <w:color w:val="000000" w:themeColor="text1"/>
        </w:rPr>
        <w:t>,</w:t>
      </w:r>
      <w:r w:rsidRPr="004A2B32">
        <w:rPr>
          <w:color w:val="000000" w:themeColor="text1"/>
        </w:rPr>
        <w:t>430 BC, accompanied by a shift in pottery style. This phase lasts until 6</w:t>
      </w:r>
      <w:r w:rsidR="00CD3242" w:rsidRPr="004A2B32">
        <w:rPr>
          <w:color w:val="000000" w:themeColor="text1"/>
        </w:rPr>
        <w:t>,</w:t>
      </w:r>
      <w:r w:rsidRPr="004A2B32">
        <w:rPr>
          <w:color w:val="000000" w:themeColor="text1"/>
        </w:rPr>
        <w:t>200/6</w:t>
      </w:r>
      <w:r w:rsidR="00CD3242" w:rsidRPr="004A2B32">
        <w:rPr>
          <w:color w:val="000000" w:themeColor="text1"/>
        </w:rPr>
        <w:t>,</w:t>
      </w:r>
      <w:r w:rsidRPr="004A2B32">
        <w:rPr>
          <w:color w:val="000000" w:themeColor="text1"/>
        </w:rPr>
        <w:t>100 BC when the pit habitation mode is followed by above-ground, rectangular post-framed structures</w:t>
      </w:r>
      <w:r w:rsidR="00B031D4" w:rsidRPr="004A2B32">
        <w:rPr>
          <w:bCs/>
          <w:color w:val="000000" w:themeColor="text1"/>
        </w:rPr>
        <w:fldChar w:fldCharType="begin" w:fldLock="1"/>
      </w:r>
      <w:r w:rsidR="00BE2180">
        <w:rPr>
          <w:bCs/>
          <w:color w:val="000000" w:themeColor="text1"/>
        </w:rPr>
        <w:instrText>ADDIN CSL_CITATION {"citationItems":[{"id":"ITEM-1","itemData":{"DOI":"10.1017/RDC.2021.26","ISSN":"0033-8222","abstract":"Radiocarbon ( 14 C) dating was applied to the Neolithic open-air, flat-extended settlement at Revenia-Korinos in Pieria, North Greece. The samples came from the earlier habitation period of the settlement, characterized by more than 100 pits that vary significantly in shape and dimensions, some of them being identified as subterranean or semi-subterranean pit dwellings. It is suggested that the fills of the pits were the result of secondary, structured refuse deposition, except for pits that preserve their habitational use, according to stratigraphic data. The 14 C results confirm that Revenia is among the earliest Neolithic settlements in North Greece and the Aegean in general. The initial phase of habitation is dated at around 6600/6550 BC comparable only to two other EN sites in North Greece. Habitation intensified at around 6460/6430 BC, accompanied by a shift in pottery style. This phase lasts until 6200/6100 BC when the pit habitation mode is followed by above-ground, rectangular post-framed structures. The dates of the human burials from Revenia also identify them as among the earliest Neolithic burials in Greece. Finally, the radiocarbon dates proved very useful for sequencing the chronological use of the pits and the excavated area in general.","author":[{"dropping-particle":"","family":"Maniatis","given":"Yannis","non-dropping-particle":"","parse-names":false,"suffix":""},{"dropping-particle":"","family":"Adaktylou","given":"Fotini","non-dropping-particle":"","parse-names":false,"suffix":""}],"container-title":"Radiocarbon","id":"ITEM-1","issue":"3","issued":{"date-parts":[["2021","6","22"]]},"page":"1025-1051","title":"Revenia-Korinos: one of the earliest neolithic settlements in north Greece as evidenced by radiocarbon dating","type":"article-journal","volume":"63"},"uris":["http://www.mendeley.com/documents/?uuid=c0b6e457-2a88-4da5-bb23-ada94d7a2219"]}],"mendeley":{"formattedCitation":"&lt;sup&gt;50&lt;/sup&gt;","plainTextFormattedCitation":"50","previouslyFormattedCitation":"&lt;sup&gt;50&lt;/sup&gt;"},"properties":{"noteIndex":0},"schema":"https://github.com/citation-style-language/schema/raw/master/csl-citation.json"}</w:instrText>
      </w:r>
      <w:r w:rsidR="00B031D4" w:rsidRPr="004A2B32">
        <w:rPr>
          <w:bCs/>
          <w:color w:val="000000" w:themeColor="text1"/>
        </w:rPr>
        <w:fldChar w:fldCharType="separate"/>
      </w:r>
      <w:r w:rsidR="00BE2180" w:rsidRPr="00BE2180">
        <w:rPr>
          <w:bCs/>
          <w:noProof/>
          <w:color w:val="000000" w:themeColor="text1"/>
          <w:vertAlign w:val="superscript"/>
        </w:rPr>
        <w:t>50</w:t>
      </w:r>
      <w:r w:rsidR="00B031D4" w:rsidRPr="004A2B32">
        <w:rPr>
          <w:bCs/>
          <w:color w:val="000000" w:themeColor="text1"/>
        </w:rPr>
        <w:fldChar w:fldCharType="end"/>
      </w:r>
      <w:r w:rsidRPr="004A2B32">
        <w:rPr>
          <w:color w:val="000000" w:themeColor="text1"/>
        </w:rPr>
        <w:t>.</w:t>
      </w:r>
    </w:p>
    <w:p w14:paraId="70AB3CFD" w14:textId="1FD70608" w:rsidR="00194C56" w:rsidRDefault="009F0932" w:rsidP="0082390B">
      <w:pPr>
        <w:spacing w:after="0"/>
        <w:ind w:firstLine="720"/>
        <w:jc w:val="both"/>
        <w:rPr>
          <w:color w:val="000000" w:themeColor="text1"/>
        </w:rPr>
      </w:pPr>
      <w:r w:rsidRPr="004A2B32">
        <w:rPr>
          <w:color w:val="000000" w:themeColor="text1"/>
        </w:rPr>
        <w:lastRenderedPageBreak/>
        <w:t xml:space="preserve">In the present study we </w:t>
      </w:r>
      <w:proofErr w:type="spellStart"/>
      <w:r w:rsidRPr="004A2B32">
        <w:rPr>
          <w:color w:val="000000" w:themeColor="text1"/>
        </w:rPr>
        <w:t>analysed</w:t>
      </w:r>
      <w:proofErr w:type="spellEnd"/>
      <w:r w:rsidRPr="004A2B32">
        <w:rPr>
          <w:color w:val="000000" w:themeColor="text1"/>
        </w:rPr>
        <w:t xml:space="preserve"> samples from five individuals (sample Rev1-4, Rev6). One sample Rev5 was previously </w:t>
      </w:r>
      <w:proofErr w:type="spellStart"/>
      <w:r w:rsidRPr="004A2B32">
        <w:rPr>
          <w:color w:val="000000" w:themeColor="text1"/>
        </w:rPr>
        <w:t>genomically</w:t>
      </w:r>
      <w:proofErr w:type="spellEnd"/>
      <w:r w:rsidRPr="004A2B32">
        <w:rPr>
          <w:color w:val="000000" w:themeColor="text1"/>
        </w:rPr>
        <w:t xml:space="preserve"> (WGS) </w:t>
      </w:r>
      <w:proofErr w:type="spellStart"/>
      <w:r w:rsidRPr="004A2B32">
        <w:rPr>
          <w:color w:val="000000" w:themeColor="text1"/>
        </w:rPr>
        <w:t>analysed</w:t>
      </w:r>
      <w:proofErr w:type="spellEnd"/>
      <w:r w:rsidRPr="004A2B32">
        <w:rPr>
          <w:color w:val="000000" w:themeColor="text1"/>
        </w:rPr>
        <w:t xml:space="preserve"> and radiocarbon dated</w:t>
      </w:r>
      <w:r w:rsidR="00B031D4" w:rsidRPr="004A2B32">
        <w:rPr>
          <w:color w:val="000000" w:themeColor="text1"/>
        </w:rPr>
        <w:fldChar w:fldCharType="begin" w:fldLock="1"/>
      </w:r>
      <w:r w:rsidR="00BE2180">
        <w:rPr>
          <w:color w:val="000000" w:themeColor="text1"/>
        </w:rPr>
        <w:instrText>ADDIN CSL_CITATION {"citationItems":[{"id":"ITEM-1","itemData":{"DOI":"10.1073/pnas.1523951113","ISSN":"0027-8424","abstract":"Farming and sedentism first appeared in southwestern Asia during the early Holocene and later spread to neighboring regions, including Europe, along multiple dispersal routes. Conspicuous uncertainties remain about the relative roles of migration, cultural diffusion, and admixture with local foragers in the early Neolithization of Europe. Here we present paleogenomic data for five Neolithic individuals from northern Greece and northwestern Turkey spanning the time and region of the earliest spread of farming into Europe. We use a novel approach to recalibrate raw reads and call genotypes from ancient DNA and observe striking genetic similarity both among Aegean early farmers and with those from across Europe. Our study demonstrates a direct genetic link between Mediterranean and Central European early farmers and those of Greece and Anatolia, extending the European Neolithic migratory chain all the way back to southwestern Asia.","author":[{"dropping-particle":"","family":"Hofmanová","given":"Zuzana","non-dropping-particle":"","parse-names":false,"suffix":""},{"dropping-particle":"","family":"Kreutzer","given":"Susanne","non-dropping-particle":"","parse-names":false,"suffix":""},{"dropping-particle":"","family":"Hellenthal","given":"Garrett","non-dropping-particle":"","parse-names":false,"suffix":""},{"dropping-particle":"","family":"Sell","given":"Christian","non-dropping-particle":"","parse-names":false,"suffix":""},{"dropping-particle":"","family":"Diekmann","given":"Yoan","non-dropping-particle":"","parse-names":false,"suffix":""},{"dropping-particle":"","family":"Díez-del-Molino","given":"David","non-dropping-particle":"","parse-names":false,"suffix":""},{"dropping-particle":"","family":"Dorp","given":"Lucy","non-dropping-particle":"van","parse-names":false,"suffix":""},{"dropping-particle":"","family":"López","given":"Saioa","non-dropping-particle":"","parse-names":false,"suffix":""},{"dropping-particle":"","family":"Kousathanas","given":"Athanasios","non-dropping-particle":"","parse-names":false,"suffix":""},{"dropping-particle":"","family":"Link","given":"Vivian","non-dropping-particle":"","parse-names":false,"suffix":""},{"dropping-particle":"","family":"Kirsanow","given":"Karola","non-dropping-particle":"","parse-names":false,"suffix":""},{"dropping-particle":"","family":"Cassidy","given":"Lara M.","non-dropping-particle":"","parse-names":false,"suffix":""},{"dropping-particle":"","family":"Martiniano","given":"Rui","non-dropping-particle":"","parse-names":false,"suffix":""},{"dropping-particle":"","family":"Strobel","given":"Melanie","non-dropping-particle":"","parse-names":false,"suffix":""},{"dropping-particle":"","family":"Scheu","given":"Amelie","non-dropping-particle":"","parse-names":false,"suffix":""},{"dropping-particle":"","family":"Kotsakis","given":"Kostas","non-dropping-particle":"","parse-names":false,"suffix":""},{"dropping-particle":"","family":"Halstead","given":"Paul","non-dropping-particle":"","parse-names":false,"suffix":""},{"dropping-particle":"","family":"Triantaphyllou","given":"Sevi","non-dropping-particle":"","parse-names":false,"suffix":""},{"dropping-particle":"","family":"Kyparissi-Apostolika","given":"Nina","non-dropping-particle":"","parse-names":false,"suffix":""},{"dropping-particle":"","family":"Urem-Kotsou","given":"Dushka","non-dropping-particle":"","parse-names":false,"suffix":""},{"dropping-particle":"","family":"Ziota","given":"Christina","non-dropping-particle":"","parse-names":false,"suffix":""},{"dropping-particle":"","family":"Adaktylou","given":"Fotini","non-dropping-particle":"","parse-names":false,"suffix":""},{"dropping-particle":"","family":"Gopalan","given":"Shyamalika","non-dropping-particle":"","parse-names":false,"suffix":""},{"dropping-particle":"","family":"Bobo","given":"Dean M.","non-dropping-particle":"","parse-names":false,"suffix":""},{"dropping-particle":"","family":"Winkelbach","given":"Laura","non-dropping-particle":"","parse-names":false,"suffix":""},{"dropping-particle":"","family":"Blöcher","given":"Jens","non-dropping-particle":"","parse-names":false,"suffix":""},{"dropping-particle":"","family":"Unterländer","given":"Martina","non-dropping-particle":"","parse-names":false,"suffix":""},{"dropping-particle":"","family":"Leuenberger","given":"Christoph","non-dropping-particle":"","parse-names":false,"suffix":""},{"dropping-particle":"","family":"Çilingiroğlu","given":"Çiler","non-dropping-particle":"","parse-names":false,"suffix":""},{"dropping-particle":"","family":"Horejs","given":"Barbara","non-dropping-particle":"","parse-names":false,"suffix":""},{"dropping-particle":"","family":"Gerritsen","given":"Fokke","non-dropping-particle":"","parse-names":false,"suffix":""},{"dropping-particle":"","family":"Shennan","given":"Stephen J.","non-dropping-particle":"","parse-names":false,"suffix":""},{"dropping-particle":"","family":"Bradley","given":"Daniel G.","non-dropping-particle":"","parse-names":false,"suffix":""},{"dropping-particle":"","family":"Currat","given":"Mathias","non-dropping-particle":"","parse-names":false,"suffix":""},{"dropping-particle":"","family":"Veeramah","given":"Krishna R.","non-dropping-particle":"","parse-names":false,"suffix":""},{"dropping-particle":"","family":"Wegmann","given":"Daniel","non-dropping-particle":"","parse-names":false,"suffix":""},{"dropping-particle":"","family":"Thomas","given":"Mark G.","non-dropping-particle":"","parse-names":false,"suffix":""},{"dropping-particle":"","family":"Papageorgopoulou","given":"Christina","non-dropping-particle":"","parse-names":false,"suffix":""},{"dropping-particle":"","family":"Burger","given":"Joachim","non-dropping-particle":"","parse-names":false,"suffix":""}],"container-title":"Proceedings of the National Academy of Sciences","id":"ITEM-1","issue":"25","issued":{"date-parts":[["2016","6","21"]]},"page":"6886-6891","title":"Early farmers from across Europe directly descended from Neolithic Aegeans","type":"article-journal","volume":"113"},"uris":["http://www.mendeley.com/documents/?uuid=b945c703-aff7-4b1b-91b7-380f0d502743"]}],"mendeley":{"formattedCitation":"&lt;sup&gt;8&lt;/sup&gt;","plainTextFormattedCitation":"8","previouslyFormattedCitation":"&lt;sup&gt;8&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8</w:t>
      </w:r>
      <w:r w:rsidR="00B031D4" w:rsidRPr="004A2B32">
        <w:rPr>
          <w:color w:val="000000" w:themeColor="text1"/>
        </w:rPr>
        <w:fldChar w:fldCharType="end"/>
      </w:r>
      <w:r w:rsidR="00DB28E4" w:rsidRPr="004A2B32">
        <w:rPr>
          <w:color w:val="000000" w:themeColor="text1"/>
        </w:rPr>
        <w:t xml:space="preserve"> </w:t>
      </w:r>
      <w:r w:rsidR="004E1AE1" w:rsidRPr="004A2B32">
        <w:rPr>
          <w:color w:val="000000" w:themeColor="text1"/>
        </w:rPr>
        <w:t>(Table S1)</w:t>
      </w:r>
      <w:r w:rsidR="00DF46BA" w:rsidRPr="004A2B32">
        <w:rPr>
          <w:color w:val="000000" w:themeColor="text1"/>
        </w:rPr>
        <w:t>.</w:t>
      </w:r>
    </w:p>
    <w:p w14:paraId="276D1658" w14:textId="77777777" w:rsidR="004C0420" w:rsidRPr="004A2B32" w:rsidRDefault="004C0420" w:rsidP="0082390B">
      <w:pPr>
        <w:spacing w:after="0"/>
        <w:ind w:firstLine="720"/>
        <w:jc w:val="both"/>
        <w:rPr>
          <w:color w:val="000000" w:themeColor="text1"/>
        </w:rPr>
      </w:pPr>
    </w:p>
    <w:p w14:paraId="314F452E" w14:textId="2B3F13EB" w:rsidR="00194C56" w:rsidRPr="004A2B32" w:rsidRDefault="00194C56">
      <w:pPr>
        <w:pStyle w:val="4"/>
        <w:spacing w:before="200"/>
        <w:jc w:val="both"/>
        <w:rPr>
          <w:color w:val="000000" w:themeColor="text1"/>
          <w:sz w:val="22"/>
          <w:szCs w:val="22"/>
        </w:rPr>
      </w:pPr>
      <w:bookmarkStart w:id="14" w:name="_d3x8jxo8ynme" w:colFirst="0" w:colLast="0"/>
      <w:bookmarkEnd w:id="14"/>
      <w:proofErr w:type="spellStart"/>
      <w:r w:rsidRPr="004A2B32">
        <w:rPr>
          <w:color w:val="000000" w:themeColor="text1"/>
          <w:sz w:val="22"/>
          <w:szCs w:val="22"/>
        </w:rPr>
        <w:t>Nea</w:t>
      </w:r>
      <w:proofErr w:type="spellEnd"/>
      <w:r w:rsidR="000E7A0B" w:rsidRPr="004A2B32">
        <w:rPr>
          <w:color w:val="000000" w:themeColor="text1"/>
          <w:sz w:val="22"/>
          <w:szCs w:val="22"/>
        </w:rPr>
        <w:t xml:space="preserve"> </w:t>
      </w:r>
      <w:proofErr w:type="spellStart"/>
      <w:r w:rsidRPr="004A2B32">
        <w:rPr>
          <w:color w:val="000000" w:themeColor="text1"/>
          <w:sz w:val="22"/>
          <w:szCs w:val="22"/>
        </w:rPr>
        <w:t>Nikomedeia</w:t>
      </w:r>
      <w:proofErr w:type="spellEnd"/>
    </w:p>
    <w:p w14:paraId="491DBFF7" w14:textId="52836C2D" w:rsidR="00194C56" w:rsidRPr="004A2B32" w:rsidRDefault="00194C56" w:rsidP="00CE5AFA">
      <w:pPr>
        <w:jc w:val="both"/>
        <w:rPr>
          <w:color w:val="000000" w:themeColor="text1"/>
        </w:rPr>
      </w:pPr>
      <w:r w:rsidRPr="004A2B32">
        <w:rPr>
          <w:color w:val="000000" w:themeColor="text1"/>
        </w:rPr>
        <w:t xml:space="preserve">The Neolithic settlement of </w:t>
      </w:r>
      <w:proofErr w:type="spellStart"/>
      <w:r w:rsidRPr="004A2B32">
        <w:rPr>
          <w:color w:val="000000" w:themeColor="text1"/>
        </w:rPr>
        <w:t>Nea</w:t>
      </w:r>
      <w:proofErr w:type="spellEnd"/>
      <w:r w:rsidR="004843CE" w:rsidRPr="004A2B32">
        <w:rPr>
          <w:color w:val="000000" w:themeColor="text1"/>
        </w:rPr>
        <w:t xml:space="preserve"> </w:t>
      </w:r>
      <w:proofErr w:type="spellStart"/>
      <w:r w:rsidRPr="004A2B32">
        <w:rPr>
          <w:color w:val="000000" w:themeColor="text1"/>
        </w:rPr>
        <w:t>Nikomedeia</w:t>
      </w:r>
      <w:proofErr w:type="spellEnd"/>
      <w:r w:rsidRPr="004A2B32">
        <w:rPr>
          <w:color w:val="000000" w:themeColor="text1"/>
        </w:rPr>
        <w:t xml:space="preserve"> is a low tell, located on the western edges of </w:t>
      </w:r>
      <w:proofErr w:type="spellStart"/>
      <w:r w:rsidR="00223BBE" w:rsidRPr="004A2B32">
        <w:rPr>
          <w:color w:val="000000" w:themeColor="text1"/>
        </w:rPr>
        <w:t>Giannitsa</w:t>
      </w:r>
      <w:proofErr w:type="spellEnd"/>
      <w:r w:rsidR="004843CE" w:rsidRPr="004A2B32">
        <w:rPr>
          <w:color w:val="000000" w:themeColor="text1"/>
        </w:rPr>
        <w:t xml:space="preserve"> </w:t>
      </w:r>
      <w:r w:rsidRPr="004A2B32">
        <w:rPr>
          <w:color w:val="000000" w:themeColor="text1"/>
        </w:rPr>
        <w:t xml:space="preserve">plain (central Macedonia). Today the settlement is situated some 30km from the coast, but </w:t>
      </w:r>
      <w:r w:rsidR="00223BBE" w:rsidRPr="004A2B32">
        <w:rPr>
          <w:color w:val="000000" w:themeColor="text1"/>
        </w:rPr>
        <w:t>during</w:t>
      </w:r>
      <w:r w:rsidRPr="004A2B32">
        <w:rPr>
          <w:color w:val="000000" w:themeColor="text1"/>
        </w:rPr>
        <w:t xml:space="preserve"> its </w:t>
      </w:r>
      <w:r w:rsidR="00223BBE" w:rsidRPr="004A2B32">
        <w:rPr>
          <w:color w:val="000000" w:themeColor="text1"/>
        </w:rPr>
        <w:t xml:space="preserve">Neolithic occupation </w:t>
      </w:r>
      <w:r w:rsidRPr="004A2B32">
        <w:rPr>
          <w:color w:val="000000" w:themeColor="text1"/>
        </w:rPr>
        <w:t xml:space="preserve">was much closer to the </w:t>
      </w:r>
      <w:proofErr w:type="spellStart"/>
      <w:r w:rsidRPr="004A2B32">
        <w:rPr>
          <w:color w:val="000000" w:themeColor="text1"/>
        </w:rPr>
        <w:t>Thermaic</w:t>
      </w:r>
      <w:proofErr w:type="spellEnd"/>
      <w:r w:rsidRPr="004A2B32">
        <w:rPr>
          <w:color w:val="000000" w:themeColor="text1"/>
        </w:rPr>
        <w:t xml:space="preserve"> Gulf</w:t>
      </w:r>
      <w:r w:rsidR="00B031D4" w:rsidRPr="004A2B32">
        <w:rPr>
          <w:color w:val="000000" w:themeColor="text1"/>
        </w:rPr>
        <w:fldChar w:fldCharType="begin" w:fldLock="1"/>
      </w:r>
      <w:r w:rsidR="00BE2180">
        <w:rPr>
          <w:color w:val="000000" w:themeColor="text1"/>
        </w:rPr>
        <w:instrText>ADDIN CSL_CITATION {"citationItems":[{"id":"ITEM-1","itemData":{"DOI":"10.1016/j.jas.2007.02.017","ISSN":"03054403","author":[{"dropping-particle":"","family":"Ghilardi","given":"Matthieu","non-dropping-particle":"","parse-names":false,"suffix":""},{"dropping-particle":"","family":"Fouache","given":"Eric","non-dropping-particle":"","parse-names":false,"suffix":""},{"dropping-particle":"","family":"Queyrel","given":"François","non-dropping-particle":"","parse-names":false,"suffix":""},{"dropping-particle":"","family":"Syrides","given":"George","non-dropping-particle":"","parse-names":false,"suffix":""},{"dropping-particle":"","family":"Vouvalidis","given":"Konstantinos","non-dropping-particle":"","parse-names":false,"suffix":""},{"dropping-particle":"","family":"Kunesch","given":"Stéphane","non-dropping-particle":"","parse-names":false,"suffix":""},{"dropping-particle":"","family":"Styllas","given":"Mixalis","non-dropping-particle":"","parse-names":false,"suffix":""},{"dropping-particle":"","family":"Stiros","given":"Stathis","non-dropping-particle":"","parse-names":false,"suffix":""}],"container-title":"Journal of Archaeological Science","id":"ITEM-1","issue":"1","issued":{"date-parts":[["2008","1"]]},"page":"111-125","title":"Human occupation and geomorphological evolution of the Thessaloniki Plain (Greece) since mid Holocene","type":"article-journal","volume":"35"},"uris":["http://www.mendeley.com/documents/?uuid=3629c7ed-560e-4251-b07b-2bd4df1f8000"]}],"mendeley":{"formattedCitation":"&lt;sup&gt;51&lt;/sup&gt;","plainTextFormattedCitation":"51","previouslyFormattedCitation":"&lt;sup&gt;51&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51</w:t>
      </w:r>
      <w:r w:rsidR="00B031D4" w:rsidRPr="004A2B32">
        <w:rPr>
          <w:color w:val="000000" w:themeColor="text1"/>
        </w:rPr>
        <w:fldChar w:fldCharType="end"/>
      </w:r>
      <w:r w:rsidR="00DF46BA" w:rsidRPr="004A2B32">
        <w:rPr>
          <w:color w:val="000000" w:themeColor="text1"/>
        </w:rPr>
        <w:t xml:space="preserve">. </w:t>
      </w:r>
      <w:r w:rsidRPr="004A2B32">
        <w:rPr>
          <w:color w:val="000000" w:themeColor="text1"/>
        </w:rPr>
        <w:t xml:space="preserve">The excavations were carried out in the early 1960s. Three habitation phases dated to the EN have been distinguished. The settlement was abandoned during the MN and inhabited again in the LN. </w:t>
      </w:r>
      <w:r w:rsidR="00223BBE" w:rsidRPr="004A2B32">
        <w:rPr>
          <w:color w:val="000000" w:themeColor="text1"/>
        </w:rPr>
        <w:t>Archaeobotanical</w:t>
      </w:r>
      <w:r w:rsidR="00B031D4" w:rsidRPr="004A2B32">
        <w:rPr>
          <w:color w:val="000000" w:themeColor="text1"/>
        </w:rPr>
        <w:fldChar w:fldCharType="begin" w:fldLock="1"/>
      </w:r>
      <w:r w:rsidR="00BE2180">
        <w:rPr>
          <w:color w:val="000000" w:themeColor="text1"/>
        </w:rPr>
        <w:instrText>ADDIN CSL_CITATION {"citationItems":[{"id":"ITEM-1","itemData":{"author":[{"dropping-particle":"","family":"Zeist","given":"W","non-dropping-particle":"van","parse-names":false,"suffix":""},{"dropping-particle":"","family":"Bottema","given":"S","non-dropping-particle":"","parse-names":false,"suffix":""}],"id":"ITEM-1","issued":{"date-parts":[["1971"]]},"title":"PALYNOLOGICAL INVESTIGATIONS IN WESTERN IRAN","type":"book"},"uris":["http://www.mendeley.com/documents/?uuid=a40abf0f-e1a5-44db-b2fd-1d2d1b4abe2b"]}],"mendeley":{"formattedCitation":"&lt;sup&gt;52&lt;/sup&gt;","plainTextFormattedCitation":"52","previouslyFormattedCitation":"&lt;sup&gt;52&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52</w:t>
      </w:r>
      <w:r w:rsidR="00B031D4" w:rsidRPr="004A2B32">
        <w:rPr>
          <w:color w:val="000000" w:themeColor="text1"/>
        </w:rPr>
        <w:fldChar w:fldCharType="end"/>
      </w:r>
      <w:r w:rsidR="00223BBE" w:rsidRPr="004A2B32">
        <w:rPr>
          <w:color w:val="000000" w:themeColor="text1"/>
        </w:rPr>
        <w:t xml:space="preserve"> and archaeozoological</w:t>
      </w:r>
      <w:r w:rsidR="00B031D4" w:rsidRPr="004A2B32">
        <w:rPr>
          <w:color w:val="000000" w:themeColor="text1"/>
        </w:rPr>
        <w:fldChar w:fldCharType="begin" w:fldLock="1"/>
      </w:r>
      <w:r w:rsidR="00BE2180">
        <w:rPr>
          <w:color w:val="000000" w:themeColor="text1"/>
        </w:rPr>
        <w:instrText>ADDIN CSL_CITATION {"citationItems":[{"id":"ITEM-1","itemData":{"author":[{"dropping-particle":"","family":"Higgs","given":"E. S.","non-dropping-particle":"","parse-names":false,"suffix":""}],"container-title":"Excavations at the Early Neolithic site at Nea Nikomedeia, Greek Macedonia","id":"ITEM-1","issued":{"date-parts":[["1962"]]},"page":"271-274","publisher":"Proceedings of the Prehistoric Society 28","title":"Fauna","type":"paper-conference"},"uris":["http://www.mendeley.com/documents/?uuid=0445b8e3-77bb-46d9-8cc3-7e8399eeac0c"]}],"mendeley":{"formattedCitation":"&lt;sup&gt;53&lt;/sup&gt;","plainTextFormattedCitation":"53","previouslyFormattedCitation":"&lt;sup&gt;53&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53</w:t>
      </w:r>
      <w:r w:rsidR="00B031D4" w:rsidRPr="004A2B32">
        <w:rPr>
          <w:color w:val="000000" w:themeColor="text1"/>
        </w:rPr>
        <w:fldChar w:fldCharType="end"/>
      </w:r>
      <w:r w:rsidR="00223BBE" w:rsidRPr="004A2B32">
        <w:rPr>
          <w:color w:val="000000" w:themeColor="text1"/>
        </w:rPr>
        <w:t xml:space="preserve"> analysis again identifies the inhabitants of </w:t>
      </w:r>
      <w:proofErr w:type="spellStart"/>
      <w:r w:rsidR="00223BBE" w:rsidRPr="004A2B32">
        <w:rPr>
          <w:color w:val="000000" w:themeColor="text1"/>
        </w:rPr>
        <w:t>Nea</w:t>
      </w:r>
      <w:proofErr w:type="spellEnd"/>
      <w:r w:rsidR="004843CE" w:rsidRPr="004A2B32">
        <w:rPr>
          <w:color w:val="000000" w:themeColor="text1"/>
        </w:rPr>
        <w:t xml:space="preserve"> </w:t>
      </w:r>
      <w:proofErr w:type="spellStart"/>
      <w:r w:rsidR="00223BBE" w:rsidRPr="004A2B32">
        <w:rPr>
          <w:color w:val="000000" w:themeColor="text1"/>
        </w:rPr>
        <w:t>Nikomedeia</w:t>
      </w:r>
      <w:proofErr w:type="spellEnd"/>
      <w:r w:rsidR="00223BBE" w:rsidRPr="004A2B32">
        <w:rPr>
          <w:color w:val="000000" w:themeColor="text1"/>
        </w:rPr>
        <w:t xml:space="preserve"> as farmers of crops (einkorn, emmer, barley, lentil) and livestock (sheep, goats, cattle and pigs). </w:t>
      </w:r>
      <w:r w:rsidRPr="004A2B32">
        <w:rPr>
          <w:color w:val="000000" w:themeColor="text1"/>
        </w:rPr>
        <w:t>In total, 27 inhumations have been found with bodies placed in a pit in a flexed position</w:t>
      </w:r>
      <w:r w:rsidR="00B031D4" w:rsidRPr="004A2B32">
        <w:rPr>
          <w:color w:val="000000" w:themeColor="text1"/>
        </w:rPr>
        <w:fldChar w:fldCharType="begin" w:fldLock="1"/>
      </w:r>
      <w:r w:rsidR="00BE2180">
        <w:rPr>
          <w:color w:val="000000" w:themeColor="text1"/>
        </w:rPr>
        <w:instrText>ADDIN CSL_CITATION {"citationItems":[{"id":"ITEM-1","itemData":{"DOI":"10.1017/S0079497X00015735","ISSN":"0079-497X","abstract":"The site of the early prehistoric farming settlement at Nea Nikomedeia, Western Macedonia, was first noted in 1958 by Mr Photios Petsas, Ephore of Antiquities of the area for the Greek Archaeological Service: he investigated the reported discovery of archaeological finds exposed during the course of removing earth from an inconspicuous mound to make a road embankment, and forthwith stopped further destruction of the site. His willing advice and assistance, and the most generous cooperation of the Greek Archaeological Service under the direction of Dr John Papadimitriou, and of the Ministry of Agriculture, made possible the five-week excavation season in the summer of 1961. The excavations were carried out under the aegis of the British School at Athens. Thanks are due to the British Academy, the Crowther-Benyon Fund administered by the University Museum of Archaeology and Ethnology at Cambridge, and the Wenner-Gren Foundation for Anthropological Research for providing the necessary funds. I wish to acknowledge help and guidance both in the field and in the preparation of this report from Professor Grahame Clark, under whose supervision I worked at Cambridge University during the academic years 1959–60 and 1960–61. Grateful acknowledgment is also made to Mr R. W. Hutchinson for his valuable help in the field, and to the undergraduates and research students from the University of Cambridge who willingly undertook most of the field and laboratory work. The ready assistance of the Curator of the University Museum of Archaeology and Ethnology and his staff in shipping matters and the loan of equipment is greatly appreciated.","author":[{"dropping-particle":"","family":"Rodden","given":"Robert J.","non-dropping-particle":"","parse-names":false,"suffix":""},{"dropping-particle":"","family":"Dimbleby","given":"G. W.","non-dropping-particle":"","parse-names":false,"suffix":""},{"dropping-particle":"","family":"Western","given":"A. C.","non-dropping-particle":"","parse-names":false,"suffix":""},{"dropping-particle":"","family":"Willis","given":"E. H.","non-dropping-particle":"","parse-names":false,"suffix":""},{"dropping-particle":"","family":"Higgs","given":"E. S.","non-dropping-particle":"","parse-names":false,"suffix":""},{"dropping-particle":"","family":"Clench","given":"W. J.","non-dropping-particle":"","parse-names":false,"suffix":""}],"container-title":"Proceedings of the Prehistoric Society","id":"ITEM-1","issued":{"date-parts":[["1962","12","27"]]},"page":"267-288","title":"Excavations at the Early Neolithic Site at Nea Nikomedeia, Greek Macedonia (1961 season)","type":"article-journal","volume":"28"},"uris":["http://www.mendeley.com/documents/?uuid=a90df1c6-fd3f-42d6-a9f2-a03c77116c83"]},{"id":"ITEM-2","itemData":{"author":[{"dropping-particle":"","family":"Rodden","given":"R. J.","non-dropping-particle":"","parse-names":false,"suffix":""}],"container-title":"Balkan Studies","id":"ITEM-2","issue":"1","issued":{"date-parts":[["1964"]]},"page":"109-124","title":"Recent discoveries from prehistoric Macedonia: an interim report","type":"article-journal","volume":"5"},"uris":["http://www.mendeley.com/documents/?uuid=5e11bf51-7a14-4219-bcc9-ffa8cc14f7fa"]}],"mendeley":{"formattedCitation":"&lt;sup&gt;54,55&lt;/sup&gt;","plainTextFormattedCitation":"54,55","previouslyFormattedCitation":"&lt;sup&gt;54,55&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54,55</w:t>
      </w:r>
      <w:r w:rsidR="00B031D4" w:rsidRPr="004A2B32">
        <w:rPr>
          <w:color w:val="000000" w:themeColor="text1"/>
        </w:rPr>
        <w:fldChar w:fldCharType="end"/>
      </w:r>
      <w:r w:rsidR="003D2CD3" w:rsidRPr="004A2B32">
        <w:rPr>
          <w:color w:val="000000" w:themeColor="text1"/>
        </w:rPr>
        <w:t xml:space="preserve">. </w:t>
      </w:r>
      <w:r w:rsidRPr="004A2B32">
        <w:rPr>
          <w:color w:val="000000" w:themeColor="text1"/>
        </w:rPr>
        <w:t xml:space="preserve">On the present study we </w:t>
      </w:r>
      <w:proofErr w:type="spellStart"/>
      <w:r w:rsidRPr="004A2B32">
        <w:rPr>
          <w:color w:val="000000" w:themeColor="text1"/>
        </w:rPr>
        <w:t>analysed</w:t>
      </w:r>
      <w:proofErr w:type="spellEnd"/>
      <w:r w:rsidRPr="004A2B32">
        <w:rPr>
          <w:color w:val="000000" w:themeColor="text1"/>
        </w:rPr>
        <w:t xml:space="preserve"> petrous bones from three individuals (Nea1, Nea4, Nea5) two samples</w:t>
      </w:r>
      <w:r w:rsidR="00FD3AD1" w:rsidRPr="004A2B32">
        <w:rPr>
          <w:color w:val="000000" w:themeColor="text1"/>
        </w:rPr>
        <w:t xml:space="preserve"> (Nea2, Nea3)</w:t>
      </w:r>
      <w:r w:rsidRPr="004A2B32">
        <w:rPr>
          <w:color w:val="000000" w:themeColor="text1"/>
        </w:rPr>
        <w:t xml:space="preserve"> have been previously </w:t>
      </w:r>
      <w:proofErr w:type="spellStart"/>
      <w:r w:rsidRPr="004A2B32">
        <w:rPr>
          <w:color w:val="000000" w:themeColor="text1"/>
        </w:rPr>
        <w:t>genomically</w:t>
      </w:r>
      <w:proofErr w:type="spellEnd"/>
      <w:r w:rsidRPr="004A2B32">
        <w:rPr>
          <w:color w:val="000000" w:themeColor="text1"/>
        </w:rPr>
        <w:t xml:space="preserve"> (WGS) analysed</w:t>
      </w:r>
      <w:r w:rsidR="00B031D4" w:rsidRPr="004A2B32">
        <w:rPr>
          <w:color w:val="000000" w:themeColor="text1"/>
        </w:rPr>
        <w:fldChar w:fldCharType="begin" w:fldLock="1"/>
      </w:r>
      <w:r w:rsidR="00BE2180">
        <w:rPr>
          <w:color w:val="000000" w:themeColor="text1"/>
        </w:rPr>
        <w:instrText>ADDIN CSL_CITATION {"citationItems":[{"id":"ITEM-1","itemData":{"DOI":"10.1016/j.cell.2022.04.008","ISSN":"00928674","abstract":"While the Neolithic expansion in Europe is well described archaeologically, the genetic origins of European first farmers and their affinities with local hunter-gatherers (HGs) remain unclear. To infer the demographic history of these populations, the genomes of 15 ancient individuals located between Western Anatolia and Southern Germany were sequenced to high quality, allowing us to perform population genomics analyses formerly restricted to modern genomes. We find that all European and Anatolian early farmers descend from the merging of a European and a Near Eastern group of HGs, possibly in the Near East, shortly after the Last Glacial Maximum (LGM). Western and Southeastern European HG are shown to split during the LGM, and share signals of a very strong LGM bottleneck that drastically reduced their genetic diversity. Early Neolithic Central Anatolians seem only indirectly related to ancestors of European farmers, who probably originated in the Near East and dispersed later on from the Aegean along the Danubian corridor following a stepwise demic process with only limited (2-6\\%) but additive input from local HGs.Our analyses provide a time frame and resolve the genetic origins of early European farmers. They highlight the impact of Late Pleistocene climatic fluctuations that caused the fragmentation, merging and reexpansion of human populations in SW Asia and Europe, and eventually led to the world{\\textquoteright}s first agricultural populations.Competing Interest StatementThe authors have declared no competing interest.","author":[{"dropping-particle":"","family":"Marchi","given":"Nina","non-dropping-particle":"","parse-names":false,"suffix":""},{"dropping-particle":"","family":"Winkelbach","given":"Laura","non-dropping-particle":"","parse-names":false,"suffix":""},{"dropping-particle":"","family":"Schulz","given":"Ilektra","non-dropping-particle":"","parse-names":false,"suffix":""},{"dropping-particle":"","family":"Brami","given":"Maxime","non-dropping-particle":"","parse-names":false,"suffix":""},{"dropping-particle":"","family":"Hofmanová","given":"Zuzana","non-dropping-particle":"","parse-names":false,"suffix":""},{"dropping-particle":"","family":"Blöcher","given":"Jens","non-dropping-particle":"","parse-names":false,"suffix":""},{"dropping-particle":"","family":"Reyna-Blanco","given":"Carlos S","non-dropping-particle":"","parse-names":false,"suffix":""},{"dropping-particle":"","family":"Diekmann","given":"Yoan","non-dropping-particle":"","parse-names":false,"suffix":""},{"dropping-particle":"","family":"Thiéry","given":"Alexandre","non-dropping-particle":"","parse-names":false,"suffix":""},{"dropping-particle":"","family":"Kapopoulou","given":"Adamandia","non-dropping-particle":"","parse-names":false,"suffix":""},{"dropping-particle":"","family":"Link","given":"Vivian","non-dropping-particle":"","parse-names":false,"suffix":""},{"dropping-particle":"","family":"Piuz","given":"Valérie","non-dropping-particle":"","parse-names":false,"suffix":""},{"dropping-particle":"","family":"Kreutzer","given":"Susanne","non-dropping-particle":"","parse-names":false,"suffix":""},{"dropping-particle":"","family":"Figarska","given":"Sylwia M","non-dropping-particle":"","parse-names":false,"suffix":""},{"dropping-particle":"","family":"Ganiatsou","given":"Elissavet","non-dropping-particle":"","parse-names":false,"suffix":""},{"dropping-particle":"","family":"Pukaj","given":"Albert","non-dropping-particle":"","parse-names":false,"suffix":""},{"dropping-particle":"","family":"Struck","given":"Travis J.","non-dropping-particle":"","parse-names":false,"suffix":""},{"dropping-particle":"","family":"Gutenkunst","given":"Ryan N.","non-dropping-particle":"","parse-names":false,"suffix":""},{"dropping-particle":"","family":"Karul","given":"Necmi","non-dropping-particle":"","parse-names":false,"suffix":""},{"dropping-particle":"","family":"Gerritsen","given":"Fokke","non-dropping-particle":"","parse-names":false,"suffix":""},{"dropping-particle":"","family":"Pechtl","given":"Joachim","non-dropping-particle":"","parse-names":false,"suffix":""},{"dropping-particle":"","family":"Peters","given":"Joris","non-dropping-particle":"","parse-names":false,"suffix":""},{"dropping-particle":"","family":"Zeeb-Lanz","given":"Andrea","non-dropping-particle":"","parse-names":false,"suffix":""},{"dropping-particle":"","family":"Lenneis","given":"Eva","non-dropping-particle":"","parse-names":false,"suffix":""},{"dropping-particle":"","family":"Teschler-Nicola","given":"Maria","non-dropping-particle":"","parse-names":false,"suffix":""},{"dropping-particle":"","family":"Triantaphyllou","given":"Sevasti","non-dropping-particle":"","parse-names":false,"suffix":""},{"dropping-particle":"","family":"Stefanović","given":"Sofija","non-dropping-particle":"","parse-names":false,"suffix":""},{"dropping-particle":"","family":"Papageorgopoulou","given":"Christina","non-dropping-particle":"","parse-names":false,"suffix":""},{"dropping-particle":"","family":"Wegmann","given":"Daniel","non-dropping-particle":"","parse-names":false,"suffix":""},{"dropping-particle":"","family":"Burger","given":"Joachim","non-dropping-particle":"","parse-names":false,"suffix":""},{"dropping-particle":"","family":"Excoffier","given":"Laurent","non-dropping-particle":"","parse-names":false,"suffix":""}],"container-title":"Cell","id":"ITEM-1","issue":"11","issued":{"date-parts":[["2022","5"]]},"page":"1842-1859.e18","publisher":"Cold Spring Harbor Laboratory","title":"The genomic origins of the world’s first farmers","type":"article-journal","volume":"185"},"uris":["http://www.mendeley.com/documents/?uuid=f520867c-55fe-4fed-8f60-e1601d63bd3e"]}],"mendeley":{"formattedCitation":"&lt;sup&gt;56&lt;/sup&gt;","plainTextFormattedCitation":"56","previouslyFormattedCitation":"&lt;sup&gt;56&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56</w:t>
      </w:r>
      <w:r w:rsidR="00B031D4" w:rsidRPr="004A2B32">
        <w:rPr>
          <w:color w:val="000000" w:themeColor="text1"/>
        </w:rPr>
        <w:fldChar w:fldCharType="end"/>
      </w:r>
      <w:r w:rsidR="004E1AE1" w:rsidRPr="004A2B32">
        <w:rPr>
          <w:color w:val="000000" w:themeColor="text1"/>
        </w:rPr>
        <w:t xml:space="preserve"> (Table S1)</w:t>
      </w:r>
      <w:r w:rsidR="00A27B21" w:rsidRPr="004A2B32">
        <w:rPr>
          <w:color w:val="000000" w:themeColor="text1"/>
        </w:rPr>
        <w:t>.</w:t>
      </w:r>
    </w:p>
    <w:p w14:paraId="155A40CC" w14:textId="77777777" w:rsidR="00194C56" w:rsidRPr="004A2B32" w:rsidRDefault="00194C56" w:rsidP="00CE5AFA">
      <w:pPr>
        <w:jc w:val="both"/>
        <w:rPr>
          <w:color w:val="000000" w:themeColor="text1"/>
        </w:rPr>
      </w:pPr>
    </w:p>
    <w:p w14:paraId="42749253" w14:textId="77777777" w:rsidR="00194C56" w:rsidRPr="004A2B32" w:rsidRDefault="00194C56" w:rsidP="00CE5AFA">
      <w:pPr>
        <w:pStyle w:val="3"/>
        <w:rPr>
          <w:color w:val="000000" w:themeColor="text1"/>
          <w:sz w:val="28"/>
          <w:szCs w:val="28"/>
        </w:rPr>
      </w:pPr>
      <w:r w:rsidRPr="004A2B32">
        <w:rPr>
          <w:color w:val="000000" w:themeColor="text1"/>
          <w:sz w:val="28"/>
          <w:szCs w:val="28"/>
        </w:rPr>
        <w:t>Middle Neolithic Period</w:t>
      </w:r>
      <w:bookmarkStart w:id="15" w:name="_gqx8u5g6yqqa" w:colFirst="0" w:colLast="0"/>
      <w:bookmarkEnd w:id="15"/>
    </w:p>
    <w:p w14:paraId="40D70C7A" w14:textId="15067F49" w:rsidR="00D820C9" w:rsidRPr="004A2B32" w:rsidRDefault="00194C56" w:rsidP="00D820C9">
      <w:pPr>
        <w:pStyle w:val="4"/>
        <w:rPr>
          <w:color w:val="000000" w:themeColor="text1"/>
          <w:sz w:val="22"/>
          <w:szCs w:val="22"/>
        </w:rPr>
      </w:pPr>
      <w:proofErr w:type="spellStart"/>
      <w:r w:rsidRPr="004A2B32">
        <w:rPr>
          <w:color w:val="000000" w:themeColor="text1"/>
          <w:sz w:val="22"/>
          <w:szCs w:val="22"/>
        </w:rPr>
        <w:t>Stavroupoli</w:t>
      </w:r>
      <w:proofErr w:type="spellEnd"/>
    </w:p>
    <w:p w14:paraId="792C6B1D" w14:textId="201BF7E6" w:rsidR="00DB28E4" w:rsidRPr="004A2B32" w:rsidRDefault="00194C56" w:rsidP="00DB28E4">
      <w:pPr>
        <w:spacing w:after="0"/>
        <w:jc w:val="both"/>
        <w:rPr>
          <w:color w:val="000000" w:themeColor="text1"/>
        </w:rPr>
      </w:pPr>
      <w:r w:rsidRPr="004A2B32">
        <w:rPr>
          <w:color w:val="000000" w:themeColor="text1"/>
        </w:rPr>
        <w:t>The settlement is situated in the northwestern part of the modern city of Thessaloniki (central Macedonia). It is a flat-extended</w:t>
      </w:r>
      <w:r w:rsidR="004843CE" w:rsidRPr="004A2B32">
        <w:rPr>
          <w:color w:val="000000" w:themeColor="text1"/>
        </w:rPr>
        <w:t xml:space="preserve"> </w:t>
      </w:r>
      <w:r w:rsidRPr="004A2B32">
        <w:rPr>
          <w:color w:val="000000" w:themeColor="text1"/>
        </w:rPr>
        <w:t>site (ca 10 ha) located on a natural low hill flanked by two ravines. Salvage archaeological excavations started in 1994. Approximately 3000 m</w:t>
      </w:r>
      <w:r w:rsidRPr="004A2B32">
        <w:rPr>
          <w:color w:val="000000" w:themeColor="text1"/>
          <w:vertAlign w:val="superscript"/>
        </w:rPr>
        <w:t>2</w:t>
      </w:r>
      <w:r w:rsidRPr="004A2B32">
        <w:rPr>
          <w:color w:val="000000" w:themeColor="text1"/>
        </w:rPr>
        <w:t xml:space="preserve"> have been investigated so far. Archaeological deposits vary in thickness from 1 m up to 4 m. Two main phases of occupation, </w:t>
      </w:r>
      <w:proofErr w:type="spellStart"/>
      <w:r w:rsidRPr="004A2B32">
        <w:rPr>
          <w:color w:val="000000" w:themeColor="text1"/>
        </w:rPr>
        <w:t>Stavroupoli</w:t>
      </w:r>
      <w:proofErr w:type="spellEnd"/>
      <w:r w:rsidRPr="004A2B32">
        <w:rPr>
          <w:color w:val="000000" w:themeColor="text1"/>
        </w:rPr>
        <w:t xml:space="preserve"> I and II, are clearly distinguished. The earlier is dated to the Middle Neolithic (MN) and the early phase of the Late Neolithic (LN), while </w:t>
      </w:r>
      <w:proofErr w:type="spellStart"/>
      <w:r w:rsidRPr="004A2B32">
        <w:rPr>
          <w:color w:val="000000" w:themeColor="text1"/>
        </w:rPr>
        <w:t>Stavroupoli</w:t>
      </w:r>
      <w:proofErr w:type="spellEnd"/>
      <w:r w:rsidRPr="004A2B32">
        <w:rPr>
          <w:color w:val="000000" w:themeColor="text1"/>
        </w:rPr>
        <w:t xml:space="preserve"> II to the late phase of the LN or to the Final Neolithic (FN). Six </w:t>
      </w:r>
      <w:r w:rsidRPr="004A2B32">
        <w:rPr>
          <w:color w:val="000000" w:themeColor="text1"/>
          <w:vertAlign w:val="superscript"/>
        </w:rPr>
        <w:t>14</w:t>
      </w:r>
      <w:r w:rsidRPr="004A2B32">
        <w:rPr>
          <w:color w:val="000000" w:themeColor="text1"/>
        </w:rPr>
        <w:t>C dates place the beginning of the first occupational phase</w:t>
      </w:r>
      <w:r w:rsidR="004843CE" w:rsidRPr="004A2B32">
        <w:rPr>
          <w:color w:val="000000" w:themeColor="text1"/>
        </w:rPr>
        <w:t xml:space="preserve"> </w:t>
      </w:r>
      <w:r w:rsidR="00223BBE" w:rsidRPr="004A2B32">
        <w:rPr>
          <w:color w:val="000000" w:themeColor="text1"/>
        </w:rPr>
        <w:t>at</w:t>
      </w:r>
      <w:r w:rsidRPr="004A2B32">
        <w:rPr>
          <w:color w:val="000000" w:themeColor="text1"/>
        </w:rPr>
        <w:t xml:space="preserve"> 5839-5531 </w:t>
      </w:r>
      <w:proofErr w:type="spellStart"/>
      <w:r w:rsidRPr="004A2B32">
        <w:rPr>
          <w:color w:val="000000" w:themeColor="text1"/>
        </w:rPr>
        <w:t>cal</w:t>
      </w:r>
      <w:proofErr w:type="spellEnd"/>
      <w:r w:rsidRPr="004A2B32">
        <w:rPr>
          <w:color w:val="000000" w:themeColor="text1"/>
        </w:rPr>
        <w:t xml:space="preserve"> BC</w:t>
      </w:r>
      <w:r w:rsidR="00FD3AD1" w:rsidRPr="004A2B32">
        <w:rPr>
          <w:color w:val="000000" w:themeColor="text1"/>
        </w:rPr>
        <w:t>E</w:t>
      </w:r>
      <w:r w:rsidR="00B031D4" w:rsidRPr="004A2B32">
        <w:rPr>
          <w:color w:val="000000" w:themeColor="text1"/>
        </w:rPr>
        <w:fldChar w:fldCharType="begin" w:fldLock="1"/>
      </w:r>
      <w:r w:rsidR="00BE2180">
        <w:rPr>
          <w:color w:val="000000" w:themeColor="text1"/>
        </w:rPr>
        <w:instrText>ADDIN CSL_CITATION {"citationItems":[{"id":"ITEM-1","itemData":{"author":[{"dropping-particle":"","family":"Maniatis","given":"Y","non-dropping-particle":"","parse-names":false,"suffix":""}],"container-title":"Rescue excavations at the Neolithic site of Stavroupoli Thessaloniki","id":"ITEM-1","issued":{"date-parts":[["2002"]]},"page":"847","title":"Results of the radiocarbon samples from the Neolithic settlement of Stavroupoli Thessaloniki","type":"chapter"},"uris":["http://www.mendeley.com/documents/?uuid=387fe557-2725-4784-8d95-54e0107bb8fd"]}],"mendeley":{"formattedCitation":"&lt;sup&gt;57&lt;/sup&gt;","plainTextFormattedCitation":"57","previouslyFormattedCitation":"&lt;sup&gt;57&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57</w:t>
      </w:r>
      <w:r w:rsidR="00B031D4" w:rsidRPr="004A2B32">
        <w:rPr>
          <w:color w:val="000000" w:themeColor="text1"/>
        </w:rPr>
        <w:fldChar w:fldCharType="end"/>
      </w:r>
      <w:r w:rsidRPr="004A2B32">
        <w:rPr>
          <w:color w:val="000000" w:themeColor="text1"/>
        </w:rPr>
        <w:t xml:space="preserve">. On the basis of architectural remains and pottery </w:t>
      </w:r>
      <w:proofErr w:type="spellStart"/>
      <w:r w:rsidRPr="004A2B32">
        <w:rPr>
          <w:color w:val="000000" w:themeColor="text1"/>
        </w:rPr>
        <w:t>Stavroupoli</w:t>
      </w:r>
      <w:proofErr w:type="spellEnd"/>
      <w:r w:rsidRPr="004A2B32">
        <w:rPr>
          <w:color w:val="000000" w:themeColor="text1"/>
        </w:rPr>
        <w:t xml:space="preserve"> I phase is divided into two subphases. The earlier habitation subphase (</w:t>
      </w:r>
      <w:proofErr w:type="spellStart"/>
      <w:r w:rsidRPr="004A2B32">
        <w:rPr>
          <w:color w:val="000000" w:themeColor="text1"/>
        </w:rPr>
        <w:t>Stavroupoli</w:t>
      </w:r>
      <w:proofErr w:type="spellEnd"/>
      <w:r w:rsidR="00946123" w:rsidRPr="004A2B32">
        <w:rPr>
          <w:color w:val="000000" w:themeColor="text1"/>
        </w:rPr>
        <w:t xml:space="preserve"> </w:t>
      </w:r>
      <w:proofErr w:type="spellStart"/>
      <w:r w:rsidRPr="004A2B32">
        <w:rPr>
          <w:color w:val="000000" w:themeColor="text1"/>
        </w:rPr>
        <w:t>Ia</w:t>
      </w:r>
      <w:proofErr w:type="spellEnd"/>
      <w:r w:rsidRPr="004A2B32">
        <w:rPr>
          <w:color w:val="000000" w:themeColor="text1"/>
        </w:rPr>
        <w:t>) consists of pit-dwellings, circular or irregular in shape, up to 5 m in diameter. Hearths and ovens were situated inside and outside the houses</w:t>
      </w:r>
      <w:r w:rsidR="00B031D4" w:rsidRPr="004A2B32">
        <w:rPr>
          <w:color w:val="000000" w:themeColor="text1"/>
        </w:rPr>
        <w:fldChar w:fldCharType="begin" w:fldLock="1"/>
      </w:r>
      <w:r w:rsidR="00BE2180">
        <w:rPr>
          <w:color w:val="000000" w:themeColor="text1"/>
        </w:rPr>
        <w:instrText>ADDIN CSL_CITATION {"citationItems":[{"id":"ITEM-1","itemData":{"author":[{"dropping-particle":"","family":"Kotsos","given":"Stavros","non-dropping-particle":"","parse-names":false,"suffix":""},{"dropping-particle":"","family":"Urem-Kotsou","given":"Dushka","non-dropping-particle":"","parse-names":false,"suffix":""}],"container-title":"Homage to Milutin Garasanin","id":"ITEM-1","issued":{"date-parts":[["2006"]]},"page":"193-207","publisher":"Serbian Academy of Science and Arts Belgrade","title":"Filling in the Neolithic landscape of central Macedonia, Greece","type":"article-journal"},"uris":["http://www.mendeley.com/documents/?uuid=de2c6d1d-77fa-4379-95f3-82eaaf9c5c7d"]},{"id":"ITEM-2","itemData":{"author":[{"dropping-particle":"","family":"Dushka","given":"Urem-Kotsou","non-dropping-particle":"","parse-names":false,"suffix":""},{"dropping-particle":"","family":"Kotsos","given":"Stavros","non-dropping-particle":"","parse-names":false,"suffix":""}],"container-title":"Making Spaces into Places. The North Aegean, the Balkans and Western Anatolia in the Neolithic","id":"ITEM-2","issued":{"date-parts":[["2020"]]},"page":"87-104","publisher":"BAR Publishing","title":"Settling Neolithic Central Macedonia, Northern Greece","type":"chapter"},"uris":["http://www.mendeley.com/documents/?uuid=0962ab66-a467-4f53-89ec-e343f6923093"]}],"mendeley":{"formattedCitation":"&lt;sup&gt;58,59&lt;/sup&gt;","plainTextFormattedCitation":"58,59","previouslyFormattedCitation":"&lt;sup&gt;58,59&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58,59</w:t>
      </w:r>
      <w:r w:rsidR="00B031D4" w:rsidRPr="004A2B32">
        <w:rPr>
          <w:color w:val="000000" w:themeColor="text1"/>
        </w:rPr>
        <w:fldChar w:fldCharType="end"/>
      </w:r>
      <w:r w:rsidR="00DB28E4" w:rsidRPr="004A2B32">
        <w:rPr>
          <w:color w:val="000000" w:themeColor="text1"/>
        </w:rPr>
        <w:t>.</w:t>
      </w:r>
      <w:r w:rsidR="00C2367B" w:rsidRPr="004A2B32">
        <w:rPr>
          <w:color w:val="000000" w:themeColor="text1"/>
        </w:rPr>
        <w:t xml:space="preserve"> Black burnished and to a lesser extent red burnished</w:t>
      </w:r>
      <w:r w:rsidR="004843CE" w:rsidRPr="004A2B32">
        <w:rPr>
          <w:color w:val="000000" w:themeColor="text1"/>
        </w:rPr>
        <w:t xml:space="preserve"> </w:t>
      </w:r>
      <w:r w:rsidR="00C2367B" w:rsidRPr="004A2B32">
        <w:rPr>
          <w:color w:val="000000" w:themeColor="text1"/>
        </w:rPr>
        <w:t>wares are the c</w:t>
      </w:r>
      <w:r w:rsidRPr="004A2B32">
        <w:rPr>
          <w:color w:val="000000" w:themeColor="text1"/>
        </w:rPr>
        <w:t xml:space="preserve">haracteristic pottery </w:t>
      </w:r>
      <w:r w:rsidR="00C2367B" w:rsidRPr="004A2B32">
        <w:rPr>
          <w:color w:val="000000" w:themeColor="text1"/>
        </w:rPr>
        <w:t xml:space="preserve">of </w:t>
      </w:r>
      <w:r w:rsidRPr="004A2B32">
        <w:rPr>
          <w:color w:val="000000" w:themeColor="text1"/>
        </w:rPr>
        <w:t xml:space="preserve">subphase </w:t>
      </w:r>
      <w:r w:rsidR="00C2367B" w:rsidRPr="004A2B32">
        <w:rPr>
          <w:color w:val="000000" w:themeColor="text1"/>
        </w:rPr>
        <w:t>Ia</w:t>
      </w:r>
      <w:r w:rsidRPr="004A2B32">
        <w:rPr>
          <w:color w:val="000000" w:themeColor="text1"/>
        </w:rPr>
        <w:t xml:space="preserve">. </w:t>
      </w:r>
      <w:r w:rsidR="00C2367B" w:rsidRPr="004A2B32">
        <w:rPr>
          <w:color w:val="000000" w:themeColor="text1"/>
        </w:rPr>
        <w:t xml:space="preserve">The </w:t>
      </w:r>
      <w:proofErr w:type="spellStart"/>
      <w:r w:rsidRPr="004A2B32">
        <w:rPr>
          <w:color w:val="000000" w:themeColor="text1"/>
        </w:rPr>
        <w:t>Stavroupoli</w:t>
      </w:r>
      <w:proofErr w:type="spellEnd"/>
      <w:r w:rsidR="004843CE" w:rsidRPr="004A2B32">
        <w:rPr>
          <w:color w:val="000000" w:themeColor="text1"/>
        </w:rPr>
        <w:t xml:space="preserve"> </w:t>
      </w:r>
      <w:proofErr w:type="spellStart"/>
      <w:r w:rsidRPr="004A2B32">
        <w:rPr>
          <w:color w:val="000000" w:themeColor="text1"/>
        </w:rPr>
        <w:t>Ib</w:t>
      </w:r>
      <w:proofErr w:type="spellEnd"/>
      <w:r w:rsidRPr="004A2B32">
        <w:rPr>
          <w:color w:val="000000" w:themeColor="text1"/>
        </w:rPr>
        <w:t xml:space="preserve"> subphase consists of rectilinear, above-ground and free-standing houses with floors of compacted soil. Cooking facilities in this subphase were also found both inside and outside the houses</w:t>
      </w:r>
      <w:r w:rsidR="00B031D4" w:rsidRPr="004A2B32">
        <w:rPr>
          <w:color w:val="000000" w:themeColor="text1"/>
        </w:rPr>
        <w:fldChar w:fldCharType="begin" w:fldLock="1"/>
      </w:r>
      <w:r w:rsidR="00BE2180">
        <w:rPr>
          <w:color w:val="000000" w:themeColor="text1"/>
        </w:rPr>
        <w:instrText>ADDIN CSL_CITATION {"citationItems":[{"id":"ITEM-1","itemData":{"DOI":"10.1515/opar-2016-0023","ISSN":"2300-6560","abstract":"Remains of the houses in the Late Neolithic of Northern Greece are as a rule less well preserved than in some other regions of Greece such as Thessaly. The site of Stavroupoli-Thessaloniki is a settlement with a dense habitation pattern, but poorly preserved architecture. Several habitation phases have been distinguished, dating to the Middle and Late Neolithic. Radiocarbon dates place the earlier phase to 5890 B.C. or slightly later. As the domestic unit in Stavroupoli can barely be approached through their architecture, the ceramic wares and particularly the cooking vessels will be used as a proxy to identify households and clarify aspects of their organization. The size of domestic units is approached through capacity of cooking pots, assuming that sharing cooked food on everyday level is a vital element of these units. Also, variability in cooking techniques between houses and possible changes through time will be examined through both the shape and the size of cooking vessels. Finally, Stavroupoli’s cooking pots will be compared with cooking vessels from other contemporaneous sites in order to approach the issue of household on a regional level.","author":[{"dropping-particle":"","family":"Lymperaki","given":"Marianna","non-dropping-particle":"","parse-names":false,"suffix":""},{"dropping-particle":"","family":"Urem-Kotsou","given":"Dushka","non-dropping-particle":"","parse-names":false,"suffix":""},{"dropping-particle":"","family":"Kotsos","given":"Stavros","non-dropping-particle":"","parse-names":false,"suffix":""},{"dropping-particle":"","family":"Kotsakis","given":"Kostas","non-dropping-particle":"","parse-names":false,"suffix":""}],"container-title":"Open Archaeology","id":"ITEM-1","issue":"1","issued":{"date-parts":[["2016","12","23"]]},"page":"238-245","title":"Household Scales: What Cooking Pots Can Tell Us About Households in the Late Neolithic Stavroupoli (Northern Greece)","type":"article-journal","volume":"2"},"uris":["http://www.mendeley.com/documents/?uuid=a4aa575d-6d14-4038-be20-3f28d78b2fc3"]},{"id":"ITEM-2","itemData":{"author":[{"dropping-particle":"","family":"Dushka","given":"Urem-Kotsou","non-dropping-particle":"","parse-names":false,"suffix":""},{"dropping-particle":"","family":"Kotsos","given":"Stavros","non-dropping-particle":"","parse-names":false,"suffix":""}],"container-title":"Making Spaces into Places. The North Aegean, the Balkans and Western Anatolia in the Neolithic","id":"ITEM-2","issued":{"date-parts":[["2020"]]},"page":"87-104","publisher":"BAR Publishing","title":"Settling Neolithic Central Macedonia, Northern Greece","type":"chapter"},"uris":["http://www.mendeley.com/documents/?uuid=0962ab66-a467-4f53-89ec-e343f6923093"]}],"mendeley":{"formattedCitation":"&lt;sup&gt;59,60&lt;/sup&gt;","plainTextFormattedCitation":"59,60","previouslyFormattedCitation":"&lt;sup&gt;59,60&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59,60</w:t>
      </w:r>
      <w:r w:rsidR="00B031D4" w:rsidRPr="004A2B32">
        <w:rPr>
          <w:color w:val="000000" w:themeColor="text1"/>
        </w:rPr>
        <w:fldChar w:fldCharType="end"/>
      </w:r>
      <w:r w:rsidR="00166184" w:rsidRPr="004A2B32">
        <w:rPr>
          <w:color w:val="000000" w:themeColor="text1"/>
        </w:rPr>
        <w:t xml:space="preserve">. </w:t>
      </w:r>
      <w:r w:rsidRPr="004A2B32">
        <w:rPr>
          <w:color w:val="000000" w:themeColor="text1"/>
        </w:rPr>
        <w:t xml:space="preserve">Characteristic pottery of this subphase is black burnished and black </w:t>
      </w:r>
      <w:r w:rsidRPr="004A2B32">
        <w:rPr>
          <w:color w:val="000000" w:themeColor="text1"/>
        </w:rPr>
        <w:lastRenderedPageBreak/>
        <w:t>topped with carinated or conical shape</w:t>
      </w:r>
      <w:r w:rsidR="00B031D4" w:rsidRPr="004A2B32">
        <w:rPr>
          <w:color w:val="000000" w:themeColor="text1"/>
        </w:rPr>
        <w:fldChar w:fldCharType="begin" w:fldLock="1"/>
      </w:r>
      <w:r w:rsidR="00BE2180">
        <w:rPr>
          <w:color w:val="000000" w:themeColor="text1"/>
        </w:rPr>
        <w:instrText>ADDIN CSL_CITATION {"citationItems":[{"id":"ITEM-1","itemData":{"author":[{"dropping-particle":"","family":"Grammenos","given":"D B","non-dropping-particle":"","parse-names":false,"suffix":""},{"dropping-particle":"","family":"Kotsos","given":"S","non-dropping-particle":"","parse-names":false,"suffix":""}],"container-title":"Thessaloniki: Archaeological Institute of Northern Greece","id":"ITEM-1","issued":{"date-parts":[["2002"]]},"title":"Rescue excavations at the Neolithic site of Stavroupoli Thessaloniki","type":"article-journal","volume":"2"},"uris":["http://www.mendeley.com/documents/?uuid=9dd9120a-9e74-4c1d-80cc-32944e77bc82"]},{"id":"ITEM-2","itemData":{"author":[{"dropping-particle":"","family":"Urem-Kotsou","given":"D","non-dropping-particle":"","parse-names":false,"suffix":""},{"dropping-particle":"","family":"Gioura","given":"E.","non-dropping-particle":"","parse-names":false,"suffix":""}],"container-title":"Rescue Excavations at Neolithic Settlement of Stavroupoli, Thessaloniki, Part II (1998-2003)","editor":[{"dropping-particle":"","family":"Grammenos","given":"D B","non-dropping-particle":"","parse-names":false,"suffix":""},{"dropping-particle":"","family":"Kotsos","given":"Stavros","non-dropping-particle":"","parse-names":false,"suffix":""}],"id":"ITEM-2","issued":{"date-parts":[["2004"]]},"page":"219-303","publisher":"Archaeolological Institute of Northern Greece 6","title":"The pottery from new excavations","type":"chapter"},"uris":["http://www.mendeley.com/documents/?uuid=57fedca8-6c70-4869-b0b1-d3a86516d86a"]}],"mendeley":{"formattedCitation":"&lt;sup&gt;61,62&lt;/sup&gt;","plainTextFormattedCitation":"61,62","previouslyFormattedCitation":"&lt;sup&gt;61,62&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61,62</w:t>
      </w:r>
      <w:r w:rsidR="00B031D4" w:rsidRPr="004A2B32">
        <w:rPr>
          <w:color w:val="000000" w:themeColor="text1"/>
        </w:rPr>
        <w:fldChar w:fldCharType="end"/>
      </w:r>
      <w:r w:rsidRPr="004A2B32">
        <w:rPr>
          <w:color w:val="000000" w:themeColor="text1"/>
        </w:rPr>
        <w:t xml:space="preserve">. </w:t>
      </w:r>
      <w:proofErr w:type="spellStart"/>
      <w:r w:rsidRPr="004A2B32">
        <w:rPr>
          <w:color w:val="000000" w:themeColor="text1"/>
        </w:rPr>
        <w:t>Stavroupoli</w:t>
      </w:r>
      <w:proofErr w:type="spellEnd"/>
      <w:r w:rsidRPr="004A2B32">
        <w:rPr>
          <w:color w:val="000000" w:themeColor="text1"/>
        </w:rPr>
        <w:t xml:space="preserve"> II dwellings had, at least in part, stone walls and floors of compacted soil. Pottery from this phase differs significantly from the earlier ones. The majority of vessels are red in </w:t>
      </w:r>
      <w:proofErr w:type="spellStart"/>
      <w:r w:rsidRPr="004A2B32">
        <w:rPr>
          <w:color w:val="000000" w:themeColor="text1"/>
        </w:rPr>
        <w:t>colour</w:t>
      </w:r>
      <w:proofErr w:type="spellEnd"/>
      <w:r w:rsidRPr="004A2B32">
        <w:rPr>
          <w:color w:val="000000" w:themeColor="text1"/>
        </w:rPr>
        <w:t xml:space="preserve">, often with black or dark </w:t>
      </w:r>
      <w:proofErr w:type="spellStart"/>
      <w:r w:rsidRPr="004A2B32">
        <w:rPr>
          <w:color w:val="000000" w:themeColor="text1"/>
        </w:rPr>
        <w:t>coloured</w:t>
      </w:r>
      <w:proofErr w:type="spellEnd"/>
      <w:r w:rsidRPr="004A2B32">
        <w:rPr>
          <w:color w:val="000000" w:themeColor="text1"/>
        </w:rPr>
        <w:t xml:space="preserve"> painted decoration. Polished and ground stone tools</w:t>
      </w:r>
      <w:r w:rsidR="00B031D4" w:rsidRPr="004A2B32">
        <w:rPr>
          <w:color w:val="000000" w:themeColor="text1"/>
        </w:rPr>
        <w:fldChar w:fldCharType="begin" w:fldLock="1"/>
      </w:r>
      <w:r w:rsidR="00BE2180">
        <w:rPr>
          <w:color w:val="000000" w:themeColor="text1"/>
        </w:rPr>
        <w:instrText>ADDIN CSL_CITATION {"citationItems":[{"id":"ITEM-1","itemData":{"author":[{"dropping-particle":"","family":"Alisøy","given":"Hege Agathe","non-dropping-particle":"","parse-names":false,"suffix":""}],"container-title":"Rescue Excavations at Neolithic Settlement of Stavroupoli, Thessaloniki","editor":[{"dropping-particle":"","family":"Grammenos","given":"D B","non-dropping-particle":"","parse-names":false,"suffix":""},{"dropping-particle":"","family":"Kotsos","given":"Stavros","non-dropping-particle":"","parse-names":false,"suffix":""}],"id":"ITEM-1","issued":{"date-parts":[["2002"]]},"page":"561-608","publisher":"Archaeolological Institute of Northern Greece 6","title":"Consumption of ground stone tools at Stavroupoli.","type":"chapter"},"uris":["http://www.mendeley.com/documents/?uuid=3ff813b9-1456-45e5-9acc-977cc61f94d0"]}],"mendeley":{"formattedCitation":"&lt;sup&gt;63&lt;/sup&gt;","plainTextFormattedCitation":"63","previouslyFormattedCitation":"&lt;sup&gt;63&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63</w:t>
      </w:r>
      <w:r w:rsidR="00B031D4" w:rsidRPr="004A2B32">
        <w:rPr>
          <w:color w:val="000000" w:themeColor="text1"/>
        </w:rPr>
        <w:fldChar w:fldCharType="end"/>
      </w:r>
      <w:r w:rsidR="00166184" w:rsidRPr="004A2B32">
        <w:rPr>
          <w:color w:val="000000" w:themeColor="text1"/>
        </w:rPr>
        <w:t xml:space="preserve">, </w:t>
      </w:r>
      <w:r w:rsidRPr="004A2B32">
        <w:rPr>
          <w:color w:val="000000" w:themeColor="text1"/>
        </w:rPr>
        <w:t>chipped stone tools</w:t>
      </w:r>
      <w:r w:rsidR="00B031D4" w:rsidRPr="004A2B32">
        <w:rPr>
          <w:color w:val="000000" w:themeColor="text1"/>
        </w:rPr>
        <w:fldChar w:fldCharType="begin" w:fldLock="1"/>
      </w:r>
      <w:r w:rsidR="00BE2180">
        <w:rPr>
          <w:color w:val="000000" w:themeColor="text1"/>
        </w:rPr>
        <w:instrText>ADDIN CSL_CITATION {"citationItems":[{"id":"ITEM-1","itemData":{"author":[{"dropping-particle":"","family":"Skourtopoulou","given":"K","non-dropping-particle":"","parse-names":false,"suffix":""}],"container-title":"Rescue Excavations at Neolithic Settlement of Stavroupoli, Thessaloniki","editor":[{"dropping-particle":"","family":"Grammenos","given":"D B","non-dropping-particle":"","parse-names":false,"suffix":""},{"dropping-particle":"","family":"Kotsos","given":"Stavros","non-dropping-particle":"","parse-names":false,"suffix":""}],"id":"ITEM-1","issued":{"date-parts":[["2002"]]},"page":"537-559","publisher":"Archaeolological Institute of Northern Greece 6","title":"Chipped stone tools from the settlement of Stavroupoli","type":"chapter"},"uris":["http://www.mendeley.com/documents/?uuid=e732041e-8f23-4f16-8ea8-6b95a05aac29"]},{"id":"ITEM-2","itemData":{"author":[{"dropping-particle":"","family":"Skourtopoulou","given":"K","non-dropping-particle":"","parse-names":false,"suffix":""}],"container-title":"Sostikes Anaskafes sto Neolithiko Oikismo Stavroupolis Thessalonikis, Part II","id":"ITEM-2","issued":{"date-parts":[["2004"]]},"page":"361-476","title":"I lithotechnia tou apokrousmenou lithou ston oikismo tis Stavroupolis.","type":"chapter"},"uris":["http://www.mendeley.com/documents/?uuid=5947ffb2-9b95-4801-afc3-7b21aae83a60"]}],"mendeley":{"formattedCitation":"&lt;sup&gt;64,65&lt;/sup&gt;","plainTextFormattedCitation":"64,65","previouslyFormattedCitation":"&lt;sup&gt;64,65&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64,65</w:t>
      </w:r>
      <w:r w:rsidR="00B031D4" w:rsidRPr="004A2B32">
        <w:rPr>
          <w:color w:val="000000" w:themeColor="text1"/>
        </w:rPr>
        <w:fldChar w:fldCharType="end"/>
      </w:r>
      <w:r w:rsidR="00166184" w:rsidRPr="004A2B32">
        <w:rPr>
          <w:color w:val="000000" w:themeColor="text1"/>
        </w:rPr>
        <w:t>,</w:t>
      </w:r>
      <w:r w:rsidRPr="004A2B32">
        <w:rPr>
          <w:color w:val="000000" w:themeColor="text1"/>
        </w:rPr>
        <w:t xml:space="preserve"> bone tools</w:t>
      </w:r>
      <w:r w:rsidR="00B031D4" w:rsidRPr="004A2B32">
        <w:rPr>
          <w:color w:val="000000" w:themeColor="text1"/>
        </w:rPr>
        <w:fldChar w:fldCharType="begin" w:fldLock="1"/>
      </w:r>
      <w:r w:rsidR="00BE2180">
        <w:rPr>
          <w:color w:val="000000" w:themeColor="text1"/>
        </w:rPr>
        <w:instrText>ADDIN CSL_CITATION {"citationItems":[{"id":"ITEM-1","itemData":{"author":[{"dropping-particle":"","family":"Hatzoudi","given":"","non-dropping-particle":"","parse-names":false,"suffix":""}],"container-title":"Rescue Excavations at Neolithic Settlement of Stavroupoli, Thessaloniki","editor":[{"dropping-particle":"","family":"Grammenos","given":"D B","non-dropping-particle":"","parse-names":false,"suffix":""},{"dropping-particle":"","family":"Kotsos","given":"Stavros","non-dropping-particle":"","parse-names":false,"suffix":""}],"id":"ITEM-1","issued":{"date-parts":[["2002"]]},"page":"609-626","publisher":"Archaeolological Institute of Northern Greece 6","title":"Preliminary study of bone artifacts","type":"chapter"},"uris":["http://www.mendeley.com/documents/?uuid=13714d07-8257-40fc-a2f9-ceadddfd7082"]},{"id":"ITEM-2","itemData":{"author":[{"dropping-particle":"","family":"Christidou","given":"R","non-dropping-particle":"","parse-names":false,"suffix":""}],"container-title":"Rescue Excavations at Neolithic Settlement of Stavroupoli, Thessaloniki","id":"ITEM-2","issued":{"date-parts":[["2002"]]},"page":"477-488","publisher":"Archaeolological Institute of Northern Greece 6","title":"Note on the bone artefacts from Stavroupoli","type":"chapter"},"uris":["http://www.mendeley.com/documents/?uuid=528e53a4-71ca-4ed6-bb92-8bb1ad2f1efe"]}],"mendeley":{"formattedCitation":"&lt;sup&gt;66,67&lt;/sup&gt;","plainTextFormattedCitation":"66,67","previouslyFormattedCitation":"&lt;sup&gt;66,67&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66,67</w:t>
      </w:r>
      <w:r w:rsidR="00B031D4" w:rsidRPr="004A2B32">
        <w:rPr>
          <w:color w:val="000000" w:themeColor="text1"/>
        </w:rPr>
        <w:fldChar w:fldCharType="end"/>
      </w:r>
      <w:r w:rsidRPr="004A2B32">
        <w:rPr>
          <w:color w:val="000000" w:themeColor="text1"/>
        </w:rPr>
        <w:t xml:space="preserve">, clay figurines and a marble one, and </w:t>
      </w:r>
      <w:proofErr w:type="spellStart"/>
      <w:r w:rsidRPr="004A2B32">
        <w:rPr>
          <w:color w:val="000000" w:themeColor="text1"/>
        </w:rPr>
        <w:t>jewellery</w:t>
      </w:r>
      <w:proofErr w:type="spellEnd"/>
      <w:r w:rsidRPr="004A2B32">
        <w:rPr>
          <w:color w:val="000000" w:themeColor="text1"/>
        </w:rPr>
        <w:t xml:space="preserve"> of shells and clay are some of the finds unearthed. In addition to the scattered human bones, six burials and one cremation were uncovered.</w:t>
      </w:r>
    </w:p>
    <w:p w14:paraId="7E2049FF" w14:textId="2C20E93B" w:rsidR="00194C56" w:rsidRPr="004A2B32" w:rsidRDefault="00DB28E4" w:rsidP="00DB28E4">
      <w:pPr>
        <w:spacing w:after="0"/>
        <w:jc w:val="both"/>
        <w:rPr>
          <w:b/>
          <w:color w:val="000000" w:themeColor="text1"/>
        </w:rPr>
      </w:pPr>
      <w:r w:rsidRPr="004A2B32">
        <w:rPr>
          <w:color w:val="000000" w:themeColor="text1"/>
        </w:rPr>
        <w:tab/>
      </w:r>
      <w:r w:rsidR="00194C56" w:rsidRPr="004A2B32">
        <w:rPr>
          <w:color w:val="000000" w:themeColor="text1"/>
        </w:rPr>
        <w:t xml:space="preserve">In the present study we </w:t>
      </w:r>
      <w:proofErr w:type="spellStart"/>
      <w:r w:rsidR="00194C56" w:rsidRPr="004A2B32">
        <w:rPr>
          <w:color w:val="000000" w:themeColor="text1"/>
        </w:rPr>
        <w:t>analysed</w:t>
      </w:r>
      <w:proofErr w:type="spellEnd"/>
      <w:r w:rsidR="004843CE" w:rsidRPr="004A2B32">
        <w:rPr>
          <w:color w:val="000000" w:themeColor="text1"/>
        </w:rPr>
        <w:t xml:space="preserve"> </w:t>
      </w:r>
      <w:r w:rsidR="00C2367B" w:rsidRPr="004A2B32">
        <w:rPr>
          <w:color w:val="000000" w:themeColor="text1"/>
        </w:rPr>
        <w:t xml:space="preserve">a </w:t>
      </w:r>
      <w:r w:rsidR="00194C56" w:rsidRPr="004A2B32">
        <w:rPr>
          <w:color w:val="000000" w:themeColor="text1"/>
        </w:rPr>
        <w:t>long bone from one individual (St1),</w:t>
      </w:r>
      <w:r w:rsidR="00C2367B" w:rsidRPr="004A2B32">
        <w:rPr>
          <w:color w:val="000000" w:themeColor="text1"/>
        </w:rPr>
        <w:t xml:space="preserve"> a</w:t>
      </w:r>
      <w:r w:rsidR="00194C56" w:rsidRPr="004A2B32">
        <w:rPr>
          <w:color w:val="000000" w:themeColor="text1"/>
        </w:rPr>
        <w:t xml:space="preserve"> tooth </w:t>
      </w:r>
      <w:r w:rsidR="00C2367B" w:rsidRPr="004A2B32">
        <w:rPr>
          <w:color w:val="000000" w:themeColor="text1"/>
        </w:rPr>
        <w:t xml:space="preserve">and a </w:t>
      </w:r>
      <w:r w:rsidR="00194C56" w:rsidRPr="004A2B32">
        <w:rPr>
          <w:color w:val="000000" w:themeColor="text1"/>
        </w:rPr>
        <w:t>long bone</w:t>
      </w:r>
      <w:r w:rsidR="001E3B31" w:rsidRPr="001E3B31">
        <w:rPr>
          <w:color w:val="000000" w:themeColor="text1"/>
        </w:rPr>
        <w:t xml:space="preserve"> </w:t>
      </w:r>
      <w:r w:rsidR="00194C56" w:rsidRPr="004A2B32">
        <w:rPr>
          <w:color w:val="000000" w:themeColor="text1"/>
        </w:rPr>
        <w:t xml:space="preserve">(femur) from </w:t>
      </w:r>
      <w:r w:rsidR="00FD3AD1" w:rsidRPr="004A2B32">
        <w:rPr>
          <w:color w:val="000000" w:themeColor="text1"/>
        </w:rPr>
        <w:t>a second individual</w:t>
      </w:r>
      <w:r w:rsidR="00194C56" w:rsidRPr="004A2B32">
        <w:rPr>
          <w:color w:val="000000" w:themeColor="text1"/>
        </w:rPr>
        <w:t xml:space="preserve"> (St2), </w:t>
      </w:r>
      <w:r w:rsidR="00C2367B" w:rsidRPr="004A2B32">
        <w:rPr>
          <w:color w:val="000000" w:themeColor="text1"/>
        </w:rPr>
        <w:t xml:space="preserve">a </w:t>
      </w:r>
      <w:r w:rsidR="00194C56" w:rsidRPr="004A2B32">
        <w:rPr>
          <w:color w:val="000000" w:themeColor="text1"/>
        </w:rPr>
        <w:t xml:space="preserve">tooth </w:t>
      </w:r>
      <w:r w:rsidR="00C2367B" w:rsidRPr="004A2B32">
        <w:rPr>
          <w:color w:val="000000" w:themeColor="text1"/>
        </w:rPr>
        <w:t xml:space="preserve">and </w:t>
      </w:r>
      <w:r w:rsidR="00194C56" w:rsidRPr="004A2B32">
        <w:rPr>
          <w:color w:val="000000" w:themeColor="text1"/>
        </w:rPr>
        <w:t xml:space="preserve">skull fragment from </w:t>
      </w:r>
      <w:r w:rsidR="00C2367B" w:rsidRPr="004A2B32">
        <w:rPr>
          <w:color w:val="000000" w:themeColor="text1"/>
        </w:rPr>
        <w:t xml:space="preserve">a third </w:t>
      </w:r>
      <w:r w:rsidR="00194C56" w:rsidRPr="004A2B32">
        <w:rPr>
          <w:color w:val="000000" w:themeColor="text1"/>
        </w:rPr>
        <w:t>individual (St3) and petrous bones from two individuals (St4, St5)</w:t>
      </w:r>
      <w:r w:rsidR="001E3B31" w:rsidRPr="001E3B31">
        <w:rPr>
          <w:color w:val="000000" w:themeColor="text1"/>
        </w:rPr>
        <w:t xml:space="preserve"> </w:t>
      </w:r>
      <w:r w:rsidR="004E1AE1" w:rsidRPr="004A2B32">
        <w:rPr>
          <w:bCs/>
          <w:color w:val="000000" w:themeColor="text1"/>
        </w:rPr>
        <w:t>(Table S1)</w:t>
      </w:r>
      <w:r w:rsidR="00194C56" w:rsidRPr="004A2B32">
        <w:rPr>
          <w:bCs/>
          <w:color w:val="000000" w:themeColor="text1"/>
        </w:rPr>
        <w:t>.</w:t>
      </w:r>
    </w:p>
    <w:p w14:paraId="37C3BCE4" w14:textId="77777777" w:rsidR="00194C56" w:rsidRPr="004A2B32" w:rsidRDefault="00194C56" w:rsidP="00D820C9">
      <w:pPr>
        <w:rPr>
          <w:color w:val="000000" w:themeColor="text1"/>
        </w:rPr>
      </w:pPr>
      <w:bookmarkStart w:id="16" w:name="_zhpc44pgldrn" w:colFirst="0" w:colLast="0"/>
      <w:bookmarkEnd w:id="16"/>
    </w:p>
    <w:p w14:paraId="6B32370A" w14:textId="77777777" w:rsidR="00194C56" w:rsidRPr="004A2B32" w:rsidRDefault="00194C56" w:rsidP="00D820C9">
      <w:pPr>
        <w:pStyle w:val="4"/>
        <w:rPr>
          <w:color w:val="000000" w:themeColor="text1"/>
          <w:sz w:val="22"/>
          <w:szCs w:val="22"/>
        </w:rPr>
      </w:pPr>
      <w:bookmarkStart w:id="17" w:name="_8gweyweofsc7" w:colFirst="0" w:colLast="0"/>
      <w:bookmarkEnd w:id="17"/>
      <w:proofErr w:type="spellStart"/>
      <w:r w:rsidRPr="004A2B32">
        <w:rPr>
          <w:color w:val="000000" w:themeColor="text1"/>
          <w:sz w:val="22"/>
          <w:szCs w:val="22"/>
        </w:rPr>
        <w:t>Makri</w:t>
      </w:r>
      <w:proofErr w:type="spellEnd"/>
    </w:p>
    <w:p w14:paraId="00766E07" w14:textId="73868265" w:rsidR="00194C56" w:rsidRPr="004A2B32" w:rsidRDefault="00194C56">
      <w:pPr>
        <w:jc w:val="both"/>
        <w:rPr>
          <w:color w:val="000000" w:themeColor="text1"/>
        </w:rPr>
      </w:pPr>
      <w:r w:rsidRPr="004A2B32">
        <w:rPr>
          <w:color w:val="000000" w:themeColor="text1"/>
        </w:rPr>
        <w:t xml:space="preserve">The Neolithic settlement of </w:t>
      </w:r>
      <w:proofErr w:type="spellStart"/>
      <w:r w:rsidRPr="004A2B32">
        <w:rPr>
          <w:color w:val="000000" w:themeColor="text1"/>
        </w:rPr>
        <w:t>Makri</w:t>
      </w:r>
      <w:proofErr w:type="spellEnd"/>
      <w:r w:rsidRPr="004A2B32">
        <w:rPr>
          <w:color w:val="000000" w:themeColor="text1"/>
        </w:rPr>
        <w:t xml:space="preserve"> is a coastal site, located ten kilometers to the west of the city of Alexandroupolis (Thrace). The habitation spread over the low mound. The use of nearby cave in the same period </w:t>
      </w:r>
      <w:r w:rsidR="00C2367B" w:rsidRPr="004A2B32">
        <w:rPr>
          <w:color w:val="000000" w:themeColor="text1"/>
        </w:rPr>
        <w:t xml:space="preserve">is </w:t>
      </w:r>
      <w:r w:rsidRPr="004A2B32">
        <w:rPr>
          <w:color w:val="000000" w:themeColor="text1"/>
        </w:rPr>
        <w:t>also attested. Systematic excavations were undertaken from 1988 to 1996 by the local Ephorate of Antiquities and the University of Thessaloniki</w:t>
      </w:r>
      <w:r w:rsidR="00B031D4" w:rsidRPr="004A2B32">
        <w:rPr>
          <w:color w:val="000000" w:themeColor="text1"/>
        </w:rPr>
        <w:fldChar w:fldCharType="begin" w:fldLock="1"/>
      </w:r>
      <w:r w:rsidR="00BE2180">
        <w:rPr>
          <w:color w:val="000000" w:themeColor="text1"/>
        </w:rPr>
        <w:instrText>ADDIN CSL_CITATION {"citationItems":[{"id":"ITEM-1","itemData":{"author":[{"dropping-particle":"","family":"Efstratiou","given":"N","non-dropping-particle":"","parse-names":false,"suffix":""},{"dropping-particle":"","family":"Fumanal","given":"M.P","non-dropping-particle":"","parse-names":false,"suffix":""},{"dropping-particle":"","family":"Ferrer","given":"C","non-dropping-particle":"","parse-names":false,"suffix":""},{"dropping-particle":"","family":"Urem-Kotsou","given":"D","non-dropping-particle":"","parse-names":false,"suffix":""},{"dropping-particle":"","family":"Curci","given":"A","non-dropping-particle":"","parse-names":false,"suffix":""},{"dropping-particle":"","family":"Tagliagozzo","given":"A","non-dropping-particle":"","parse-names":false,"suffix":""},{"dropping-particle":"","family":"Stratouli","given":"G","non-dropping-particle":"","parse-names":false,"suffix":""},{"dropping-particle":"","family":"Valamoti","given":"S.M","non-dropping-particle":"","parse-names":false,"suffix":""},{"dropping-particle":"","family":"Ntinou","given":"M","non-dropping-particle":"","parse-names":false,"suffix":""},{"dropping-particle":"","family":"Badal","given":"E","non-dropping-particle":"","parse-names":false,"suffix":""},{"dropping-particle":"","family":"Madella","given":"M","non-dropping-particle":"","parse-names":false,"suffix":""},{"dropping-particle":"","family":"Skourtopoulou","given":"K","non-dropping-particle":"","parse-names":false,"suffix":""}],"container-title":"Saguntum 31","id":"ITEM-1","issued":{"date-parts":[["1998"]]},"page":"11-62","title":"Excavations at the Neolithic settlement of Makri, Thrace, Greece (1988-1996). A preliminary report","type":"paper-conference"},"uris":["http://www.mendeley.com/documents/?uuid=885ef785-988e-4cee-ae4c-5f005b51991a"]}],"mendeley":{"formattedCitation":"&lt;sup&gt;68&lt;/sup&gt;","plainTextFormattedCitation":"68","previouslyFormattedCitation":"&lt;sup&gt;68&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68</w:t>
      </w:r>
      <w:r w:rsidR="00B031D4" w:rsidRPr="004A2B32">
        <w:rPr>
          <w:color w:val="000000" w:themeColor="text1"/>
        </w:rPr>
        <w:fldChar w:fldCharType="end"/>
      </w:r>
      <w:r w:rsidR="00B3625F" w:rsidRPr="004A2B32">
        <w:rPr>
          <w:color w:val="000000" w:themeColor="text1"/>
        </w:rPr>
        <w:t>.</w:t>
      </w:r>
      <w:r w:rsidR="004843CE" w:rsidRPr="004A2B32">
        <w:rPr>
          <w:color w:val="000000" w:themeColor="text1"/>
        </w:rPr>
        <w:t xml:space="preserve"> </w:t>
      </w:r>
      <w:proofErr w:type="spellStart"/>
      <w:r w:rsidRPr="004A2B32">
        <w:rPr>
          <w:color w:val="000000" w:themeColor="text1"/>
        </w:rPr>
        <w:t>Makri</w:t>
      </w:r>
      <w:proofErr w:type="spellEnd"/>
      <w:r w:rsidRPr="004A2B32">
        <w:rPr>
          <w:color w:val="000000" w:themeColor="text1"/>
        </w:rPr>
        <w:t xml:space="preserve"> belongs to the tell type of sites with deposits that reach 4m in h</w:t>
      </w:r>
      <w:r w:rsidR="00C2367B" w:rsidRPr="004A2B32">
        <w:rPr>
          <w:color w:val="000000" w:themeColor="text1"/>
        </w:rPr>
        <w:t>e</w:t>
      </w:r>
      <w:r w:rsidRPr="004A2B32">
        <w:rPr>
          <w:color w:val="000000" w:themeColor="text1"/>
        </w:rPr>
        <w:t>igh</w:t>
      </w:r>
      <w:r w:rsidR="00C2367B" w:rsidRPr="004A2B32">
        <w:rPr>
          <w:color w:val="000000" w:themeColor="text1"/>
        </w:rPr>
        <w:t>t</w:t>
      </w:r>
      <w:r w:rsidRPr="004A2B32">
        <w:rPr>
          <w:color w:val="000000" w:themeColor="text1"/>
        </w:rPr>
        <w:t>. The settlement was thoroughly investigated by at least 16 trenches (each 25m</w:t>
      </w:r>
      <w:r w:rsidRPr="004A2B32">
        <w:rPr>
          <w:color w:val="000000" w:themeColor="text1"/>
          <w:vertAlign w:val="superscript"/>
        </w:rPr>
        <w:t>2</w:t>
      </w:r>
      <w:r w:rsidRPr="004A2B32">
        <w:rPr>
          <w:color w:val="000000" w:themeColor="text1"/>
        </w:rPr>
        <w:t xml:space="preserve">), located on the top, slope and periphery of the mound, covering an area of at least 2000 </w:t>
      </w:r>
      <w:proofErr w:type="spellStart"/>
      <w:r w:rsidRPr="004A2B32">
        <w:rPr>
          <w:color w:val="000000" w:themeColor="text1"/>
        </w:rPr>
        <w:t>sq.m</w:t>
      </w:r>
      <w:proofErr w:type="spellEnd"/>
      <w:r w:rsidRPr="004A2B32">
        <w:rPr>
          <w:color w:val="000000" w:themeColor="text1"/>
        </w:rPr>
        <w:t xml:space="preserve">. The excavations revealed that the site was inhabited during the </w:t>
      </w:r>
      <w:r w:rsidR="00783BAA" w:rsidRPr="004A2B32">
        <w:rPr>
          <w:color w:val="000000" w:themeColor="text1"/>
        </w:rPr>
        <w:t xml:space="preserve">late EN-MN and </w:t>
      </w:r>
      <w:r w:rsidRPr="004A2B32">
        <w:rPr>
          <w:color w:val="000000" w:themeColor="text1"/>
        </w:rPr>
        <w:t xml:space="preserve">LN, later prehistoric periods and historical times. The stratigraphic sequence of Neolithic </w:t>
      </w:r>
      <w:proofErr w:type="spellStart"/>
      <w:r w:rsidRPr="004A2B32">
        <w:rPr>
          <w:color w:val="000000" w:themeColor="text1"/>
        </w:rPr>
        <w:t>Makri</w:t>
      </w:r>
      <w:proofErr w:type="spellEnd"/>
      <w:r w:rsidRPr="004A2B32">
        <w:rPr>
          <w:color w:val="000000" w:themeColor="text1"/>
        </w:rPr>
        <w:t xml:space="preserve"> is divided into two main phases, </w:t>
      </w:r>
      <w:proofErr w:type="spellStart"/>
      <w:r w:rsidRPr="004A2B32">
        <w:rPr>
          <w:color w:val="000000" w:themeColor="text1"/>
        </w:rPr>
        <w:t>Makri</w:t>
      </w:r>
      <w:proofErr w:type="spellEnd"/>
      <w:r w:rsidRPr="004A2B32">
        <w:rPr>
          <w:color w:val="000000" w:themeColor="text1"/>
        </w:rPr>
        <w:t xml:space="preserve"> I and II, which are separated by a destruction layer and </w:t>
      </w:r>
      <w:proofErr w:type="spellStart"/>
      <w:r w:rsidRPr="004A2B32">
        <w:rPr>
          <w:color w:val="000000" w:themeColor="text1"/>
        </w:rPr>
        <w:t>characterised</w:t>
      </w:r>
      <w:proofErr w:type="spellEnd"/>
      <w:r w:rsidRPr="004A2B32">
        <w:rPr>
          <w:color w:val="000000" w:themeColor="text1"/>
        </w:rPr>
        <w:t xml:space="preserve"> by the changes in pottery typology</w:t>
      </w:r>
      <w:r w:rsidR="00B031D4" w:rsidRPr="004A2B32">
        <w:rPr>
          <w:color w:val="000000" w:themeColor="text1"/>
        </w:rPr>
        <w:fldChar w:fldCharType="begin" w:fldLock="1"/>
      </w:r>
      <w:r w:rsidR="00BE2180">
        <w:rPr>
          <w:color w:val="000000" w:themeColor="text1"/>
        </w:rPr>
        <w:instrText>ADDIN CSL_CITATION {"citationItems":[{"id":"ITEM-1","itemData":{"author":[{"dropping-particle":"","family":"Urem-Kotsou","given":"Dushka","non-dropping-particle":"","parse-names":false,"suffix":""},{"dropping-particle":"","family":"Efstratiou","given":"Nikos","non-dropping-particle":"","parse-names":false,"suffix":""}],"container-title":"Archaeologiko Ergo sti Makedonia kai Thraki 7","id":"ITEM-1","issued":{"date-parts":[["1993"]]},"page":"619-625","title":"I symvoli tis keramikis tipologias tis Makris sti meleti tisproistorikis ekseliksis sti Thraki","type":"chapter"},"uris":["http://www.mendeley.com/documents/?uuid=ac310f90-c241-4870-84e5-93a057623cb5"]}],"mendeley":{"formattedCitation":"&lt;sup&gt;69&lt;/sup&gt;","plainTextFormattedCitation":"69","previouslyFormattedCitation":"&lt;sup&gt;69&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69</w:t>
      </w:r>
      <w:r w:rsidR="00B031D4" w:rsidRPr="004A2B32">
        <w:rPr>
          <w:color w:val="000000" w:themeColor="text1"/>
        </w:rPr>
        <w:fldChar w:fldCharType="end"/>
      </w:r>
      <w:r w:rsidR="00B3625F" w:rsidRPr="004A2B32">
        <w:rPr>
          <w:color w:val="000000" w:themeColor="text1"/>
        </w:rPr>
        <w:t xml:space="preserve">. </w:t>
      </w:r>
      <w:r w:rsidRPr="004A2B32">
        <w:rPr>
          <w:color w:val="000000" w:themeColor="text1"/>
        </w:rPr>
        <w:t xml:space="preserve">The earlier </w:t>
      </w:r>
      <w:proofErr w:type="spellStart"/>
      <w:r w:rsidRPr="004A2B32">
        <w:rPr>
          <w:color w:val="000000" w:themeColor="text1"/>
        </w:rPr>
        <w:t>Makri</w:t>
      </w:r>
      <w:proofErr w:type="spellEnd"/>
      <w:r w:rsidRPr="004A2B32">
        <w:rPr>
          <w:color w:val="000000" w:themeColor="text1"/>
        </w:rPr>
        <w:t xml:space="preserve"> I phase, found only on the top of the mound, is characterized only by one habitation phase. The pottery from this phase, though sharing similarities with the later </w:t>
      </w:r>
      <w:proofErr w:type="spellStart"/>
      <w:r w:rsidRPr="004A2B32">
        <w:rPr>
          <w:color w:val="000000" w:themeColor="text1"/>
        </w:rPr>
        <w:t>Makri</w:t>
      </w:r>
      <w:proofErr w:type="spellEnd"/>
      <w:r w:rsidRPr="004A2B32">
        <w:rPr>
          <w:color w:val="000000" w:themeColor="text1"/>
        </w:rPr>
        <w:t xml:space="preserve"> II ceramic</w:t>
      </w:r>
      <w:r w:rsidR="00C2367B" w:rsidRPr="004A2B32">
        <w:rPr>
          <w:color w:val="000000" w:themeColor="text1"/>
        </w:rPr>
        <w:t>s</w:t>
      </w:r>
      <w:r w:rsidRPr="004A2B32">
        <w:rPr>
          <w:color w:val="000000" w:themeColor="text1"/>
        </w:rPr>
        <w:t>, differs from the latter in terms of decoration and, to a lesser extent, in vessel shape</w:t>
      </w:r>
      <w:r w:rsidR="00C2367B" w:rsidRPr="004A2B32">
        <w:rPr>
          <w:color w:val="000000" w:themeColor="text1"/>
        </w:rPr>
        <w:t>s</w:t>
      </w:r>
      <w:r w:rsidRPr="004A2B32">
        <w:rPr>
          <w:color w:val="000000" w:themeColor="text1"/>
        </w:rPr>
        <w:t xml:space="preserve">. </w:t>
      </w:r>
      <w:proofErr w:type="spellStart"/>
      <w:r w:rsidRPr="004A2B32">
        <w:rPr>
          <w:color w:val="000000" w:themeColor="text1"/>
        </w:rPr>
        <w:t>Makri</w:t>
      </w:r>
      <w:proofErr w:type="spellEnd"/>
      <w:r w:rsidRPr="004A2B32">
        <w:rPr>
          <w:color w:val="000000" w:themeColor="text1"/>
        </w:rPr>
        <w:t xml:space="preserve"> II constitutes the main cultural period of the settlement. Deposits of this period were found on the top, slope and periphery of the mound. Four habitation phases have been distinguished. The Neolithic settlement covers a period between the </w:t>
      </w:r>
      <w:r w:rsidR="004B254C" w:rsidRPr="004A2B32">
        <w:rPr>
          <w:color w:val="000000" w:themeColor="text1"/>
        </w:rPr>
        <w:t xml:space="preserve">end </w:t>
      </w:r>
      <w:r w:rsidRPr="004A2B32">
        <w:rPr>
          <w:color w:val="000000" w:themeColor="text1"/>
        </w:rPr>
        <w:t xml:space="preserve">of the </w:t>
      </w:r>
      <w:r w:rsidR="004B254C" w:rsidRPr="004A2B32">
        <w:rPr>
          <w:color w:val="000000" w:themeColor="text1"/>
        </w:rPr>
        <w:t>7</w:t>
      </w:r>
      <w:r w:rsidRPr="004A2B32">
        <w:rPr>
          <w:color w:val="000000" w:themeColor="text1"/>
          <w:vertAlign w:val="superscript"/>
        </w:rPr>
        <w:t>th</w:t>
      </w:r>
      <w:r w:rsidRPr="004A2B32">
        <w:rPr>
          <w:color w:val="000000" w:themeColor="text1"/>
        </w:rPr>
        <w:t xml:space="preserve"> and the beginning of the 5</w:t>
      </w:r>
      <w:r w:rsidRPr="004A2B32">
        <w:rPr>
          <w:color w:val="000000" w:themeColor="text1"/>
          <w:vertAlign w:val="superscript"/>
        </w:rPr>
        <w:t>th</w:t>
      </w:r>
      <w:r w:rsidRPr="004A2B32">
        <w:rPr>
          <w:color w:val="000000" w:themeColor="text1"/>
        </w:rPr>
        <w:t xml:space="preserve"> millennium</w:t>
      </w:r>
      <w:r w:rsidR="00B031D4" w:rsidRPr="004A2B32">
        <w:rPr>
          <w:color w:val="000000" w:themeColor="text1"/>
        </w:rPr>
        <w:fldChar w:fldCharType="begin" w:fldLock="1"/>
      </w:r>
      <w:r w:rsidR="00BE2180">
        <w:rPr>
          <w:color w:val="000000" w:themeColor="text1"/>
        </w:rPr>
        <w:instrText>ADDIN CSL_CITATION {"citationItems":[{"id":"ITEM-1","itemData":{"author":[{"dropping-particle":"","family":"Karkanas","given":"P","non-dropping-particle":"","parse-names":false,"suffix":""},{"dropping-particle":"","family":"Efstratiou","given":"N","non-dropping-particle":"","parse-names":false,"suffix":""}],"container-title":"Antiquity","id":"ITEM-1","issued":{"date-parts":[["2009"]]},"page":"955-957","title":"Floor sequences in Neolithic Makri, Greece: micromorphology reveals cycles of renovation","type":"article-journal","volume":"83"},"uris":["http://www.mendeley.com/documents/?uuid=fef1142f-3c3a-480f-8f9c-a755bf00f81e"]}],"mendeley":{"formattedCitation":"&lt;sup&gt;70&lt;/sup&gt;","plainTextFormattedCitation":"70","previouslyFormattedCitation":"&lt;sup&gt;70&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70</w:t>
      </w:r>
      <w:r w:rsidR="00B031D4" w:rsidRPr="004A2B32">
        <w:rPr>
          <w:color w:val="000000" w:themeColor="text1"/>
        </w:rPr>
        <w:fldChar w:fldCharType="end"/>
      </w:r>
      <w:r w:rsidR="00B3625F" w:rsidRPr="004A2B32">
        <w:rPr>
          <w:color w:val="000000" w:themeColor="text1"/>
        </w:rPr>
        <w:t>.</w:t>
      </w:r>
      <w:r w:rsidR="001E3B31" w:rsidRPr="001E3B31">
        <w:rPr>
          <w:color w:val="000000" w:themeColor="text1"/>
        </w:rPr>
        <w:t xml:space="preserve"> </w:t>
      </w:r>
      <w:r w:rsidRPr="004A2B32">
        <w:rPr>
          <w:color w:val="000000" w:themeColor="text1"/>
        </w:rPr>
        <w:t xml:space="preserve">In the present study we </w:t>
      </w:r>
      <w:proofErr w:type="spellStart"/>
      <w:r w:rsidRPr="004A2B32">
        <w:rPr>
          <w:color w:val="000000" w:themeColor="text1"/>
        </w:rPr>
        <w:t>analysed</w:t>
      </w:r>
      <w:proofErr w:type="spellEnd"/>
      <w:r w:rsidR="004843CE" w:rsidRPr="004A2B32">
        <w:rPr>
          <w:color w:val="000000" w:themeColor="text1"/>
        </w:rPr>
        <w:t xml:space="preserve"> </w:t>
      </w:r>
      <w:r w:rsidR="00C2367B" w:rsidRPr="004A2B32">
        <w:rPr>
          <w:color w:val="000000" w:themeColor="text1"/>
        </w:rPr>
        <w:t xml:space="preserve">a maxillary </w:t>
      </w:r>
      <w:r w:rsidRPr="004A2B32">
        <w:rPr>
          <w:color w:val="000000" w:themeColor="text1"/>
        </w:rPr>
        <w:t xml:space="preserve">molar from one (NS1) and </w:t>
      </w:r>
      <w:r w:rsidR="00C2367B" w:rsidRPr="004A2B32">
        <w:rPr>
          <w:color w:val="000000" w:themeColor="text1"/>
        </w:rPr>
        <w:t xml:space="preserve">a </w:t>
      </w:r>
      <w:r w:rsidRPr="004A2B32">
        <w:rPr>
          <w:color w:val="000000" w:themeColor="text1"/>
        </w:rPr>
        <w:t>mandibular canine and right molar from another individual (NS2)</w:t>
      </w:r>
      <w:r w:rsidR="00DB28E4" w:rsidRPr="004A2B32">
        <w:rPr>
          <w:color w:val="000000" w:themeColor="text1"/>
        </w:rPr>
        <w:t xml:space="preserve"> </w:t>
      </w:r>
      <w:r w:rsidR="004E1AE1" w:rsidRPr="004A2B32">
        <w:rPr>
          <w:bCs/>
          <w:color w:val="000000" w:themeColor="text1"/>
        </w:rPr>
        <w:t>(Table S1)</w:t>
      </w:r>
      <w:r w:rsidRPr="004A2B32">
        <w:rPr>
          <w:bCs/>
          <w:color w:val="000000" w:themeColor="text1"/>
        </w:rPr>
        <w:t>.</w:t>
      </w:r>
    </w:p>
    <w:p w14:paraId="5A67AB87" w14:textId="77777777" w:rsidR="00194C56" w:rsidRPr="004A2B32" w:rsidRDefault="00194C56">
      <w:pPr>
        <w:jc w:val="both"/>
        <w:rPr>
          <w:color w:val="000000" w:themeColor="text1"/>
        </w:rPr>
      </w:pPr>
    </w:p>
    <w:p w14:paraId="562C4198" w14:textId="77777777" w:rsidR="00194C56" w:rsidRPr="004A2B32" w:rsidRDefault="00194C56" w:rsidP="00DF162D">
      <w:pPr>
        <w:pStyle w:val="2"/>
        <w:rPr>
          <w:b/>
          <w:bCs/>
          <w:color w:val="000000" w:themeColor="text1"/>
        </w:rPr>
      </w:pPr>
      <w:r w:rsidRPr="004A2B32">
        <w:rPr>
          <w:b/>
          <w:bCs/>
          <w:color w:val="000000" w:themeColor="text1"/>
        </w:rPr>
        <w:t>Late Neolithic Period</w:t>
      </w:r>
    </w:p>
    <w:p w14:paraId="7ADD4A91" w14:textId="354DDAA1" w:rsidR="00194C56" w:rsidRPr="004A2B32" w:rsidRDefault="00194C56" w:rsidP="00D820C9">
      <w:pPr>
        <w:pStyle w:val="4"/>
        <w:rPr>
          <w:color w:val="000000" w:themeColor="text1"/>
        </w:rPr>
      </w:pPr>
      <w:proofErr w:type="spellStart"/>
      <w:r w:rsidRPr="004A2B32">
        <w:rPr>
          <w:color w:val="000000" w:themeColor="text1"/>
          <w:sz w:val="22"/>
          <w:szCs w:val="22"/>
        </w:rPr>
        <w:t>Toumba</w:t>
      </w:r>
      <w:proofErr w:type="spellEnd"/>
      <w:r w:rsidR="004843CE" w:rsidRPr="004A2B32">
        <w:rPr>
          <w:color w:val="000000" w:themeColor="text1"/>
          <w:sz w:val="22"/>
          <w:szCs w:val="22"/>
        </w:rPr>
        <w:t xml:space="preserve"> </w:t>
      </w:r>
      <w:proofErr w:type="spellStart"/>
      <w:r w:rsidRPr="004A2B32">
        <w:rPr>
          <w:color w:val="000000" w:themeColor="text1"/>
          <w:sz w:val="22"/>
          <w:szCs w:val="22"/>
        </w:rPr>
        <w:t>Kremastis</w:t>
      </w:r>
      <w:proofErr w:type="spellEnd"/>
      <w:r w:rsidR="004843CE" w:rsidRPr="004A2B32">
        <w:rPr>
          <w:color w:val="000000" w:themeColor="text1"/>
          <w:sz w:val="22"/>
          <w:szCs w:val="22"/>
        </w:rPr>
        <w:t xml:space="preserve"> </w:t>
      </w:r>
      <w:proofErr w:type="spellStart"/>
      <w:r w:rsidRPr="004A2B32">
        <w:rPr>
          <w:color w:val="000000" w:themeColor="text1"/>
          <w:sz w:val="22"/>
          <w:szCs w:val="22"/>
        </w:rPr>
        <w:t>K</w:t>
      </w:r>
      <w:r w:rsidR="00D820C9" w:rsidRPr="004A2B32">
        <w:rPr>
          <w:color w:val="000000" w:themeColor="text1"/>
          <w:sz w:val="22"/>
          <w:szCs w:val="22"/>
        </w:rPr>
        <w:t>o</w:t>
      </w:r>
      <w:r w:rsidRPr="004A2B32">
        <w:rPr>
          <w:color w:val="000000" w:themeColor="text1"/>
          <w:sz w:val="22"/>
          <w:szCs w:val="22"/>
        </w:rPr>
        <w:t>iladas</w:t>
      </w:r>
      <w:proofErr w:type="spellEnd"/>
    </w:p>
    <w:p w14:paraId="1682A187" w14:textId="1FE85252" w:rsidR="00194C56" w:rsidRPr="004A2B32" w:rsidRDefault="00194C56">
      <w:pPr>
        <w:spacing w:after="0"/>
        <w:jc w:val="both"/>
        <w:rPr>
          <w:color w:val="000000" w:themeColor="text1"/>
        </w:rPr>
      </w:pPr>
      <w:r w:rsidRPr="004A2B32">
        <w:rPr>
          <w:color w:val="000000" w:themeColor="text1"/>
        </w:rPr>
        <w:t xml:space="preserve">The site of </w:t>
      </w:r>
      <w:proofErr w:type="spellStart"/>
      <w:r w:rsidRPr="004A2B32">
        <w:rPr>
          <w:color w:val="000000" w:themeColor="text1"/>
        </w:rPr>
        <w:t>Toumba</w:t>
      </w:r>
      <w:proofErr w:type="spellEnd"/>
      <w:r w:rsidR="004843CE" w:rsidRPr="004A2B32">
        <w:rPr>
          <w:color w:val="000000" w:themeColor="text1"/>
        </w:rPr>
        <w:t xml:space="preserve"> </w:t>
      </w:r>
      <w:proofErr w:type="spellStart"/>
      <w:r w:rsidRPr="004A2B32">
        <w:rPr>
          <w:color w:val="000000" w:themeColor="text1"/>
        </w:rPr>
        <w:t>Kremastis</w:t>
      </w:r>
      <w:proofErr w:type="spellEnd"/>
      <w:r w:rsidR="00C944A4" w:rsidRPr="004A2B32">
        <w:rPr>
          <w:color w:val="000000" w:themeColor="text1"/>
        </w:rPr>
        <w:t xml:space="preserve"> </w:t>
      </w:r>
      <w:proofErr w:type="spellStart"/>
      <w:r w:rsidRPr="004A2B32">
        <w:rPr>
          <w:color w:val="000000" w:themeColor="text1"/>
        </w:rPr>
        <w:t>K</w:t>
      </w:r>
      <w:r w:rsidR="00C944A4" w:rsidRPr="004A2B32">
        <w:rPr>
          <w:color w:val="000000" w:themeColor="text1"/>
        </w:rPr>
        <w:t>o</w:t>
      </w:r>
      <w:r w:rsidRPr="004A2B32">
        <w:rPr>
          <w:color w:val="000000" w:themeColor="text1"/>
        </w:rPr>
        <w:t>iladas</w:t>
      </w:r>
      <w:proofErr w:type="spellEnd"/>
      <w:r w:rsidRPr="004A2B32">
        <w:rPr>
          <w:color w:val="000000" w:themeColor="text1"/>
        </w:rPr>
        <w:t xml:space="preserve"> is situated </w:t>
      </w:r>
      <w:r w:rsidR="00C2367B" w:rsidRPr="004A2B32">
        <w:rPr>
          <w:color w:val="000000" w:themeColor="text1"/>
        </w:rPr>
        <w:t xml:space="preserve">on </w:t>
      </w:r>
      <w:r w:rsidRPr="004A2B32">
        <w:rPr>
          <w:color w:val="000000" w:themeColor="text1"/>
        </w:rPr>
        <w:t xml:space="preserve">the southeastern side of the </w:t>
      </w:r>
      <w:proofErr w:type="spellStart"/>
      <w:r w:rsidRPr="004A2B32">
        <w:rPr>
          <w:color w:val="000000" w:themeColor="text1"/>
        </w:rPr>
        <w:t>Kitrini</w:t>
      </w:r>
      <w:proofErr w:type="spellEnd"/>
      <w:r w:rsidR="004843CE" w:rsidRPr="004A2B32">
        <w:rPr>
          <w:color w:val="000000" w:themeColor="text1"/>
        </w:rPr>
        <w:t xml:space="preserve"> </w:t>
      </w:r>
      <w:proofErr w:type="spellStart"/>
      <w:r w:rsidRPr="004A2B32">
        <w:rPr>
          <w:color w:val="000000" w:themeColor="text1"/>
        </w:rPr>
        <w:t>Limni</w:t>
      </w:r>
      <w:proofErr w:type="spellEnd"/>
      <w:r w:rsidRPr="004A2B32">
        <w:rPr>
          <w:color w:val="000000" w:themeColor="text1"/>
        </w:rPr>
        <w:t xml:space="preserve"> basin, 20km north of the modern city of </w:t>
      </w:r>
      <w:proofErr w:type="spellStart"/>
      <w:r w:rsidRPr="004A2B32">
        <w:rPr>
          <w:color w:val="000000" w:themeColor="text1"/>
        </w:rPr>
        <w:t>Kozani</w:t>
      </w:r>
      <w:proofErr w:type="spellEnd"/>
      <w:r w:rsidRPr="004A2B32">
        <w:rPr>
          <w:color w:val="000000" w:themeColor="text1"/>
        </w:rPr>
        <w:t xml:space="preserve"> (western Macedonia). The site covers an area </w:t>
      </w:r>
      <w:r w:rsidRPr="004A2B32">
        <w:rPr>
          <w:color w:val="000000" w:themeColor="text1"/>
        </w:rPr>
        <w:lastRenderedPageBreak/>
        <w:t xml:space="preserve">of almost 8ha. Salvage excavations in an area of almost 1 ha were conducted in 1998-99 </w:t>
      </w:r>
      <w:r w:rsidR="00C2367B" w:rsidRPr="004A2B32">
        <w:rPr>
          <w:color w:val="000000" w:themeColor="text1"/>
        </w:rPr>
        <w:t>in advance of</w:t>
      </w:r>
      <w:r w:rsidRPr="004A2B32">
        <w:rPr>
          <w:color w:val="000000" w:themeColor="text1"/>
        </w:rPr>
        <w:t xml:space="preserve"> construction of the </w:t>
      </w:r>
      <w:proofErr w:type="spellStart"/>
      <w:r w:rsidRPr="004A2B32">
        <w:rPr>
          <w:color w:val="000000" w:themeColor="text1"/>
        </w:rPr>
        <w:t>Egnatia</w:t>
      </w:r>
      <w:proofErr w:type="spellEnd"/>
      <w:r w:rsidRPr="004A2B32">
        <w:rPr>
          <w:color w:val="000000" w:themeColor="text1"/>
        </w:rPr>
        <w:t xml:space="preserve"> highway. Part of the NE boundary of the settlement was excavated and the finds confirm that this area was outside the residential space. The excavations revealed at least 462 pits ranging from 0,50 to 3,75 m in diameter and 0,10-2,90 m deep, </w:t>
      </w:r>
      <w:r w:rsidRPr="004A2B32">
        <w:rPr>
          <w:color w:val="000000" w:themeColor="text1"/>
          <w:highlight w:val="white"/>
        </w:rPr>
        <w:t>and a series of 6 ditches</w:t>
      </w:r>
      <w:r w:rsidRPr="004A2B32">
        <w:rPr>
          <w:color w:val="000000" w:themeColor="text1"/>
        </w:rPr>
        <w:t xml:space="preserve">. Several pits contained </w:t>
      </w:r>
      <w:r w:rsidR="00C2367B" w:rsidRPr="004A2B32">
        <w:rPr>
          <w:color w:val="000000" w:themeColor="text1"/>
        </w:rPr>
        <w:t xml:space="preserve">structured </w:t>
      </w:r>
      <w:r w:rsidRPr="004A2B32">
        <w:rPr>
          <w:color w:val="000000" w:themeColor="text1"/>
        </w:rPr>
        <w:t>burial</w:t>
      </w:r>
      <w:r w:rsidR="00C2367B" w:rsidRPr="004A2B32">
        <w:rPr>
          <w:color w:val="000000" w:themeColor="text1"/>
        </w:rPr>
        <w:t>s</w:t>
      </w:r>
      <w:r w:rsidRPr="004A2B32">
        <w:rPr>
          <w:color w:val="000000" w:themeColor="text1"/>
        </w:rPr>
        <w:t xml:space="preserve"> of animals, people, </w:t>
      </w:r>
      <w:r w:rsidR="00C2367B" w:rsidRPr="004A2B32">
        <w:rPr>
          <w:color w:val="000000" w:themeColor="text1"/>
        </w:rPr>
        <w:t xml:space="preserve">miniature </w:t>
      </w:r>
      <w:r w:rsidRPr="004A2B32">
        <w:rPr>
          <w:color w:val="000000" w:themeColor="text1"/>
          <w:highlight w:val="white"/>
        </w:rPr>
        <w:t>pots, musical instruments (flutes), polished and ground stone tools</w:t>
      </w:r>
      <w:r w:rsidR="004843CE" w:rsidRPr="004A2B32">
        <w:rPr>
          <w:color w:val="000000" w:themeColor="text1"/>
          <w:highlight w:val="white"/>
        </w:rPr>
        <w:t xml:space="preserve"> </w:t>
      </w:r>
      <w:r w:rsidRPr="004A2B32">
        <w:rPr>
          <w:color w:val="000000" w:themeColor="text1"/>
          <w:highlight w:val="white"/>
        </w:rPr>
        <w:t>and house models</w:t>
      </w:r>
      <w:r w:rsidR="004843CE" w:rsidRPr="004A2B32">
        <w:rPr>
          <w:color w:val="000000" w:themeColor="text1"/>
          <w:highlight w:val="white"/>
        </w:rPr>
        <w:t xml:space="preserve"> </w:t>
      </w:r>
      <w:r w:rsidRPr="004A2B32">
        <w:rPr>
          <w:color w:val="000000" w:themeColor="text1"/>
          <w:highlight w:val="white"/>
        </w:rPr>
        <w:t>suggesting that this area on the margins of the</w:t>
      </w:r>
      <w:r w:rsidR="004843CE" w:rsidRPr="004A2B32">
        <w:rPr>
          <w:color w:val="000000" w:themeColor="text1"/>
          <w:highlight w:val="white"/>
        </w:rPr>
        <w:t xml:space="preserve"> </w:t>
      </w:r>
      <w:r w:rsidRPr="004A2B32">
        <w:rPr>
          <w:color w:val="000000" w:themeColor="text1"/>
          <w:highlight w:val="white"/>
        </w:rPr>
        <w:t xml:space="preserve">settlement was related to ritual activities. </w:t>
      </w:r>
      <w:r w:rsidRPr="004A2B32">
        <w:rPr>
          <w:color w:val="000000" w:themeColor="text1"/>
        </w:rPr>
        <w:t xml:space="preserve">Two </w:t>
      </w:r>
      <w:r w:rsidR="00866CD4" w:rsidRPr="004A2B32">
        <w:rPr>
          <w:color w:val="000000" w:themeColor="text1"/>
        </w:rPr>
        <w:t xml:space="preserve">main </w:t>
      </w:r>
      <w:r w:rsidRPr="004A2B32">
        <w:rPr>
          <w:color w:val="000000" w:themeColor="text1"/>
        </w:rPr>
        <w:t xml:space="preserve">chronological phases have been distinguished. Human burials include 23 cremations and two inhumations with bodies in flexed position, all found inside the pits. The cremation burials are related to the last use of the </w:t>
      </w:r>
      <w:r w:rsidR="00C2367B" w:rsidRPr="004A2B32">
        <w:rPr>
          <w:color w:val="000000" w:themeColor="text1"/>
        </w:rPr>
        <w:t>excavated area</w:t>
      </w:r>
      <w:r w:rsidRPr="004A2B32">
        <w:rPr>
          <w:color w:val="000000" w:themeColor="text1"/>
        </w:rPr>
        <w:t xml:space="preserve">. The large pits and one of the ditches may have been </w:t>
      </w:r>
      <w:r w:rsidR="00A81061" w:rsidRPr="004A2B32">
        <w:rPr>
          <w:color w:val="000000" w:themeColor="text1"/>
        </w:rPr>
        <w:t>dug for</w:t>
      </w:r>
      <w:r w:rsidRPr="004A2B32">
        <w:rPr>
          <w:color w:val="000000" w:themeColor="text1"/>
        </w:rPr>
        <w:t xml:space="preserve"> the extraction of clay presumably used as building material for the construction of houses and perhaps for pot making. The burials were customarily cremated</w:t>
      </w:r>
      <w:r w:rsidR="00A81061" w:rsidRPr="004A2B32">
        <w:rPr>
          <w:color w:val="000000" w:themeColor="text1"/>
        </w:rPr>
        <w:t xml:space="preserve">, representing </w:t>
      </w:r>
      <w:r w:rsidRPr="004A2B32">
        <w:rPr>
          <w:color w:val="000000" w:themeColor="text1"/>
        </w:rPr>
        <w:t xml:space="preserve">a change in burial </w:t>
      </w:r>
      <w:r w:rsidR="00A81061" w:rsidRPr="004A2B32">
        <w:rPr>
          <w:color w:val="000000" w:themeColor="text1"/>
        </w:rPr>
        <w:t>practice</w:t>
      </w:r>
      <w:r w:rsidRPr="004A2B32">
        <w:rPr>
          <w:color w:val="000000" w:themeColor="text1"/>
        </w:rPr>
        <w:t xml:space="preserve">. This is the first cemetery </w:t>
      </w:r>
      <w:r w:rsidR="00A81061" w:rsidRPr="004A2B32">
        <w:rPr>
          <w:color w:val="000000" w:themeColor="text1"/>
        </w:rPr>
        <w:t xml:space="preserve">identified </w:t>
      </w:r>
      <w:r w:rsidRPr="004A2B32">
        <w:rPr>
          <w:color w:val="000000" w:themeColor="text1"/>
        </w:rPr>
        <w:t xml:space="preserve">in western Macedonia for this period. On the basis of pottery typology and a series of </w:t>
      </w:r>
      <w:r w:rsidRPr="004A2B32">
        <w:rPr>
          <w:color w:val="000000" w:themeColor="text1"/>
          <w:vertAlign w:val="superscript"/>
        </w:rPr>
        <w:t>14</w:t>
      </w:r>
      <w:r w:rsidRPr="004A2B32">
        <w:rPr>
          <w:color w:val="000000" w:themeColor="text1"/>
        </w:rPr>
        <w:t>C</w:t>
      </w:r>
      <w:r w:rsidR="00A81061" w:rsidRPr="004A2B32">
        <w:rPr>
          <w:color w:val="000000" w:themeColor="text1"/>
        </w:rPr>
        <w:t xml:space="preserve"> determinations</w:t>
      </w:r>
      <w:r w:rsidRPr="004A2B32">
        <w:rPr>
          <w:color w:val="000000" w:themeColor="text1"/>
        </w:rPr>
        <w:t xml:space="preserve"> the site is dated to the early phase of the LN (5400-5000 BC)</w:t>
      </w:r>
      <w:r w:rsidR="00B031D4" w:rsidRPr="004A2B32">
        <w:rPr>
          <w:color w:val="000000" w:themeColor="text1"/>
        </w:rPr>
        <w:fldChar w:fldCharType="begin" w:fldLock="1"/>
      </w:r>
      <w:r w:rsidR="00BE2180">
        <w:rPr>
          <w:color w:val="000000" w:themeColor="text1"/>
        </w:rPr>
        <w:instrText>ADDIN CSL_CITATION {"citationItems":[{"id":"ITEM-1","itemData":{"DOI":"10.12681/eadd/19949","author":[{"dropping-particle":"","family":"Hondroyianni-Metoki","given":"A","non-dropping-particle":"","parse-names":false,"suffix":""}],"id":"ITEM-1","issued":{"date-parts":[["2009","1","1"]]},"number-of-pages":"613","publisher":"Αριστοτέλειο Πανεπιστήμιο Θεσσαλονίκης (ΑΠΘ)","title":"Non domestic use of space in the Neolithic settlements. The example of Toumba Kremastis Koiladas","type":"thesis"},"uris":["http://www.mendeley.com/documents/?uuid=488eb448-ddd9-4941-bc91-50dd683e197d"]},{"id":"ITEM-2","itemData":{"author":[{"dropping-particle":"","family":"Hondroyianni-Metoki","given":"A.","non-dropping-particle":"","parse-names":false,"suffix":""}],"container-title":"AEMTh 13","editor":[{"dropping-particle":"","family":"Adam-Veleni","given":"P","non-dropping-particle":"","parse-names":false,"suffix":""}],"id":"ITEM-2","issued":{"date-parts":[["2001"]]},"page":"399-414","publisher":"Ministry of Culture","title":"Egnatia odos, anaskafi stin proistoriki thesi \"Toumba Kremastis Koiladas\"-Nomou Kozanis","type":"paper-conference"},"uris":["http://www.mendeley.com/documents/?uuid=744ee933-3b5a-47bb-86c6-8b7eb43edfb7"]}],"mendeley":{"formattedCitation":"&lt;sup&gt;71,72&lt;/sup&gt;","plainTextFormattedCitation":"71,72","previouslyFormattedCitation":"&lt;sup&gt;71,72&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71,72</w:t>
      </w:r>
      <w:r w:rsidR="00B031D4" w:rsidRPr="004A2B32">
        <w:rPr>
          <w:color w:val="000000" w:themeColor="text1"/>
        </w:rPr>
        <w:fldChar w:fldCharType="end"/>
      </w:r>
      <w:r w:rsidR="004E1AE1" w:rsidRPr="004A2B32">
        <w:rPr>
          <w:color w:val="000000" w:themeColor="text1"/>
        </w:rPr>
        <w:t xml:space="preserve">. </w:t>
      </w:r>
      <w:r w:rsidRPr="004A2B32">
        <w:rPr>
          <w:color w:val="000000" w:themeColor="text1"/>
          <w:highlight w:val="white"/>
        </w:rPr>
        <w:t xml:space="preserve">In the present study we </w:t>
      </w:r>
      <w:proofErr w:type="spellStart"/>
      <w:r w:rsidRPr="004A2B32">
        <w:rPr>
          <w:color w:val="000000" w:themeColor="text1"/>
          <w:highlight w:val="white"/>
        </w:rPr>
        <w:t>analysed</w:t>
      </w:r>
      <w:proofErr w:type="spellEnd"/>
      <w:r w:rsidRPr="004A2B32">
        <w:rPr>
          <w:color w:val="000000" w:themeColor="text1"/>
          <w:highlight w:val="white"/>
        </w:rPr>
        <w:t xml:space="preserve"> long bones from seven individuals (Krk1, Krk2, Krk3, Krk4, Krk5, Krk6, Krk7), teeth from two individuals (Krk8, Krk8) and petrous bones from two individuals (Krk10, Krk11)</w:t>
      </w:r>
      <w:r w:rsidR="00C944A4" w:rsidRPr="004A2B32">
        <w:rPr>
          <w:color w:val="000000" w:themeColor="text1"/>
        </w:rPr>
        <w:t xml:space="preserve"> </w:t>
      </w:r>
      <w:r w:rsidR="004E1AE1" w:rsidRPr="004A2B32">
        <w:rPr>
          <w:bCs/>
          <w:color w:val="000000" w:themeColor="text1"/>
        </w:rPr>
        <w:t>(Table S1)</w:t>
      </w:r>
      <w:r w:rsidRPr="004A2B32">
        <w:rPr>
          <w:bCs/>
          <w:color w:val="000000" w:themeColor="text1"/>
          <w:highlight w:val="white"/>
        </w:rPr>
        <w:t>.</w:t>
      </w:r>
    </w:p>
    <w:p w14:paraId="2C7B6D78" w14:textId="77777777" w:rsidR="00194C56" w:rsidRPr="004A2B32" w:rsidRDefault="00194C56">
      <w:pPr>
        <w:spacing w:after="0"/>
        <w:jc w:val="both"/>
        <w:rPr>
          <w:color w:val="000000" w:themeColor="text1"/>
        </w:rPr>
      </w:pPr>
    </w:p>
    <w:p w14:paraId="16235BA1" w14:textId="77777777" w:rsidR="00194C56" w:rsidRPr="004A2B32" w:rsidRDefault="00194C56">
      <w:pPr>
        <w:pStyle w:val="4"/>
        <w:spacing w:before="200"/>
        <w:jc w:val="both"/>
        <w:rPr>
          <w:color w:val="000000" w:themeColor="text1"/>
          <w:sz w:val="22"/>
          <w:szCs w:val="22"/>
        </w:rPr>
      </w:pPr>
      <w:bookmarkStart w:id="18" w:name="_rkhetz9aq3nf" w:colFirst="0" w:colLast="0"/>
      <w:bookmarkEnd w:id="18"/>
      <w:proofErr w:type="spellStart"/>
      <w:r w:rsidRPr="004A2B32">
        <w:rPr>
          <w:color w:val="000000" w:themeColor="text1"/>
          <w:sz w:val="22"/>
          <w:szCs w:val="22"/>
        </w:rPr>
        <w:t>Makriyalos</w:t>
      </w:r>
      <w:proofErr w:type="spellEnd"/>
    </w:p>
    <w:p w14:paraId="657EEA74" w14:textId="3DDBEE6D" w:rsidR="00194C56" w:rsidRDefault="00194C56">
      <w:pPr>
        <w:jc w:val="both"/>
        <w:rPr>
          <w:bCs/>
          <w:color w:val="000000" w:themeColor="text1"/>
        </w:rPr>
      </w:pPr>
      <w:r w:rsidRPr="004A2B32">
        <w:rPr>
          <w:color w:val="000000" w:themeColor="text1"/>
        </w:rPr>
        <w:t xml:space="preserve">The Neolithic site of </w:t>
      </w:r>
      <w:proofErr w:type="spellStart"/>
      <w:r w:rsidRPr="004A2B32">
        <w:rPr>
          <w:color w:val="000000" w:themeColor="text1"/>
        </w:rPr>
        <w:t>Makriyalos</w:t>
      </w:r>
      <w:proofErr w:type="spellEnd"/>
      <w:r w:rsidRPr="004A2B32">
        <w:rPr>
          <w:color w:val="000000" w:themeColor="text1"/>
        </w:rPr>
        <w:t xml:space="preserve"> is a flat-extended site located on gentle hill slopes in the coastal lowlands of Pieria (</w:t>
      </w:r>
      <w:r w:rsidR="00D608C5">
        <w:rPr>
          <w:color w:val="000000" w:themeColor="text1"/>
        </w:rPr>
        <w:t>c</w:t>
      </w:r>
      <w:r w:rsidRPr="004A2B32">
        <w:rPr>
          <w:color w:val="000000" w:themeColor="text1"/>
        </w:rPr>
        <w:t xml:space="preserve">entral Macedonia). Rescue excavations, carried out in the 1990s, uncovered two distinct phases of occupation. </w:t>
      </w:r>
      <w:proofErr w:type="spellStart"/>
      <w:r w:rsidRPr="004A2B32">
        <w:rPr>
          <w:color w:val="000000" w:themeColor="text1"/>
        </w:rPr>
        <w:t>Makriyalos</w:t>
      </w:r>
      <w:proofErr w:type="spellEnd"/>
      <w:r w:rsidRPr="004A2B32">
        <w:rPr>
          <w:color w:val="000000" w:themeColor="text1"/>
        </w:rPr>
        <w:t xml:space="preserve"> I, dated by pottery </w:t>
      </w:r>
      <w:r w:rsidR="00A81061" w:rsidRPr="004A2B32">
        <w:rPr>
          <w:color w:val="000000" w:themeColor="text1"/>
        </w:rPr>
        <w:t>to</w:t>
      </w:r>
      <w:r w:rsidRPr="004A2B32">
        <w:rPr>
          <w:color w:val="000000" w:themeColor="text1"/>
        </w:rPr>
        <w:t xml:space="preserve"> the early phase of the Late Neolithic (ca 5400-4900 BC), is represented by loosely scattered pit-houses. The settlement of this phase was encircled by two parallel ditches (Alpha and Beta), while part of </w:t>
      </w:r>
      <w:r w:rsidR="00A81061" w:rsidRPr="004A2B32">
        <w:rPr>
          <w:color w:val="000000" w:themeColor="text1"/>
        </w:rPr>
        <w:t xml:space="preserve">a </w:t>
      </w:r>
      <w:r w:rsidRPr="004A2B32">
        <w:rPr>
          <w:color w:val="000000" w:themeColor="text1"/>
        </w:rPr>
        <w:t xml:space="preserve">third (Gamma), found inside the settlement, must have separated part of it. At least 70 human burials, either intact or in the form of scattered human bones, were found in the settlement, many of them in the ditch Alpha. </w:t>
      </w:r>
      <w:proofErr w:type="spellStart"/>
      <w:proofErr w:type="gramStart"/>
      <w:r w:rsidRPr="004A2B32">
        <w:rPr>
          <w:color w:val="000000" w:themeColor="text1"/>
        </w:rPr>
        <w:t>Makriyalos</w:t>
      </w:r>
      <w:proofErr w:type="spellEnd"/>
      <w:proofErr w:type="gramEnd"/>
      <w:r w:rsidRPr="004A2B32">
        <w:rPr>
          <w:color w:val="000000" w:themeColor="text1"/>
        </w:rPr>
        <w:t xml:space="preserve"> I has yielded exceptionally large artefactual and </w:t>
      </w:r>
      <w:proofErr w:type="spellStart"/>
      <w:r w:rsidRPr="004A2B32">
        <w:rPr>
          <w:color w:val="000000" w:themeColor="text1"/>
        </w:rPr>
        <w:t>bioarchaeological</w:t>
      </w:r>
      <w:proofErr w:type="spellEnd"/>
      <w:r w:rsidRPr="004A2B32">
        <w:rPr>
          <w:color w:val="000000" w:themeColor="text1"/>
        </w:rPr>
        <w:t xml:space="preserve"> assemblages. One of the most striking finds represents an unusually large pit exceeding 30m in diameter filled with the remains of large-scale feasting </w:t>
      </w:r>
      <w:r w:rsidR="00B031D4" w:rsidRPr="004A2B32">
        <w:rPr>
          <w:color w:val="000000" w:themeColor="text1"/>
        </w:rPr>
        <w:fldChar w:fldCharType="begin" w:fldLock="1"/>
      </w:r>
      <w:r w:rsidR="00BE2180">
        <w:rPr>
          <w:color w:val="000000" w:themeColor="text1"/>
        </w:rPr>
        <w:instrText>ADDIN CSL_CITATION {"citationItems":[{"id":"ITEM-1","itemData":{"author":[{"dropping-particle":"","family":"Pappa","given":"M.","non-dropping-particle":"","parse-names":false,"suffix":""},{"dropping-particle":"","family":"Halstead","given":"P.","non-dropping-particle":"","parse-names":false,"suffix":""},{"dropping-particle":"","family":"Kotsakis","given":"Kostas","non-dropping-particle":"","parse-names":false,"suffix":""},{"dropping-particle":"","family":"Urem-Kotsou","given":"Dushka","non-dropping-particle":"","parse-names":false,"suffix":""}],"container-title":"Food, Cuisine and Society in Prehistoric Greece","id":"ITEM-1","issued":{"date-parts":[["2004"]]},"page":"16-44","title":"Evidence for large-scale feasting at Late Neolithic Makriyalos","type":"chapter"},"uris":["http://www.mendeley.com/documents/?uuid=9a367078-f617-46b7-80df-df125b516bee"]}],"mendeley":{"formattedCitation":"&lt;sup&gt;73&lt;/sup&gt;","plainTextFormattedCitation":"73","previouslyFormattedCitation":"&lt;sup&gt;73&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73</w:t>
      </w:r>
      <w:r w:rsidR="00B031D4" w:rsidRPr="004A2B32">
        <w:rPr>
          <w:color w:val="000000" w:themeColor="text1"/>
        </w:rPr>
        <w:fldChar w:fldCharType="end"/>
      </w:r>
      <w:r w:rsidRPr="004A2B32">
        <w:rPr>
          <w:color w:val="000000" w:themeColor="text1"/>
        </w:rPr>
        <w:t>. Th</w:t>
      </w:r>
      <w:r w:rsidR="00A81061" w:rsidRPr="004A2B32">
        <w:rPr>
          <w:color w:val="000000" w:themeColor="text1"/>
        </w:rPr>
        <w:t xml:space="preserve">is </w:t>
      </w:r>
      <w:r w:rsidRPr="004A2B32">
        <w:rPr>
          <w:color w:val="000000" w:themeColor="text1"/>
        </w:rPr>
        <w:t xml:space="preserve">deposit </w:t>
      </w:r>
      <w:r w:rsidR="00A81061" w:rsidRPr="004A2B32">
        <w:rPr>
          <w:color w:val="000000" w:themeColor="text1"/>
        </w:rPr>
        <w:t>yielded</w:t>
      </w:r>
      <w:r w:rsidRPr="004A2B32">
        <w:rPr>
          <w:color w:val="000000" w:themeColor="text1"/>
        </w:rPr>
        <w:t xml:space="preserve"> animal bones</w:t>
      </w:r>
      <w:r w:rsidR="00A81061" w:rsidRPr="004A2B32">
        <w:rPr>
          <w:color w:val="000000" w:themeColor="text1"/>
        </w:rPr>
        <w:t xml:space="preserve"> representing more than</w:t>
      </w:r>
      <w:r w:rsidRPr="004A2B32">
        <w:rPr>
          <w:color w:val="000000" w:themeColor="text1"/>
        </w:rPr>
        <w:t xml:space="preserve"> 600 domesticates, </w:t>
      </w:r>
      <w:r w:rsidR="00A81061" w:rsidRPr="004A2B32">
        <w:rPr>
          <w:color w:val="000000" w:themeColor="text1"/>
        </w:rPr>
        <w:t xml:space="preserve">a huge volume of marine </w:t>
      </w:r>
      <w:r w:rsidRPr="004A2B32">
        <w:rPr>
          <w:color w:val="000000" w:themeColor="text1"/>
        </w:rPr>
        <w:t xml:space="preserve">shells, archaeobotanical remains and numerous ceramic vessels used for cooking, serving and the consumption of food. Cups stand out from the rest not only </w:t>
      </w:r>
      <w:r w:rsidR="00C905DE" w:rsidRPr="004A2B32">
        <w:rPr>
          <w:color w:val="000000" w:themeColor="text1"/>
        </w:rPr>
        <w:t xml:space="preserve">in </w:t>
      </w:r>
      <w:r w:rsidRPr="004A2B32">
        <w:rPr>
          <w:color w:val="000000" w:themeColor="text1"/>
        </w:rPr>
        <w:t xml:space="preserve">their </w:t>
      </w:r>
      <w:r w:rsidR="00C905DE" w:rsidRPr="004A2B32">
        <w:rPr>
          <w:color w:val="000000" w:themeColor="text1"/>
        </w:rPr>
        <w:t>(</w:t>
      </w:r>
      <w:r w:rsidRPr="004A2B32">
        <w:rPr>
          <w:color w:val="000000" w:themeColor="text1"/>
        </w:rPr>
        <w:t>for the Neolithic</w:t>
      </w:r>
      <w:r w:rsidR="00C905DE" w:rsidRPr="004A2B32">
        <w:rPr>
          <w:color w:val="000000" w:themeColor="text1"/>
        </w:rPr>
        <w:t>) unusually</w:t>
      </w:r>
      <w:r w:rsidRPr="004A2B32">
        <w:rPr>
          <w:color w:val="000000" w:themeColor="text1"/>
        </w:rPr>
        <w:t xml:space="preserve"> large number, but also </w:t>
      </w:r>
      <w:r w:rsidR="00C905DE" w:rsidRPr="004A2B32">
        <w:rPr>
          <w:color w:val="000000" w:themeColor="text1"/>
        </w:rPr>
        <w:t xml:space="preserve">in their frequency of </w:t>
      </w:r>
      <w:r w:rsidRPr="004A2B32">
        <w:rPr>
          <w:color w:val="000000" w:themeColor="text1"/>
        </w:rPr>
        <w:t xml:space="preserve">symbolically charged figurative handles. </w:t>
      </w:r>
      <w:r w:rsidR="00C905DE" w:rsidRPr="004A2B32">
        <w:rPr>
          <w:color w:val="000000" w:themeColor="text1"/>
        </w:rPr>
        <w:t xml:space="preserve">The </w:t>
      </w:r>
      <w:proofErr w:type="spellStart"/>
      <w:r w:rsidRPr="004A2B32">
        <w:rPr>
          <w:color w:val="000000" w:themeColor="text1"/>
        </w:rPr>
        <w:t>Makriyalos</w:t>
      </w:r>
      <w:proofErr w:type="spellEnd"/>
      <w:r w:rsidRPr="004A2B32">
        <w:rPr>
          <w:color w:val="000000" w:themeColor="text1"/>
        </w:rPr>
        <w:t xml:space="preserve"> II phase, which must have also been encircled by a ditch (or two parallel ditches), is represented by densely scattered pit dwellings</w:t>
      </w:r>
      <w:r w:rsidR="00C905DE" w:rsidRPr="004A2B32">
        <w:rPr>
          <w:color w:val="000000" w:themeColor="text1"/>
        </w:rPr>
        <w:t>, with f</w:t>
      </w:r>
      <w:r w:rsidRPr="004A2B32">
        <w:rPr>
          <w:color w:val="000000" w:themeColor="text1"/>
        </w:rPr>
        <w:t xml:space="preserve">oundations of at least one </w:t>
      </w:r>
      <w:r w:rsidRPr="004A2B32">
        <w:rPr>
          <w:color w:val="000000" w:themeColor="text1"/>
        </w:rPr>
        <w:lastRenderedPageBreak/>
        <w:t>rectangular above-ground building also found. Among the interesting finds of this occupation phase is a group of heart</w:t>
      </w:r>
      <w:r w:rsidR="00C905DE" w:rsidRPr="004A2B32">
        <w:rPr>
          <w:color w:val="000000" w:themeColor="text1"/>
        </w:rPr>
        <w:t>h</w:t>
      </w:r>
      <w:r w:rsidRPr="004A2B32">
        <w:rPr>
          <w:color w:val="000000" w:themeColor="text1"/>
        </w:rPr>
        <w:t xml:space="preserve">s concentrated in one part of the settlement suggesting the preparation of food on a communal level. This phase is dated by pottery </w:t>
      </w:r>
      <w:r w:rsidR="00C905DE" w:rsidRPr="004A2B32">
        <w:rPr>
          <w:color w:val="000000" w:themeColor="text1"/>
        </w:rPr>
        <w:t xml:space="preserve">to </w:t>
      </w:r>
      <w:r w:rsidRPr="004A2B32">
        <w:rPr>
          <w:color w:val="000000" w:themeColor="text1"/>
        </w:rPr>
        <w:t>the late phase of the LN (</w:t>
      </w:r>
      <w:r w:rsidR="00B92A6F" w:rsidRPr="004A2B32">
        <w:rPr>
          <w:color w:val="000000" w:themeColor="text1"/>
        </w:rPr>
        <w:t xml:space="preserve">ca </w:t>
      </w:r>
      <w:r w:rsidRPr="004A2B32">
        <w:rPr>
          <w:color w:val="000000" w:themeColor="text1"/>
        </w:rPr>
        <w:t>4</w:t>
      </w:r>
      <w:r w:rsidR="00B92A6F" w:rsidRPr="004A2B32">
        <w:rPr>
          <w:color w:val="000000" w:themeColor="text1"/>
        </w:rPr>
        <w:t>,</w:t>
      </w:r>
      <w:r w:rsidRPr="004A2B32">
        <w:rPr>
          <w:color w:val="000000" w:themeColor="text1"/>
        </w:rPr>
        <w:t>900-4</w:t>
      </w:r>
      <w:r w:rsidR="00B92A6F" w:rsidRPr="004A2B32">
        <w:rPr>
          <w:color w:val="000000" w:themeColor="text1"/>
        </w:rPr>
        <w:t>,</w:t>
      </w:r>
      <w:r w:rsidRPr="004A2B32">
        <w:rPr>
          <w:color w:val="000000" w:themeColor="text1"/>
        </w:rPr>
        <w:t>500 BC)</w:t>
      </w:r>
      <w:r w:rsidR="00B031D4" w:rsidRPr="004A2B32">
        <w:rPr>
          <w:color w:val="000000" w:themeColor="text1"/>
        </w:rPr>
        <w:fldChar w:fldCharType="begin" w:fldLock="1"/>
      </w:r>
      <w:r w:rsidR="00BE2180">
        <w:rPr>
          <w:color w:val="000000" w:themeColor="text1"/>
        </w:rPr>
        <w:instrText>ADDIN CSL_CITATION {"citationItems":[{"id":"ITEM-1","itemData":{"ISSN":"0093-4690","author":[{"dropping-particle":"","family":"Pappa","given":"Maria","non-dropping-particle":"","parse-names":false,"suffix":""},{"dropping-particle":"","family":"Besios","given":"Manthos","non-dropping-particle":"","parse-names":false,"suffix":""}],"container-title":"Journal of Field Archaeology","id":"ITEM-1","issue":"2","issued":{"date-parts":[["1999"]]},"page":"177-195","publisher":"Taylor &amp; Francis","title":"The Neolithic settlement at Makriyalos, Northern Greece: preliminary report on the 1993–1995 excavations","type":"article-journal","volume":"26"},"uris":["http://www.mendeley.com/documents/?uuid=adc398bc-ac9f-4c0f-87fa-31475c06a569"]},{"id":"ITEM-2","itemData":{"author":[{"dropping-particle":"","family":"Pappa","given":"Maria","non-dropping-particle":"","parse-names":false,"suffix":""}],"id":"ITEM-2","issued":{"date-parts":[["2020"]]},"publisher":"Ziti","title":"DETh,Thermi, Makrygialos. The organization of communal and domestic space in the Neolithic settlements of Central Macedonia","type":"book"},"uris":["http://www.mendeley.com/documents/?uuid=76cac22d-632c-4bf4-81b6-fe1de45ff359"]},{"id":"ITEM-3","itemData":{"DOI":"10.1017/RDC.2020.12","ISSN":"0033-8222","abstract":"Radiocarbon ( 14 C) dating was performed on samples from the prehistoric settlement at Makriyalos, northern Greece, a “flat extended” (rather than tell) site. Two separate occupation phases, Makriyalos I and II, were clearly distinguished on different sides of a low hill and belonged to the Late Neolithic I and II periods, respectively. Individual phases related to the use of circuit ditches and borrow pits were also recognized and dated. Phase modeling was applied in order to establish the sequence and duration of use of different features. The earliest activity seems to be around 5450 BC, among the earliest dates in northern Greece for the beginning of the LN and perhaps reflecting some earlier activity. The transition from LNI to LNII occurred at around 4950 BC without discontinuity earlier than other sites in Macedonia but perhaps same time as Thessaly. Intermediate ditch cutting phases occurred at 5300 and 5050 BC. A cemetery in the area of the settlement, initially thought to relate to the LNII phase of the settlement, was shown to date in the EBA period (beginning of 3rd millennium BC).","author":[{"dropping-particle":"","family":"Maniatis","given":"Yannis","non-dropping-particle":"","parse-names":false,"suffix":""},{"dropping-particle":"","family":"Pappa","given":"Maria","non-dropping-particle":"","parse-names":false,"suffix":""}],"container-title":"Radiocarbon","id":"ITEM-3","issue":"2","issued":{"date-parts":[["2020","4","20"]]},"page":"467-483","title":"Radiocarbon Dating of the Neolithic Settlement at Makriyalos, Pieria, North Greece","type":"article-journal","volume":"62"},"uris":["http://www.mendeley.com/documents/?uuid=de55cd3c-8d12-4655-bf48-fe37666c9412"]}],"mendeley":{"formattedCitation":"&lt;sup&gt;74–76&lt;/sup&gt;","plainTextFormattedCitation":"74–76","previouslyFormattedCitation":"&lt;sup&gt;74–76&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74–76</w:t>
      </w:r>
      <w:r w:rsidR="00B031D4" w:rsidRPr="004A2B32">
        <w:rPr>
          <w:color w:val="000000" w:themeColor="text1"/>
        </w:rPr>
        <w:fldChar w:fldCharType="end"/>
      </w:r>
      <w:r w:rsidR="0022501D" w:rsidRPr="004A2B32">
        <w:rPr>
          <w:color w:val="000000" w:themeColor="text1"/>
        </w:rPr>
        <w:t>.</w:t>
      </w:r>
      <w:r w:rsidR="00DB28E4" w:rsidRPr="004A2B32">
        <w:rPr>
          <w:color w:val="000000" w:themeColor="text1"/>
        </w:rPr>
        <w:t xml:space="preserve"> </w:t>
      </w:r>
      <w:r w:rsidRPr="004A2B32">
        <w:rPr>
          <w:color w:val="000000" w:themeColor="text1"/>
          <w:highlight w:val="white"/>
        </w:rPr>
        <w:t xml:space="preserve">In the present study we </w:t>
      </w:r>
      <w:proofErr w:type="spellStart"/>
      <w:r w:rsidRPr="004A2B32">
        <w:rPr>
          <w:color w:val="000000" w:themeColor="text1"/>
          <w:highlight w:val="white"/>
        </w:rPr>
        <w:t>analysed</w:t>
      </w:r>
      <w:proofErr w:type="spellEnd"/>
      <w:r w:rsidR="00C905DE" w:rsidRPr="004A2B32">
        <w:rPr>
          <w:color w:val="000000" w:themeColor="text1"/>
          <w:highlight w:val="white"/>
        </w:rPr>
        <w:t xml:space="preserve"> a</w:t>
      </w:r>
      <w:r w:rsidRPr="004A2B32">
        <w:rPr>
          <w:color w:val="000000" w:themeColor="text1"/>
          <w:highlight w:val="white"/>
        </w:rPr>
        <w:t xml:space="preserve"> tooth from one individual (Mkg1) and petrous bones from five individuals (Mkg9, Mkg10, Mkg11, Mkg12, Mkg13)</w:t>
      </w:r>
      <w:r w:rsidR="00DB28E4" w:rsidRPr="004A2B32">
        <w:rPr>
          <w:color w:val="000000" w:themeColor="text1"/>
        </w:rPr>
        <w:t xml:space="preserve"> </w:t>
      </w:r>
      <w:r w:rsidR="004E1AE1" w:rsidRPr="004A2B32">
        <w:rPr>
          <w:bCs/>
          <w:color w:val="000000" w:themeColor="text1"/>
        </w:rPr>
        <w:t>(Table S1)</w:t>
      </w:r>
      <w:r w:rsidRPr="004A2B32">
        <w:rPr>
          <w:bCs/>
          <w:color w:val="000000" w:themeColor="text1"/>
          <w:highlight w:val="white"/>
        </w:rPr>
        <w:t>.</w:t>
      </w:r>
    </w:p>
    <w:p w14:paraId="31DBBF6A" w14:textId="77777777" w:rsidR="00755D15" w:rsidRPr="004A2B32" w:rsidRDefault="00755D15">
      <w:pPr>
        <w:jc w:val="both"/>
        <w:rPr>
          <w:color w:val="000000" w:themeColor="text1"/>
        </w:rPr>
      </w:pPr>
    </w:p>
    <w:p w14:paraId="3A6C8D55" w14:textId="1A66C0C2" w:rsidR="000E7A0B" w:rsidRPr="004A2B32" w:rsidRDefault="000E7A0B" w:rsidP="00DF162D">
      <w:pPr>
        <w:pStyle w:val="2"/>
        <w:rPr>
          <w:b/>
          <w:bCs/>
          <w:color w:val="000000" w:themeColor="text1"/>
        </w:rPr>
      </w:pPr>
      <w:r w:rsidRPr="004A2B32">
        <w:rPr>
          <w:b/>
          <w:bCs/>
          <w:color w:val="000000" w:themeColor="text1"/>
        </w:rPr>
        <w:t>Final Neolithic Period</w:t>
      </w:r>
    </w:p>
    <w:p w14:paraId="70CF78DF" w14:textId="77777777" w:rsidR="00194C56" w:rsidRPr="004A2B32" w:rsidRDefault="00194C56">
      <w:pPr>
        <w:pStyle w:val="4"/>
        <w:spacing w:before="200"/>
        <w:jc w:val="both"/>
        <w:rPr>
          <w:color w:val="000000" w:themeColor="text1"/>
          <w:sz w:val="22"/>
          <w:szCs w:val="22"/>
        </w:rPr>
      </w:pPr>
      <w:bookmarkStart w:id="19" w:name="_78py0ugs8hj5" w:colFirst="0" w:colLast="0"/>
      <w:bookmarkEnd w:id="19"/>
      <w:proofErr w:type="spellStart"/>
      <w:r w:rsidRPr="004A2B32">
        <w:rPr>
          <w:color w:val="000000" w:themeColor="text1"/>
          <w:sz w:val="22"/>
          <w:szCs w:val="22"/>
        </w:rPr>
        <w:t>Paliambela</w:t>
      </w:r>
      <w:proofErr w:type="spellEnd"/>
    </w:p>
    <w:p w14:paraId="625CF6B3" w14:textId="4B801215" w:rsidR="00194C56" w:rsidRPr="004A2B32" w:rsidRDefault="00194C56">
      <w:pPr>
        <w:widowControl/>
        <w:spacing w:after="0"/>
        <w:jc w:val="both"/>
        <w:rPr>
          <w:color w:val="000000" w:themeColor="text1"/>
        </w:rPr>
      </w:pPr>
      <w:r w:rsidRPr="004A2B32">
        <w:rPr>
          <w:color w:val="000000" w:themeColor="text1"/>
        </w:rPr>
        <w:t xml:space="preserve">The Neolithic settlement at </w:t>
      </w:r>
      <w:proofErr w:type="spellStart"/>
      <w:r w:rsidRPr="004A2B32">
        <w:rPr>
          <w:color w:val="000000" w:themeColor="text1"/>
        </w:rPr>
        <w:t>Paliambela</w:t>
      </w:r>
      <w:proofErr w:type="spellEnd"/>
      <w:r w:rsidRPr="004A2B32">
        <w:rPr>
          <w:color w:val="000000" w:themeColor="text1"/>
        </w:rPr>
        <w:t xml:space="preserve"> is situated in the rolling landscape of the coastal lowlands of Pieria in </w:t>
      </w:r>
      <w:r w:rsidR="00D608C5">
        <w:rPr>
          <w:color w:val="000000" w:themeColor="text1"/>
        </w:rPr>
        <w:t>c</w:t>
      </w:r>
      <w:r w:rsidRPr="004A2B32">
        <w:rPr>
          <w:color w:val="000000" w:themeColor="text1"/>
        </w:rPr>
        <w:t>entral Macedonia. An ongoing excavation of the site started in 2000 as a joint project between the Universities of Thessaloniki (Greece) and Sheffield (UK). The site is a low mound with Neolithic deposits exceeding 3m, spanning the period from the Early to the Final Neolithic. The total excavated area exceeds well over 500m</w:t>
      </w:r>
      <w:r w:rsidRPr="004A2B32">
        <w:rPr>
          <w:color w:val="000000" w:themeColor="text1"/>
          <w:vertAlign w:val="superscript"/>
        </w:rPr>
        <w:t>2</w:t>
      </w:r>
      <w:r w:rsidRPr="004A2B32">
        <w:rPr>
          <w:color w:val="000000" w:themeColor="text1"/>
        </w:rPr>
        <w:t>.</w:t>
      </w:r>
    </w:p>
    <w:p w14:paraId="7C706BB4" w14:textId="20929D27" w:rsidR="00D820C9" w:rsidRPr="004A2B32" w:rsidRDefault="00D820C9">
      <w:pPr>
        <w:widowControl/>
        <w:spacing w:after="0"/>
        <w:jc w:val="both"/>
        <w:rPr>
          <w:color w:val="000000" w:themeColor="text1"/>
        </w:rPr>
      </w:pPr>
      <w:r w:rsidRPr="004A2B32">
        <w:rPr>
          <w:color w:val="000000" w:themeColor="text1"/>
        </w:rPr>
        <w:tab/>
      </w:r>
      <w:r w:rsidR="00194C56" w:rsidRPr="004A2B32">
        <w:rPr>
          <w:color w:val="000000" w:themeColor="text1"/>
        </w:rPr>
        <w:t xml:space="preserve">In the earlier phases of the Neolithic, it seems that </w:t>
      </w:r>
      <w:proofErr w:type="spellStart"/>
      <w:r w:rsidR="00194C56" w:rsidRPr="004A2B32">
        <w:rPr>
          <w:color w:val="000000" w:themeColor="text1"/>
        </w:rPr>
        <w:t>Paliambela</w:t>
      </w:r>
      <w:proofErr w:type="spellEnd"/>
      <w:r w:rsidR="00194C56" w:rsidRPr="004A2B32">
        <w:rPr>
          <w:color w:val="000000" w:themeColor="text1"/>
        </w:rPr>
        <w:t xml:space="preserve"> was a flat, extended site, while in the later phases the site took the form of a mound. It does not, however, represent a classic tell village of densely packed houses</w:t>
      </w:r>
      <w:r w:rsidR="00B031D4" w:rsidRPr="004A2B32">
        <w:rPr>
          <w:color w:val="000000" w:themeColor="text1"/>
        </w:rPr>
        <w:fldChar w:fldCharType="begin" w:fldLock="1"/>
      </w:r>
      <w:r w:rsidR="00BE2180">
        <w:rPr>
          <w:color w:val="000000" w:themeColor="text1"/>
        </w:rPr>
        <w:instrText>ADDIN CSL_CITATION {"citationItems":[{"id":"ITEM-1","itemData":{"author":[{"dropping-particle":"","family":"Maniatis","given":"Y","non-dropping-particle":"","parse-names":false,"suffix":""},{"dropping-particle":"","family":"Kotsakis","given":"K","non-dropping-particle":"","parse-names":false,"suffix":""},{"dropping-particle":"","family":"Halstead","given":"P","non-dropping-particle":"","parse-names":false,"suffix":""}],"container-title":"AEMTh 25","editor":[{"dropping-particle":"","family":"Adam-Veleni","given":"P","non-dropping-particle":"","parse-names":false,"suffix":""},{"dropping-particle":"","family":"Tsakalou","given":"K","non-dropping-particle":"","parse-names":false,"suffix":""}],"id":"ITEM-1","issued":{"date-parts":[["2011"]]},"page":"149-156","publisher":"Ministry of Culture","title":"New AMS dates of the earliest Neolithic in Macedonia (Greece)","type":"paper-conference"},"uris":["http://www.mendeley.com/documents/?uuid=8dd693f0-4f2b-4b9d-8ae7-d5866993839f"]}],"mendeley":{"formattedCitation":"&lt;sup&gt;77&lt;/sup&gt;","plainTextFormattedCitation":"77","previouslyFormattedCitation":"&lt;sup&gt;77&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77</w:t>
      </w:r>
      <w:r w:rsidR="00B031D4" w:rsidRPr="004A2B32">
        <w:rPr>
          <w:color w:val="000000" w:themeColor="text1"/>
        </w:rPr>
        <w:fldChar w:fldCharType="end"/>
      </w:r>
      <w:r w:rsidR="00467842" w:rsidRPr="004A2B32">
        <w:rPr>
          <w:color w:val="000000" w:themeColor="text1"/>
        </w:rPr>
        <w:t xml:space="preserve">. </w:t>
      </w:r>
      <w:r w:rsidR="00194C56" w:rsidRPr="004A2B32">
        <w:rPr>
          <w:color w:val="000000" w:themeColor="text1"/>
        </w:rPr>
        <w:t>On the basis of the first preliminary reports, at least one deep ditch dug in natural bedrock, and a series of pits containing pottery, chipped stone and bone tools and other findings, belong to the Early Neolithic Period (6600-5900 BCE)</w:t>
      </w:r>
      <w:r w:rsidR="00B031D4" w:rsidRPr="004A2B32">
        <w:rPr>
          <w:color w:val="000000" w:themeColor="text1"/>
        </w:rPr>
        <w:fldChar w:fldCharType="begin" w:fldLock="1"/>
      </w:r>
      <w:r w:rsidR="00BE2180">
        <w:rPr>
          <w:color w:val="000000" w:themeColor="text1"/>
        </w:rPr>
        <w:instrText>ADDIN CSL_CITATION {"citationItems":[{"id":"ITEM-1","itemData":{"author":[{"dropping-particle":"","family":"Kotsakis","given":"K","non-dropping-particle":"","parse-names":false,"suffix":""},{"dropping-particle":"","family":"Halstead","given":"P","non-dropping-particle":"","parse-names":false,"suffix":""}],"container-title":"AEMTh 16","editor":[{"dropping-particle":"","family":"Adam-Veleni","given":"P","non-dropping-particle":"","parse-names":false,"suffix":""}],"id":"ITEM-1","issued":{"date-parts":[["2004"]]},"page":"407-415","publisher":"Ministry of Culture","title":"Anaskafi sta neolithika Paliambela Kolindrou","type":"paper-conference"},"uris":["http://www.mendeley.com/documents/?uuid=cee4a9fa-990f-47ae-994b-0901896e5e10"]}],"mendeley":{"formattedCitation":"&lt;sup&gt;78&lt;/sup&gt;","plainTextFormattedCitation":"78","previouslyFormattedCitation":"&lt;sup&gt;78&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78</w:t>
      </w:r>
      <w:r w:rsidR="00B031D4" w:rsidRPr="004A2B32">
        <w:rPr>
          <w:color w:val="000000" w:themeColor="text1"/>
        </w:rPr>
        <w:fldChar w:fldCharType="end"/>
      </w:r>
      <w:r w:rsidR="00194C56" w:rsidRPr="004A2B32">
        <w:rPr>
          <w:color w:val="000000" w:themeColor="text1"/>
        </w:rPr>
        <w:t>.  During the Middle Neolithic (5</w:t>
      </w:r>
      <w:r w:rsidR="00DB28E4" w:rsidRPr="004A2B32">
        <w:rPr>
          <w:color w:val="000000" w:themeColor="text1"/>
        </w:rPr>
        <w:t>,</w:t>
      </w:r>
      <w:r w:rsidR="00194C56" w:rsidRPr="004A2B32">
        <w:rPr>
          <w:color w:val="000000" w:themeColor="text1"/>
        </w:rPr>
        <w:t>900-5</w:t>
      </w:r>
      <w:r w:rsidR="00DB28E4" w:rsidRPr="004A2B32">
        <w:rPr>
          <w:color w:val="000000" w:themeColor="text1"/>
        </w:rPr>
        <w:t>,</w:t>
      </w:r>
      <w:r w:rsidR="00194C56" w:rsidRPr="004A2B32">
        <w:rPr>
          <w:color w:val="000000" w:themeColor="text1"/>
        </w:rPr>
        <w:t xml:space="preserve">400 BCE) the settlement was also encircled by at least one deep, wide ditch. ‘Domestic’ architecture in this phase was comprised of closely-set rectangular buildings separated by cobbled yards. There is some evidence that habitation shifted across the site during the Middle Neolithic. Pottery from this phase links the settlement with both the southern Balkans and Thessaly </w:t>
      </w:r>
      <w:r w:rsidR="00B031D4" w:rsidRPr="004A2B32">
        <w:rPr>
          <w:color w:val="000000" w:themeColor="text1"/>
        </w:rPr>
        <w:fldChar w:fldCharType="begin" w:fldLock="1"/>
      </w:r>
      <w:r w:rsidR="00BE2180">
        <w:rPr>
          <w:color w:val="000000" w:themeColor="text1"/>
        </w:rPr>
        <w:instrText>ADDIN CSL_CITATION {"citationItems":[{"id":"ITEM-1","itemData":{"author":[{"dropping-particle":"","family":"Urem-Kotsou","given":"Dushka","non-dropping-particle":"","parse-names":false,"suffix":""},{"dropping-particle":"","family":"Papaioannou","given":"Anna","non-dropping-particle":"","parse-names":false,"suffix":""},{"dropping-particle":"","family":"Papadakou","given":"Trisevgeni","non-dropping-particle":"","parse-names":false,"suffix":""},{"dropping-particle":"","family":"Saridaki","given":"Niki","non-dropping-particle":"","parse-names":false,"suffix":""},{"dropping-particle":"","family":"Intze","given":"Zoe","non-dropping-particle":"","parse-names":false,"suffix":""}],"container-title":"A century of research in prehistoric Macedonia 1912-2012","editor":[{"dropping-particle":"","family":"Stefani","given":"Evangelia","non-dropping-particle":"","parse-names":false,"suffix":""},{"dropping-particle":"","family":"Merousis","given":"Nikos","non-dropping-particle":"","parse-names":false,"suffix":""},{"dropping-particle":"","family":"Dimoula","given":"Anastasia","non-dropping-particle":"","parse-names":false,"suffix":""}],"id":"ITEM-1","issued":{"date-parts":[["2014"]]},"page":"505-517","title":"Pottery and stylistic boundaries. Early and middle neolithic pottery in Macedonia","type":"paper-conference"},"uris":["http://www.mendeley.com/documents/?uuid=f3e78d0f-a19b-4d44-ba36-a80d5b5189d2"]}],"mendeley":{"formattedCitation":"&lt;sup&gt;44&lt;/sup&gt;","plainTextFormattedCitation":"44","previouslyFormattedCitation":"&lt;sup&gt;44&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44</w:t>
      </w:r>
      <w:r w:rsidR="00B031D4" w:rsidRPr="004A2B32">
        <w:rPr>
          <w:color w:val="000000" w:themeColor="text1"/>
        </w:rPr>
        <w:fldChar w:fldCharType="end"/>
      </w:r>
      <w:r w:rsidR="00467842" w:rsidRPr="004A2B32">
        <w:rPr>
          <w:color w:val="000000" w:themeColor="text1"/>
        </w:rPr>
        <w:t>.</w:t>
      </w:r>
      <w:r w:rsidR="00194C56" w:rsidRPr="004A2B32">
        <w:rPr>
          <w:color w:val="000000" w:themeColor="text1"/>
        </w:rPr>
        <w:t>Late Neolithic [LN] (5400-4700 BCE) deposits found on top of the hill have been heavily eroded and disturbed by ploughing. It seems, however, that during the LN the settlement was encircled by a pair of stone enclosure</w:t>
      </w:r>
      <w:r w:rsidR="00C905DE" w:rsidRPr="004A2B32">
        <w:rPr>
          <w:color w:val="000000" w:themeColor="text1"/>
        </w:rPr>
        <w:t xml:space="preserve"> wall</w:t>
      </w:r>
      <w:r w:rsidR="00194C56" w:rsidRPr="004A2B32">
        <w:rPr>
          <w:color w:val="000000" w:themeColor="text1"/>
        </w:rPr>
        <w:t xml:space="preserve">s </w:t>
      </w:r>
      <w:r w:rsidR="00B031D4" w:rsidRPr="004A2B32">
        <w:rPr>
          <w:color w:val="000000" w:themeColor="text1"/>
        </w:rPr>
        <w:fldChar w:fldCharType="begin" w:fldLock="1"/>
      </w:r>
      <w:r w:rsidR="00BE2180">
        <w:rPr>
          <w:color w:val="000000" w:themeColor="text1"/>
        </w:rPr>
        <w:instrText>ADDIN CSL_CITATION {"citationItems":[{"id":"ITEM-1","itemData":{"author":[{"dropping-particle":"","family":"Halstead","given":"P","non-dropping-particle":"","parse-names":false,"suffix":""},{"dropping-particle":"","family":"Kotsakis","given":"K","non-dropping-particle":"","parse-names":false,"suffix":""}],"id":"ITEM-1","issued":{"date-parts":[["2002"]]},"page":"80","publisher":"Society for the Promotion of Hellenic Studies and the British School at Athens","title":"Paliambela in Archaeological Reports for 2001-2002","type":"article"},"uris":["http://www.mendeley.com/documents/?uuid=0d1ca245-079a-46db-9955-d46b48527ba5"]}],"mendeley":{"formattedCitation":"&lt;sup&gt;79&lt;/sup&gt;","plainTextFormattedCitation":"79","previouslyFormattedCitation":"&lt;sup&gt;79&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79</w:t>
      </w:r>
      <w:r w:rsidR="00B031D4" w:rsidRPr="004A2B32">
        <w:rPr>
          <w:color w:val="000000" w:themeColor="text1"/>
        </w:rPr>
        <w:fldChar w:fldCharType="end"/>
      </w:r>
      <w:r w:rsidR="00194C56" w:rsidRPr="004A2B32">
        <w:rPr>
          <w:color w:val="000000" w:themeColor="text1"/>
        </w:rPr>
        <w:t>. Based on the presence of pottery, the site was inhabited during the whole LN period up to the Final Neolithic (4700-3300 BC). Apart from black burnished and black topped vessels with characteristics of the LN period, carinated and conical shapes, and painted pottery of the ‘</w:t>
      </w:r>
      <w:proofErr w:type="spellStart"/>
      <w:r w:rsidR="00194C56" w:rsidRPr="004A2B32">
        <w:rPr>
          <w:color w:val="000000" w:themeColor="text1"/>
        </w:rPr>
        <w:t>Dimini</w:t>
      </w:r>
      <w:proofErr w:type="spellEnd"/>
      <w:r w:rsidR="00194C56" w:rsidRPr="004A2B32">
        <w:rPr>
          <w:color w:val="000000" w:themeColor="text1"/>
        </w:rPr>
        <w:t xml:space="preserve">’ style is also found </w:t>
      </w:r>
      <w:r w:rsidR="00B031D4" w:rsidRPr="004A2B32">
        <w:rPr>
          <w:color w:val="000000" w:themeColor="text1"/>
        </w:rPr>
        <w:fldChar w:fldCharType="begin" w:fldLock="1"/>
      </w:r>
      <w:r w:rsidR="00BE2180">
        <w:rPr>
          <w:color w:val="000000" w:themeColor="text1"/>
        </w:rPr>
        <w:instrText>ADDIN CSL_CITATION {"citationItems":[{"id":"ITEM-1","itemData":{"author":[{"dropping-particle":"","family":"Halstead","given":"P","non-dropping-particle":"","parse-names":false,"suffix":""},{"dropping-particle":"","family":"Kotsakis","given":"K","non-dropping-particle":"","parse-names":false,"suffix":""}],"id":"ITEM-1","issued":{"date-parts":[["2003"]]},"page":"46-66","publisher":"Society for the Promotion of Hellenic Studies and the British School at Athens)","title":"Paliambela in Archaeological Reports for 2002-2003","type":"article"},"uris":["http://www.mendeley.com/documents/?uuid=5276dc66-9e01-48c2-90e8-e2697abaa091"]}],"mendeley":{"formattedCitation":"&lt;sup&gt;80&lt;/sup&gt;","plainTextFormattedCitation":"80","previouslyFormattedCitation":"&lt;sup&gt;80&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80</w:t>
      </w:r>
      <w:r w:rsidR="00B031D4" w:rsidRPr="004A2B32">
        <w:rPr>
          <w:color w:val="000000" w:themeColor="text1"/>
        </w:rPr>
        <w:fldChar w:fldCharType="end"/>
      </w:r>
      <w:r w:rsidR="00194C56" w:rsidRPr="004A2B32">
        <w:rPr>
          <w:color w:val="000000" w:themeColor="text1"/>
        </w:rPr>
        <w:t xml:space="preserve">. Other findings include </w:t>
      </w:r>
      <w:proofErr w:type="gramStart"/>
      <w:r w:rsidR="00194C56" w:rsidRPr="004A2B32">
        <w:rPr>
          <w:color w:val="000000" w:themeColor="text1"/>
        </w:rPr>
        <w:t>a large number of</w:t>
      </w:r>
      <w:proofErr w:type="gramEnd"/>
      <w:r w:rsidR="00194C56" w:rsidRPr="004A2B32">
        <w:rPr>
          <w:color w:val="000000" w:themeColor="text1"/>
        </w:rPr>
        <w:t xml:space="preserve"> ground, polished, and chipped stone and bone tools, and figurines. Most of the human skeletal material belongs to scattered postcranial and a few cranial remains</w:t>
      </w:r>
      <w:r w:rsidR="00B031D4" w:rsidRPr="004A2B32">
        <w:rPr>
          <w:color w:val="000000" w:themeColor="text1"/>
        </w:rPr>
        <w:fldChar w:fldCharType="begin" w:fldLock="1"/>
      </w:r>
      <w:r w:rsidR="00BE2180">
        <w:rPr>
          <w:color w:val="000000" w:themeColor="text1"/>
        </w:rPr>
        <w:instrText>ADDIN CSL_CITATION {"citationItems":[{"id":"ITEM-1","itemData":{"author":[{"dropping-particle":"","family":"Triantaphyllou","given":"Sevasti","non-dropping-particle":"","parse-names":false,"suffix":""}],"container-title":"Escaping the Labyrinth: The Cretan Neolithic in Context","editor":[{"dropping-particle":"","family":"Isaakidou","given":"V","non-dropping-particle":"","parse-names":false,"suffix":""},{"dropping-particle":"","family":"Tomkins","given":"P.","non-dropping-particle":"","parse-names":false,"suffix":""}],"id":"ITEM-1","issued":{"date-parts":[["2008"]]},"page":"139–157","publisher":"Oxbow Monographs","publisher-place":"Oxford","title":"Living with the Dead: a Re-consideration of Mortuary Practices in the Greek Neolithic","type":"chapter"},"uris":["http://www.mendeley.com/documents/?uuid=e89e70b6-3d23-45a5-ae4b-284b2a06fe20"]}],"mendeley":{"formattedCitation":"&lt;sup&gt;81&lt;/sup&gt;","plainTextFormattedCitation":"81","previouslyFormattedCitation":"&lt;sup&gt;81&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81</w:t>
      </w:r>
      <w:r w:rsidR="00B031D4" w:rsidRPr="004A2B32">
        <w:rPr>
          <w:color w:val="000000" w:themeColor="text1"/>
        </w:rPr>
        <w:fldChar w:fldCharType="end"/>
      </w:r>
      <w:r w:rsidR="00194C56" w:rsidRPr="004A2B32">
        <w:rPr>
          <w:color w:val="000000" w:themeColor="text1"/>
        </w:rPr>
        <w:t xml:space="preserve">. </w:t>
      </w:r>
    </w:p>
    <w:p w14:paraId="23711C40" w14:textId="05EACAD8" w:rsidR="00194C56" w:rsidRPr="004A2B32" w:rsidRDefault="00D820C9">
      <w:pPr>
        <w:widowControl/>
        <w:spacing w:after="0"/>
        <w:jc w:val="both"/>
        <w:rPr>
          <w:color w:val="000000" w:themeColor="text1"/>
          <w:highlight w:val="yellow"/>
        </w:rPr>
      </w:pPr>
      <w:r w:rsidRPr="004A2B32">
        <w:rPr>
          <w:color w:val="000000" w:themeColor="text1"/>
        </w:rPr>
        <w:tab/>
      </w:r>
      <w:r w:rsidR="00194C56" w:rsidRPr="004A2B32">
        <w:rPr>
          <w:color w:val="000000" w:themeColor="text1"/>
        </w:rPr>
        <w:t xml:space="preserve">The sample </w:t>
      </w:r>
      <w:proofErr w:type="spellStart"/>
      <w:r w:rsidR="00194C56" w:rsidRPr="004A2B32">
        <w:rPr>
          <w:color w:val="000000" w:themeColor="text1"/>
        </w:rPr>
        <w:t>Paliambela</w:t>
      </w:r>
      <w:proofErr w:type="spellEnd"/>
      <w:r w:rsidR="00194C56" w:rsidRPr="004A2B32">
        <w:rPr>
          <w:color w:val="000000" w:themeColor="text1"/>
        </w:rPr>
        <w:t xml:space="preserve"> 7 (Pal7) was </w:t>
      </w:r>
      <w:r w:rsidR="00C905DE" w:rsidRPr="004A2B32">
        <w:rPr>
          <w:color w:val="000000" w:themeColor="text1"/>
        </w:rPr>
        <w:t xml:space="preserve">submitted for radiocarbon dating </w:t>
      </w:r>
      <w:r w:rsidR="00194C56" w:rsidRPr="004A2B32">
        <w:rPr>
          <w:color w:val="000000" w:themeColor="text1"/>
        </w:rPr>
        <w:t>at the Curt-</w:t>
      </w:r>
      <w:proofErr w:type="spellStart"/>
      <w:r w:rsidR="00194C56" w:rsidRPr="004A2B32">
        <w:rPr>
          <w:color w:val="000000" w:themeColor="text1"/>
        </w:rPr>
        <w:t>Engelhorn</w:t>
      </w:r>
      <w:proofErr w:type="spellEnd"/>
      <w:r w:rsidR="00194C56" w:rsidRPr="004A2B32">
        <w:rPr>
          <w:color w:val="000000" w:themeColor="text1"/>
        </w:rPr>
        <w:t>-</w:t>
      </w:r>
      <w:proofErr w:type="spellStart"/>
      <w:r w:rsidR="00194C56" w:rsidRPr="004A2B32">
        <w:rPr>
          <w:color w:val="000000" w:themeColor="text1"/>
        </w:rPr>
        <w:t>Zentrum</w:t>
      </w:r>
      <w:proofErr w:type="spellEnd"/>
      <w:r w:rsidR="00194C56" w:rsidRPr="004A2B32">
        <w:rPr>
          <w:color w:val="000000" w:themeColor="text1"/>
        </w:rPr>
        <w:t xml:space="preserve"> of Archaeometry</w:t>
      </w:r>
      <w:r w:rsidR="00C905DE" w:rsidRPr="004A2B32">
        <w:rPr>
          <w:color w:val="000000" w:themeColor="text1"/>
        </w:rPr>
        <w:t xml:space="preserve"> in </w:t>
      </w:r>
      <w:r w:rsidR="00194C56" w:rsidRPr="004A2B32">
        <w:rPr>
          <w:color w:val="000000" w:themeColor="text1"/>
        </w:rPr>
        <w:t>Mannheim, Germany</w:t>
      </w:r>
      <w:r w:rsidR="00C905DE" w:rsidRPr="004A2B32">
        <w:rPr>
          <w:color w:val="000000" w:themeColor="text1"/>
        </w:rPr>
        <w:t xml:space="preserve"> (Lab number MAMS 23037</w:t>
      </w:r>
      <w:r w:rsidR="00194C56" w:rsidRPr="004A2B32">
        <w:rPr>
          <w:color w:val="000000" w:themeColor="text1"/>
        </w:rPr>
        <w:t>)</w:t>
      </w:r>
      <w:r w:rsidR="00C905DE" w:rsidRPr="004A2B32">
        <w:rPr>
          <w:color w:val="000000" w:themeColor="text1"/>
        </w:rPr>
        <w:t xml:space="preserve">, yielding </w:t>
      </w:r>
      <w:r w:rsidR="00194C56" w:rsidRPr="004A2B32">
        <w:rPr>
          <w:color w:val="000000" w:themeColor="text1"/>
        </w:rPr>
        <w:t xml:space="preserve">a </w:t>
      </w:r>
      <w:r w:rsidR="00194C56" w:rsidRPr="004A2B32">
        <w:rPr>
          <w:color w:val="000000" w:themeColor="text1"/>
          <w:vertAlign w:val="superscript"/>
        </w:rPr>
        <w:t>14</w:t>
      </w:r>
      <w:r w:rsidR="00194C56" w:rsidRPr="004A2B32">
        <w:rPr>
          <w:color w:val="000000" w:themeColor="text1"/>
        </w:rPr>
        <w:t xml:space="preserve">C age of 5559 ± 29 BP </w:t>
      </w:r>
      <w:r w:rsidR="00C905DE" w:rsidRPr="004A2B32">
        <w:rPr>
          <w:color w:val="000000" w:themeColor="text1"/>
        </w:rPr>
        <w:t xml:space="preserve">and an </w:t>
      </w:r>
      <w:r w:rsidR="00194C56" w:rsidRPr="004A2B32">
        <w:rPr>
          <w:color w:val="000000" w:themeColor="text1"/>
        </w:rPr>
        <w:t>estimated 95% calibrated range</w:t>
      </w:r>
      <w:r w:rsidR="00C905DE" w:rsidRPr="004A2B32">
        <w:rPr>
          <w:color w:val="000000" w:themeColor="text1"/>
        </w:rPr>
        <w:t xml:space="preserve"> (based on </w:t>
      </w:r>
      <w:proofErr w:type="spellStart"/>
      <w:r w:rsidR="00C905DE" w:rsidRPr="004A2B32">
        <w:rPr>
          <w:color w:val="000000" w:themeColor="text1"/>
        </w:rPr>
        <w:t>OxCal</w:t>
      </w:r>
      <w:proofErr w:type="spellEnd"/>
      <w:r w:rsidR="00C905DE" w:rsidRPr="004A2B32">
        <w:rPr>
          <w:color w:val="000000" w:themeColor="text1"/>
        </w:rPr>
        <w:t xml:space="preserve"> </w:t>
      </w:r>
      <w:r w:rsidR="00C905DE" w:rsidRPr="004A2B32">
        <w:rPr>
          <w:color w:val="000000" w:themeColor="text1"/>
        </w:rPr>
        <w:lastRenderedPageBreak/>
        <w:t xml:space="preserve">v4.2.2 using INTCAL13) </w:t>
      </w:r>
      <w:r w:rsidR="00194C56" w:rsidRPr="004A2B32">
        <w:rPr>
          <w:color w:val="000000" w:themeColor="text1"/>
        </w:rPr>
        <w:t xml:space="preserve">of 4452-4350 </w:t>
      </w:r>
      <w:proofErr w:type="spellStart"/>
      <w:r w:rsidR="00194C56" w:rsidRPr="004A2B32">
        <w:rPr>
          <w:color w:val="000000" w:themeColor="text1"/>
        </w:rPr>
        <w:t>cal</w:t>
      </w:r>
      <w:proofErr w:type="spellEnd"/>
      <w:r w:rsidR="00194C56" w:rsidRPr="004A2B32">
        <w:rPr>
          <w:color w:val="000000" w:themeColor="text1"/>
        </w:rPr>
        <w:t xml:space="preserve"> BCE.</w:t>
      </w:r>
      <w:r w:rsidR="00C944A4" w:rsidRPr="004A2B32">
        <w:rPr>
          <w:color w:val="000000" w:themeColor="text1"/>
        </w:rPr>
        <w:t xml:space="preserve"> </w:t>
      </w:r>
      <w:r w:rsidR="00194C56" w:rsidRPr="004A2B32">
        <w:rPr>
          <w:color w:val="000000" w:themeColor="text1"/>
          <w:highlight w:val="white"/>
        </w:rPr>
        <w:t xml:space="preserve">In the present study we </w:t>
      </w:r>
      <w:proofErr w:type="spellStart"/>
      <w:r w:rsidR="00194C56" w:rsidRPr="004A2B32">
        <w:rPr>
          <w:color w:val="000000" w:themeColor="text1"/>
          <w:highlight w:val="white"/>
        </w:rPr>
        <w:t>analysed</w:t>
      </w:r>
      <w:proofErr w:type="spellEnd"/>
      <w:r w:rsidR="00194C56" w:rsidRPr="004A2B32">
        <w:rPr>
          <w:color w:val="000000" w:themeColor="text1"/>
          <w:highlight w:val="white"/>
        </w:rPr>
        <w:t xml:space="preserve"> teeth from three individuals (Pal1, Pal2, Pal6) and one sample (Pal7) has been previously </w:t>
      </w:r>
      <w:proofErr w:type="spellStart"/>
      <w:r w:rsidR="00194C56" w:rsidRPr="004A2B32">
        <w:rPr>
          <w:color w:val="000000" w:themeColor="text1"/>
          <w:highlight w:val="white"/>
        </w:rPr>
        <w:t>genomically</w:t>
      </w:r>
      <w:proofErr w:type="spellEnd"/>
      <w:r w:rsidR="00194C56" w:rsidRPr="004A2B32">
        <w:rPr>
          <w:color w:val="000000" w:themeColor="text1"/>
          <w:highlight w:val="white"/>
        </w:rPr>
        <w:t xml:space="preserve"> (WGS) </w:t>
      </w:r>
      <w:proofErr w:type="spellStart"/>
      <w:r w:rsidR="00194C56" w:rsidRPr="004A2B32">
        <w:rPr>
          <w:color w:val="000000" w:themeColor="text1"/>
          <w:highlight w:val="white"/>
        </w:rPr>
        <w:t>analysed</w:t>
      </w:r>
      <w:proofErr w:type="spellEnd"/>
      <w:r w:rsidR="00C944A4" w:rsidRPr="004A2B32">
        <w:rPr>
          <w:color w:val="000000" w:themeColor="text1"/>
          <w:highlight w:val="white"/>
        </w:rPr>
        <w:t xml:space="preserve"> </w:t>
      </w:r>
      <w:r w:rsidR="00B031D4" w:rsidRPr="004A2B32">
        <w:rPr>
          <w:color w:val="000000" w:themeColor="text1"/>
          <w:highlight w:val="white"/>
        </w:rPr>
        <w:fldChar w:fldCharType="begin" w:fldLock="1"/>
      </w:r>
      <w:r w:rsidR="00BE2180">
        <w:rPr>
          <w:color w:val="000000" w:themeColor="text1"/>
          <w:highlight w:val="white"/>
        </w:rPr>
        <w:instrText>ADDIN CSL_CITATION {"citationItems":[{"id":"ITEM-1","itemData":{"DOI":"10.1073/pnas.1523951113","ISSN":"0027-8424","abstract":"Farming and sedentism first appeared in southwestern Asia during the early Holocene and later spread to neighboring regions, including Europe, along multiple dispersal routes. Conspicuous uncertainties remain about the relative roles of migration, cultural diffusion, and admixture with local foragers in the early Neolithization of Europe. Here we present paleogenomic data for five Neolithic individuals from northern Greece and northwestern Turkey spanning the time and region of the earliest spread of farming into Europe. We use a novel approach to recalibrate raw reads and call genotypes from ancient DNA and observe striking genetic similarity both among Aegean early farmers and with those from across Europe. Our study demonstrates a direct genetic link between Mediterranean and Central European early farmers and those of Greece and Anatolia, extending the European Neolithic migratory chain all the way back to southwestern Asia.","author":[{"dropping-particle":"","family":"Hofmanová","given":"Zuzana","non-dropping-particle":"","parse-names":false,"suffix":""},{"dropping-particle":"","family":"Kreutzer","given":"Susanne","non-dropping-particle":"","parse-names":false,"suffix":""},{"dropping-particle":"","family":"Hellenthal","given":"Garrett","non-dropping-particle":"","parse-names":false,"suffix":""},{"dropping-particle":"","family":"Sell","given":"Christian","non-dropping-particle":"","parse-names":false,"suffix":""},{"dropping-particle":"","family":"Diekmann","given":"Yoan","non-dropping-particle":"","parse-names":false,"suffix":""},{"dropping-particle":"","family":"Díez-del-Molino","given":"David","non-dropping-particle":"","parse-names":false,"suffix":""},{"dropping-particle":"","family":"Dorp","given":"Lucy","non-dropping-particle":"van","parse-names":false,"suffix":""},{"dropping-particle":"","family":"López","given":"Saioa","non-dropping-particle":"","parse-names":false,"suffix":""},{"dropping-particle":"","family":"Kousathanas","given":"Athanasios","non-dropping-particle":"","parse-names":false,"suffix":""},{"dropping-particle":"","family":"Link","given":"Vivian","non-dropping-particle":"","parse-names":false,"suffix":""},{"dropping-particle":"","family":"Kirsanow","given":"Karola","non-dropping-particle":"","parse-names":false,"suffix":""},{"dropping-particle":"","family":"Cassidy","given":"Lara M.","non-dropping-particle":"","parse-names":false,"suffix":""},{"dropping-particle":"","family":"Martiniano","given":"Rui","non-dropping-particle":"","parse-names":false,"suffix":""},{"dropping-particle":"","family":"Strobel","given":"Melanie","non-dropping-particle":"","parse-names":false,"suffix":""},{"dropping-particle":"","family":"Scheu","given":"Amelie","non-dropping-particle":"","parse-names":false,"suffix":""},{"dropping-particle":"","family":"Kotsakis","given":"Kostas","non-dropping-particle":"","parse-names":false,"suffix":""},{"dropping-particle":"","family":"Halstead","given":"Paul","non-dropping-particle":"","parse-names":false,"suffix":""},{"dropping-particle":"","family":"Triantaphyllou","given":"Sevi","non-dropping-particle":"","parse-names":false,"suffix":""},{"dropping-particle":"","family":"Kyparissi-Apostolika","given":"Nina","non-dropping-particle":"","parse-names":false,"suffix":""},{"dropping-particle":"","family":"Urem-Kotsou","given":"Dushka","non-dropping-particle":"","parse-names":false,"suffix":""},{"dropping-particle":"","family":"Ziota","given":"Christina","non-dropping-particle":"","parse-names":false,"suffix":""},{"dropping-particle":"","family":"Adaktylou","given":"Fotini","non-dropping-particle":"","parse-names":false,"suffix":""},{"dropping-particle":"","family":"Gopalan","given":"Shyamalika","non-dropping-particle":"","parse-names":false,"suffix":""},{"dropping-particle":"","family":"Bobo","given":"Dean M.","non-dropping-particle":"","parse-names":false,"suffix":""},{"dropping-particle":"","family":"Winkelbach","given":"Laura","non-dropping-particle":"","parse-names":false,"suffix":""},{"dropping-particle":"","family":"Blöcher","given":"Jens","non-dropping-particle":"","parse-names":false,"suffix":""},{"dropping-particle":"","family":"Unterländer","given":"Martina","non-dropping-particle":"","parse-names":false,"suffix":""},{"dropping-particle":"","family":"Leuenberger","given":"Christoph","non-dropping-particle":"","parse-names":false,"suffix":""},{"dropping-particle":"","family":"Çilingiroğlu","given":"Çiler","non-dropping-particle":"","parse-names":false,"suffix":""},{"dropping-particle":"","family":"Horejs","given":"Barbara","non-dropping-particle":"","parse-names":false,"suffix":""},{"dropping-particle":"","family":"Gerritsen","given":"Fokke","non-dropping-particle":"","parse-names":false,"suffix":""},{"dropping-particle":"","family":"Shennan","given":"Stephen J.","non-dropping-particle":"","parse-names":false,"suffix":""},{"dropping-particle":"","family":"Bradley","given":"Daniel G.","non-dropping-particle":"","parse-names":false,"suffix":""},{"dropping-particle":"","family":"Currat","given":"Mathias","non-dropping-particle":"","parse-names":false,"suffix":""},{"dropping-particle":"","family":"Veeramah","given":"Krishna R.","non-dropping-particle":"","parse-names":false,"suffix":""},{"dropping-particle":"","family":"Wegmann","given":"Daniel","non-dropping-particle":"","parse-names":false,"suffix":""},{"dropping-particle":"","family":"Thomas","given":"Mark G.","non-dropping-particle":"","parse-names":false,"suffix":""},{"dropping-particle":"","family":"Papageorgopoulou","given":"Christina","non-dropping-particle":"","parse-names":false,"suffix":""},{"dropping-particle":"","family":"Burger","given":"Joachim","non-dropping-particle":"","parse-names":false,"suffix":""}],"container-title":"Proceedings of the National Academy of Sciences","id":"ITEM-1","issue":"25","issued":{"date-parts":[["2016","6","21"]]},"page":"6886-6891","title":"Early farmers from across Europe directly descended from Neolithic Aegeans","type":"article-journal","volume":"113"},"uris":["http://www.mendeley.com/documents/?uuid=b945c703-aff7-4b1b-91b7-380f0d502743"]}],"mendeley":{"formattedCitation":"&lt;sup&gt;8&lt;/sup&gt;","plainTextFormattedCitation":"8","previouslyFormattedCitation":"&lt;sup&gt;8&lt;/sup&gt;"},"properties":{"noteIndex":0},"schema":"https://github.com/citation-style-language/schema/raw/master/csl-citation.json"}</w:instrText>
      </w:r>
      <w:r w:rsidR="00B031D4" w:rsidRPr="004A2B32">
        <w:rPr>
          <w:color w:val="000000" w:themeColor="text1"/>
          <w:highlight w:val="white"/>
        </w:rPr>
        <w:fldChar w:fldCharType="separate"/>
      </w:r>
      <w:r w:rsidR="00BE2180" w:rsidRPr="00BE2180">
        <w:rPr>
          <w:noProof/>
          <w:color w:val="000000" w:themeColor="text1"/>
          <w:highlight w:val="white"/>
          <w:vertAlign w:val="superscript"/>
        </w:rPr>
        <w:t>8</w:t>
      </w:r>
      <w:r w:rsidR="00B031D4" w:rsidRPr="004A2B32">
        <w:rPr>
          <w:color w:val="000000" w:themeColor="text1"/>
          <w:highlight w:val="white"/>
        </w:rPr>
        <w:fldChar w:fldCharType="end"/>
      </w:r>
      <w:r w:rsidR="00467842" w:rsidRPr="004A2B32">
        <w:rPr>
          <w:color w:val="000000" w:themeColor="text1"/>
          <w:highlight w:val="white"/>
        </w:rPr>
        <w:t>.</w:t>
      </w:r>
    </w:p>
    <w:p w14:paraId="45559A51" w14:textId="77777777" w:rsidR="00194C56" w:rsidRPr="004A2B32" w:rsidRDefault="00194C56" w:rsidP="00D820C9">
      <w:pPr>
        <w:rPr>
          <w:color w:val="000000" w:themeColor="text1"/>
        </w:rPr>
      </w:pPr>
      <w:bookmarkStart w:id="20" w:name="_rs1qib1awnsp" w:colFirst="0" w:colLast="0"/>
      <w:bookmarkEnd w:id="20"/>
    </w:p>
    <w:p w14:paraId="000DF1D1" w14:textId="77777777" w:rsidR="00194C56" w:rsidRPr="004A2B32" w:rsidRDefault="00194C56" w:rsidP="00D820C9">
      <w:pPr>
        <w:pStyle w:val="4"/>
        <w:rPr>
          <w:color w:val="000000" w:themeColor="text1"/>
        </w:rPr>
      </w:pPr>
      <w:bookmarkStart w:id="21" w:name="_erahmiykpjwa" w:colFirst="0" w:colLast="0"/>
      <w:bookmarkEnd w:id="21"/>
      <w:proofErr w:type="spellStart"/>
      <w:r w:rsidRPr="004A2B32">
        <w:rPr>
          <w:color w:val="000000" w:themeColor="text1"/>
        </w:rPr>
        <w:t>Kleitos</w:t>
      </w:r>
      <w:proofErr w:type="spellEnd"/>
    </w:p>
    <w:p w14:paraId="320290FB" w14:textId="74BD6015" w:rsidR="00194C56" w:rsidRPr="004A2B32" w:rsidRDefault="00194C56">
      <w:pPr>
        <w:widowControl/>
        <w:spacing w:after="0"/>
        <w:jc w:val="both"/>
        <w:rPr>
          <w:color w:val="000000" w:themeColor="text1"/>
        </w:rPr>
      </w:pPr>
      <w:r w:rsidRPr="004A2B32">
        <w:rPr>
          <w:color w:val="000000" w:themeColor="text1"/>
        </w:rPr>
        <w:t xml:space="preserve">The archaeological site of </w:t>
      </w:r>
      <w:proofErr w:type="spellStart"/>
      <w:r w:rsidRPr="004A2B32">
        <w:rPr>
          <w:color w:val="000000" w:themeColor="text1"/>
        </w:rPr>
        <w:t>Kleitos</w:t>
      </w:r>
      <w:proofErr w:type="spellEnd"/>
      <w:r w:rsidRPr="004A2B32">
        <w:rPr>
          <w:color w:val="000000" w:themeColor="text1"/>
        </w:rPr>
        <w:t xml:space="preserve"> is situated in western Macedonia, in </w:t>
      </w:r>
      <w:r w:rsidR="0058004D">
        <w:rPr>
          <w:color w:val="000000" w:themeColor="text1"/>
        </w:rPr>
        <w:t>n</w:t>
      </w:r>
      <w:r w:rsidRPr="004A2B32">
        <w:rPr>
          <w:color w:val="000000" w:themeColor="text1"/>
        </w:rPr>
        <w:t xml:space="preserve">orthern Greece. In 2006, an extensive rescue excavation took place </w:t>
      </w:r>
      <w:r w:rsidR="00731C5E" w:rsidRPr="004A2B32">
        <w:rPr>
          <w:color w:val="000000" w:themeColor="text1"/>
        </w:rPr>
        <w:t xml:space="preserve">over </w:t>
      </w:r>
      <w:r w:rsidRPr="004A2B32">
        <w:rPr>
          <w:color w:val="000000" w:themeColor="text1"/>
        </w:rPr>
        <w:t>an area of 7.5 hectares. This brought to light two neighboring Neolithic settlements (</w:t>
      </w:r>
      <w:proofErr w:type="spellStart"/>
      <w:r w:rsidRPr="004A2B32">
        <w:rPr>
          <w:color w:val="000000" w:themeColor="text1"/>
        </w:rPr>
        <w:t>Kleitos</w:t>
      </w:r>
      <w:proofErr w:type="spellEnd"/>
      <w:r w:rsidRPr="004A2B32">
        <w:rPr>
          <w:color w:val="000000" w:themeColor="text1"/>
        </w:rPr>
        <w:t xml:space="preserve"> 1 and 2) and findings of the Bronze Age, Hellenistic, Late Roman and Early Byzantine </w:t>
      </w:r>
      <w:r w:rsidR="00731C5E" w:rsidRPr="004A2B32">
        <w:rPr>
          <w:color w:val="000000" w:themeColor="text1"/>
        </w:rPr>
        <w:t>p</w:t>
      </w:r>
      <w:r w:rsidRPr="004A2B32">
        <w:rPr>
          <w:color w:val="000000" w:themeColor="text1"/>
        </w:rPr>
        <w:t>eriod</w:t>
      </w:r>
      <w:r w:rsidR="00731C5E" w:rsidRPr="004A2B32">
        <w:rPr>
          <w:color w:val="000000" w:themeColor="text1"/>
        </w:rPr>
        <w:t>s</w:t>
      </w:r>
      <w:r w:rsidRPr="004A2B32">
        <w:rPr>
          <w:color w:val="000000" w:themeColor="text1"/>
        </w:rPr>
        <w:t xml:space="preserve">. </w:t>
      </w:r>
      <w:proofErr w:type="spellStart"/>
      <w:r w:rsidRPr="004A2B32">
        <w:rPr>
          <w:color w:val="000000" w:themeColor="text1"/>
        </w:rPr>
        <w:t>Kleitos</w:t>
      </w:r>
      <w:proofErr w:type="spellEnd"/>
      <w:r w:rsidRPr="004A2B32">
        <w:rPr>
          <w:color w:val="000000" w:themeColor="text1"/>
        </w:rPr>
        <w:t xml:space="preserve"> 1 is a flat Neolithic settlement inhabited during the early phases of the Late Neolithic period (second half of the 6th and early 5th millennium BC) and is one of very few sites in the Balkan region </w:t>
      </w:r>
      <w:r w:rsidR="00731C5E" w:rsidRPr="004A2B32">
        <w:rPr>
          <w:color w:val="000000" w:themeColor="text1"/>
        </w:rPr>
        <w:t>to have</w:t>
      </w:r>
      <w:r w:rsidRPr="004A2B32">
        <w:rPr>
          <w:color w:val="000000" w:themeColor="text1"/>
        </w:rPr>
        <w:t xml:space="preserve"> been excavated throughout its entire area</w:t>
      </w:r>
      <w:r w:rsidR="00B031D4" w:rsidRPr="004A2B32">
        <w:rPr>
          <w:color w:val="000000" w:themeColor="text1"/>
        </w:rPr>
        <w:fldChar w:fldCharType="begin" w:fldLock="1"/>
      </w:r>
      <w:r w:rsidR="00BE2180">
        <w:rPr>
          <w:color w:val="000000" w:themeColor="text1"/>
        </w:rPr>
        <w:instrText>ADDIN CSL_CITATION {"citationItems":[{"id":"ITEM-1","itemData":{"author":[{"dropping-particle":"","family":"Ziota","given":"C","non-dropping-particle":"","parse-names":false,"suffix":""}],"container-title":"AEΑΜ","editor":[{"dropping-particle":"","family":"Karamitrou-Mentessidi","given":"G","non-dropping-particle":"","parse-names":false,"suffix":""}],"id":"ITEM-1","issued":{"date-parts":[["2009"]]},"page":"214-230","title":"The neolithic settlemment of “Kleitos I” and the new updates for prehistoric research","type":"paper-conference"},"uris":["http://www.mendeley.com/documents/?uuid=ecbb9f4b-b2d0-4209-8193-b398a12ac935"]}],"mendeley":{"formattedCitation":"&lt;sup&gt;82&lt;/sup&gt;","plainTextFormattedCitation":"82","previouslyFormattedCitation":"&lt;sup&gt;82&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82</w:t>
      </w:r>
      <w:r w:rsidR="00B031D4" w:rsidRPr="004A2B32">
        <w:rPr>
          <w:color w:val="000000" w:themeColor="text1"/>
        </w:rPr>
        <w:fldChar w:fldCharType="end"/>
      </w:r>
      <w:r w:rsidR="00AD376A" w:rsidRPr="004A2B32">
        <w:rPr>
          <w:color w:val="000000" w:themeColor="text1"/>
        </w:rPr>
        <w:t xml:space="preserve">. </w:t>
      </w:r>
      <w:r w:rsidRPr="004A2B32">
        <w:rPr>
          <w:color w:val="000000" w:themeColor="text1"/>
        </w:rPr>
        <w:t>Ten quadrangular ground-floor buildings made of a wooden framework and covered with clay have been identified. Inside the buildings were structures designed for food preparation and storage, along with clay vessels, tools, and pots. The buildings had been destroyed by fire and none of them preserved more than three construction phases. Among and around the building</w:t>
      </w:r>
      <w:r w:rsidR="00731C5E" w:rsidRPr="004A2B32">
        <w:rPr>
          <w:color w:val="000000" w:themeColor="text1"/>
        </w:rPr>
        <w:t>s</w:t>
      </w:r>
      <w:r w:rsidRPr="004A2B32">
        <w:rPr>
          <w:color w:val="000000" w:themeColor="text1"/>
        </w:rPr>
        <w:t>, a variety of workshops, storage areas, and refuse pits were uncovered. The settlement covers an area of approximately 2 ha and is bounded by a system of ditches and wooden enclosures. Inside Building C, amongst and outside the houses, 16 Neolithic graves were found. The burials were single inhumations in contracted positions and there was one cremation in an urn</w:t>
      </w:r>
      <w:r w:rsidR="00B031D4" w:rsidRPr="004A2B32">
        <w:rPr>
          <w:color w:val="000000" w:themeColor="text1"/>
        </w:rPr>
        <w:fldChar w:fldCharType="begin" w:fldLock="1"/>
      </w:r>
      <w:r w:rsidR="00BE2180">
        <w:rPr>
          <w:color w:val="000000" w:themeColor="text1"/>
        </w:rPr>
        <w:instrText>ADDIN CSL_CITATION {"citationItems":[{"id":"ITEM-1","itemData":{"author":[{"dropping-particle":"","family":"Ziota","given":"C","non-dropping-particle":"","parse-names":false,"suffix":""}],"container-title":"AEΑΜ","editor":[{"dropping-particle":"","family":"Karamitrou-Mentessidi","given":"G","non-dropping-particle":"","parse-names":false,"suffix":""}],"id":"ITEM-1","issued":{"date-parts":[["2009"]]},"page":"214-230","title":"The neolithic settlemment of “Kleitos I” and the new updates for prehistoric research","type":"paper-conference"},"uris":["http://www.mendeley.com/documents/?uuid=ecbb9f4b-b2d0-4209-8193-b398a12ac935"]}],"mendeley":{"formattedCitation":"&lt;sup&gt;82&lt;/sup&gt;","plainTextFormattedCitation":"82","previouslyFormattedCitation":"&lt;sup&gt;82&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82</w:t>
      </w:r>
      <w:r w:rsidR="00B031D4" w:rsidRPr="004A2B32">
        <w:rPr>
          <w:color w:val="000000" w:themeColor="text1"/>
        </w:rPr>
        <w:fldChar w:fldCharType="end"/>
      </w:r>
      <w:r w:rsidR="00AD376A" w:rsidRPr="004A2B32">
        <w:rPr>
          <w:color w:val="000000" w:themeColor="text1"/>
        </w:rPr>
        <w:t xml:space="preserve">. </w:t>
      </w:r>
      <w:r w:rsidRPr="004A2B32">
        <w:rPr>
          <w:color w:val="000000" w:themeColor="text1"/>
        </w:rPr>
        <w:t xml:space="preserve">Sample </w:t>
      </w:r>
      <w:proofErr w:type="spellStart"/>
      <w:r w:rsidRPr="004A2B32">
        <w:rPr>
          <w:color w:val="000000" w:themeColor="text1"/>
        </w:rPr>
        <w:t>Kleitos</w:t>
      </w:r>
      <w:proofErr w:type="spellEnd"/>
      <w:r w:rsidRPr="004A2B32">
        <w:rPr>
          <w:color w:val="000000" w:themeColor="text1"/>
        </w:rPr>
        <w:t xml:space="preserve"> 10 (Klei10) was taken from a petrous bone. The sample was dated at the Curt-</w:t>
      </w:r>
      <w:proofErr w:type="spellStart"/>
      <w:r w:rsidRPr="004A2B32">
        <w:rPr>
          <w:color w:val="000000" w:themeColor="text1"/>
        </w:rPr>
        <w:t>Engelhorn</w:t>
      </w:r>
      <w:proofErr w:type="spellEnd"/>
      <w:r w:rsidRPr="004A2B32">
        <w:rPr>
          <w:color w:val="000000" w:themeColor="text1"/>
        </w:rPr>
        <w:t>-</w:t>
      </w:r>
      <w:proofErr w:type="spellStart"/>
      <w:r w:rsidRPr="004A2B32">
        <w:rPr>
          <w:color w:val="000000" w:themeColor="text1"/>
        </w:rPr>
        <w:t>Zentrum</w:t>
      </w:r>
      <w:proofErr w:type="spellEnd"/>
      <w:r w:rsidRPr="004A2B32">
        <w:rPr>
          <w:color w:val="000000" w:themeColor="text1"/>
        </w:rPr>
        <w:t xml:space="preserve"> of Archaeometry (Mannheim, Germany). The results were calibrated as described above. For Klei10 (Lab number MAMS 23038) a </w:t>
      </w:r>
      <w:r w:rsidRPr="004A2B32">
        <w:rPr>
          <w:color w:val="000000" w:themeColor="text1"/>
          <w:vertAlign w:val="superscript"/>
        </w:rPr>
        <w:t>14</w:t>
      </w:r>
      <w:r w:rsidRPr="004A2B32">
        <w:rPr>
          <w:color w:val="000000" w:themeColor="text1"/>
        </w:rPr>
        <w:t xml:space="preserve">C age of 5559 ± 22 BP was estimated resulting in a 95% calibrated range of 4230-3995 </w:t>
      </w:r>
      <w:proofErr w:type="spellStart"/>
      <w:r w:rsidRPr="004A2B32">
        <w:rPr>
          <w:color w:val="000000" w:themeColor="text1"/>
        </w:rPr>
        <w:t>cal</w:t>
      </w:r>
      <w:proofErr w:type="spellEnd"/>
      <w:r w:rsidRPr="004A2B32">
        <w:rPr>
          <w:color w:val="000000" w:themeColor="text1"/>
        </w:rPr>
        <w:t xml:space="preserve"> BCE.</w:t>
      </w:r>
      <w:r w:rsidR="00C944A4" w:rsidRPr="004A2B32">
        <w:rPr>
          <w:color w:val="000000" w:themeColor="text1"/>
        </w:rPr>
        <w:t xml:space="preserve"> </w:t>
      </w:r>
      <w:r w:rsidRPr="004A2B32">
        <w:rPr>
          <w:color w:val="000000" w:themeColor="text1"/>
          <w:highlight w:val="white"/>
        </w:rPr>
        <w:t xml:space="preserve">In the present study we </w:t>
      </w:r>
      <w:proofErr w:type="spellStart"/>
      <w:r w:rsidRPr="004A2B32">
        <w:rPr>
          <w:color w:val="000000" w:themeColor="text1"/>
          <w:highlight w:val="white"/>
        </w:rPr>
        <w:t>analysed</w:t>
      </w:r>
      <w:proofErr w:type="spellEnd"/>
      <w:r w:rsidRPr="004A2B32">
        <w:rPr>
          <w:color w:val="000000" w:themeColor="text1"/>
          <w:highlight w:val="white"/>
        </w:rPr>
        <w:t xml:space="preserve"> tooth and bone fragment</w:t>
      </w:r>
      <w:r w:rsidR="00731C5E" w:rsidRPr="004A2B32">
        <w:rPr>
          <w:color w:val="000000" w:themeColor="text1"/>
          <w:highlight w:val="white"/>
        </w:rPr>
        <w:t>s</w:t>
      </w:r>
      <w:r w:rsidRPr="004A2B32">
        <w:rPr>
          <w:color w:val="000000" w:themeColor="text1"/>
          <w:highlight w:val="white"/>
        </w:rPr>
        <w:t xml:space="preserve"> from one individual (Klei1/Klei4), tooth alone from another (Klei2), </w:t>
      </w:r>
      <w:r w:rsidR="00731C5E" w:rsidRPr="004A2B32">
        <w:rPr>
          <w:color w:val="000000" w:themeColor="text1"/>
          <w:highlight w:val="white"/>
        </w:rPr>
        <w:t xml:space="preserve">the petrous bone </w:t>
      </w:r>
      <w:r w:rsidRPr="004A2B32">
        <w:rPr>
          <w:color w:val="000000" w:themeColor="text1"/>
          <w:highlight w:val="white"/>
        </w:rPr>
        <w:t xml:space="preserve">and </w:t>
      </w:r>
      <w:r w:rsidR="00731C5E" w:rsidRPr="004A2B32">
        <w:rPr>
          <w:color w:val="000000" w:themeColor="text1"/>
          <w:highlight w:val="white"/>
        </w:rPr>
        <w:t xml:space="preserve">other </w:t>
      </w:r>
      <w:r w:rsidRPr="004A2B32">
        <w:rPr>
          <w:color w:val="000000" w:themeColor="text1"/>
          <w:highlight w:val="white"/>
        </w:rPr>
        <w:t>bone fragment</w:t>
      </w:r>
      <w:r w:rsidR="00731C5E" w:rsidRPr="004A2B32">
        <w:rPr>
          <w:color w:val="000000" w:themeColor="text1"/>
          <w:highlight w:val="white"/>
        </w:rPr>
        <w:t>s</w:t>
      </w:r>
      <w:r w:rsidRPr="004A2B32">
        <w:rPr>
          <w:color w:val="000000" w:themeColor="text1"/>
          <w:highlight w:val="white"/>
        </w:rPr>
        <w:t xml:space="preserve"> from </w:t>
      </w:r>
      <w:r w:rsidR="00731C5E" w:rsidRPr="004A2B32">
        <w:rPr>
          <w:color w:val="000000" w:themeColor="text1"/>
          <w:highlight w:val="white"/>
        </w:rPr>
        <w:t>an</w:t>
      </w:r>
      <w:r w:rsidRPr="004A2B32">
        <w:rPr>
          <w:color w:val="000000" w:themeColor="text1"/>
          <w:highlight w:val="white"/>
        </w:rPr>
        <w:t xml:space="preserve">other individual (Klei3/Klei9), bone fragments from two individuals (Klei5, Klei6), </w:t>
      </w:r>
      <w:r w:rsidR="00731C5E" w:rsidRPr="004A2B32">
        <w:rPr>
          <w:color w:val="000000" w:themeColor="text1"/>
          <w:highlight w:val="white"/>
        </w:rPr>
        <w:t xml:space="preserve">and </w:t>
      </w:r>
      <w:r w:rsidRPr="004A2B32">
        <w:rPr>
          <w:color w:val="000000" w:themeColor="text1"/>
          <w:highlight w:val="white"/>
        </w:rPr>
        <w:t>petrous bones from two individuals (Klei7, Klei8)</w:t>
      </w:r>
      <w:r w:rsidR="004E1AE1" w:rsidRPr="004A2B32">
        <w:rPr>
          <w:bCs/>
          <w:color w:val="000000" w:themeColor="text1"/>
        </w:rPr>
        <w:t>(Table S1)</w:t>
      </w:r>
      <w:r w:rsidR="00731C5E" w:rsidRPr="004A2B32">
        <w:rPr>
          <w:bCs/>
          <w:color w:val="000000" w:themeColor="text1"/>
          <w:highlight w:val="white"/>
        </w:rPr>
        <w:t>,</w:t>
      </w:r>
      <w:r w:rsidR="00731C5E" w:rsidRPr="004A2B32">
        <w:rPr>
          <w:color w:val="000000" w:themeColor="text1"/>
          <w:highlight w:val="white"/>
        </w:rPr>
        <w:t xml:space="preserve"> while</w:t>
      </w:r>
      <w:r w:rsidR="00C944A4" w:rsidRPr="004A2B32">
        <w:rPr>
          <w:color w:val="000000" w:themeColor="text1"/>
          <w:highlight w:val="white"/>
        </w:rPr>
        <w:t xml:space="preserve"> </w:t>
      </w:r>
      <w:r w:rsidRPr="004A2B32">
        <w:rPr>
          <w:color w:val="000000" w:themeColor="text1"/>
          <w:highlight w:val="white"/>
        </w:rPr>
        <w:t xml:space="preserve">one sample (Klei10) has been previously </w:t>
      </w:r>
      <w:proofErr w:type="spellStart"/>
      <w:r w:rsidRPr="004A2B32">
        <w:rPr>
          <w:color w:val="000000" w:themeColor="text1"/>
          <w:highlight w:val="white"/>
        </w:rPr>
        <w:t>genomically</w:t>
      </w:r>
      <w:proofErr w:type="spellEnd"/>
      <w:r w:rsidRPr="004A2B32">
        <w:rPr>
          <w:color w:val="000000" w:themeColor="text1"/>
          <w:highlight w:val="white"/>
        </w:rPr>
        <w:t xml:space="preserve"> (WGS) analysed</w:t>
      </w:r>
      <w:r w:rsidR="00B031D4" w:rsidRPr="004A2B32">
        <w:rPr>
          <w:color w:val="000000" w:themeColor="text1"/>
          <w:highlight w:val="white"/>
        </w:rPr>
        <w:fldChar w:fldCharType="begin" w:fldLock="1"/>
      </w:r>
      <w:r w:rsidR="00BE2180">
        <w:rPr>
          <w:color w:val="000000" w:themeColor="text1"/>
          <w:highlight w:val="white"/>
        </w:rPr>
        <w:instrText>ADDIN CSL_CITATION {"citationItems":[{"id":"ITEM-1","itemData":{"DOI":"10.1073/pnas.1523951113","ISSN":"0027-8424","abstract":"Farming and sedentism first appeared in southwestern Asia during the early Holocene and later spread to neighboring regions, including Europe, along multiple dispersal routes. Conspicuous uncertainties remain about the relative roles of migration, cultural diffusion, and admixture with local foragers in the early Neolithization of Europe. Here we present paleogenomic data for five Neolithic individuals from northern Greece and northwestern Turkey spanning the time and region of the earliest spread of farming into Europe. We use a novel approach to recalibrate raw reads and call genotypes from ancient DNA and observe striking genetic similarity both among Aegean early farmers and with those from across Europe. Our study demonstrates a direct genetic link between Mediterranean and Central European early farmers and those of Greece and Anatolia, extending the European Neolithic migratory chain all the way back to southwestern Asia.","author":[{"dropping-particle":"","family":"Hofmanová","given":"Zuzana","non-dropping-particle":"","parse-names":false,"suffix":""},{"dropping-particle":"","family":"Kreutzer","given":"Susanne","non-dropping-particle":"","parse-names":false,"suffix":""},{"dropping-particle":"","family":"Hellenthal","given":"Garrett","non-dropping-particle":"","parse-names":false,"suffix":""},{"dropping-particle":"","family":"Sell","given":"Christian","non-dropping-particle":"","parse-names":false,"suffix":""},{"dropping-particle":"","family":"Diekmann","given":"Yoan","non-dropping-particle":"","parse-names":false,"suffix":""},{"dropping-particle":"","family":"Díez-del-Molino","given":"David","non-dropping-particle":"","parse-names":false,"suffix":""},{"dropping-particle":"","family":"Dorp","given":"Lucy","non-dropping-particle":"van","parse-names":false,"suffix":""},{"dropping-particle":"","family":"López","given":"Saioa","non-dropping-particle":"","parse-names":false,"suffix":""},{"dropping-particle":"","family":"Kousathanas","given":"Athanasios","non-dropping-particle":"","parse-names":false,"suffix":""},{"dropping-particle":"","family":"Link","given":"Vivian","non-dropping-particle":"","parse-names":false,"suffix":""},{"dropping-particle":"","family":"Kirsanow","given":"Karola","non-dropping-particle":"","parse-names":false,"suffix":""},{"dropping-particle":"","family":"Cassidy","given":"Lara M.","non-dropping-particle":"","parse-names":false,"suffix":""},{"dropping-particle":"","family":"Martiniano","given":"Rui","non-dropping-particle":"","parse-names":false,"suffix":""},{"dropping-particle":"","family":"Strobel","given":"Melanie","non-dropping-particle":"","parse-names":false,"suffix":""},{"dropping-particle":"","family":"Scheu","given":"Amelie","non-dropping-particle":"","parse-names":false,"suffix":""},{"dropping-particle":"","family":"Kotsakis","given":"Kostas","non-dropping-particle":"","parse-names":false,"suffix":""},{"dropping-particle":"","family":"Halstead","given":"Paul","non-dropping-particle":"","parse-names":false,"suffix":""},{"dropping-particle":"","family":"Triantaphyllou","given":"Sevi","non-dropping-particle":"","parse-names":false,"suffix":""},{"dropping-particle":"","family":"Kyparissi-Apostolika","given":"Nina","non-dropping-particle":"","parse-names":false,"suffix":""},{"dropping-particle":"","family":"Urem-Kotsou","given":"Dushka","non-dropping-particle":"","parse-names":false,"suffix":""},{"dropping-particle":"","family":"Ziota","given":"Christina","non-dropping-particle":"","parse-names":false,"suffix":""},{"dropping-particle":"","family":"Adaktylou","given":"Fotini","non-dropping-particle":"","parse-names":false,"suffix":""},{"dropping-particle":"","family":"Gopalan","given":"Shyamalika","non-dropping-particle":"","parse-names":false,"suffix":""},{"dropping-particle":"","family":"Bobo","given":"Dean M.","non-dropping-particle":"","parse-names":false,"suffix":""},{"dropping-particle":"","family":"Winkelbach","given":"Laura","non-dropping-particle":"","parse-names":false,"suffix":""},{"dropping-particle":"","family":"Blöcher","given":"Jens","non-dropping-particle":"","parse-names":false,"suffix":""},{"dropping-particle":"","family":"Unterländer","given":"Martina","non-dropping-particle":"","parse-names":false,"suffix":""},{"dropping-particle":"","family":"Leuenberger","given":"Christoph","non-dropping-particle":"","parse-names":false,"suffix":""},{"dropping-particle":"","family":"Çilingiroğlu","given":"Çiler","non-dropping-particle":"","parse-names":false,"suffix":""},{"dropping-particle":"","family":"Horejs","given":"Barbara","non-dropping-particle":"","parse-names":false,"suffix":""},{"dropping-particle":"","family":"Gerritsen","given":"Fokke","non-dropping-particle":"","parse-names":false,"suffix":""},{"dropping-particle":"","family":"Shennan","given":"Stephen J.","non-dropping-particle":"","parse-names":false,"suffix":""},{"dropping-particle":"","family":"Bradley","given":"Daniel G.","non-dropping-particle":"","parse-names":false,"suffix":""},{"dropping-particle":"","family":"Currat","given":"Mathias","non-dropping-particle":"","parse-names":false,"suffix":""},{"dropping-particle":"","family":"Veeramah","given":"Krishna R.","non-dropping-particle":"","parse-names":false,"suffix":""},{"dropping-particle":"","family":"Wegmann","given":"Daniel","non-dropping-particle":"","parse-names":false,"suffix":""},{"dropping-particle":"","family":"Thomas","given":"Mark G.","non-dropping-particle":"","parse-names":false,"suffix":""},{"dropping-particle":"","family":"Papageorgopoulou","given":"Christina","non-dropping-particle":"","parse-names":false,"suffix":""},{"dropping-particle":"","family":"Burger","given":"Joachim","non-dropping-particle":"","parse-names":false,"suffix":""}],"container-title":"Proceedings of the National Academy of Sciences","id":"ITEM-1","issue":"25","issued":{"date-parts":[["2016","6","21"]]},"page":"6886-6891","title":"Early farmers from across Europe directly descended from Neolithic Aegeans","type":"article-journal","volume":"113"},"uris":["http://www.mendeley.com/documents/?uuid=b945c703-aff7-4b1b-91b7-380f0d502743"]}],"mendeley":{"formattedCitation":"&lt;sup&gt;8&lt;/sup&gt;","plainTextFormattedCitation":"8","previouslyFormattedCitation":"&lt;sup&gt;8&lt;/sup&gt;"},"properties":{"noteIndex":0},"schema":"https://github.com/citation-style-language/schema/raw/master/csl-citation.json"}</w:instrText>
      </w:r>
      <w:r w:rsidR="00B031D4" w:rsidRPr="004A2B32">
        <w:rPr>
          <w:color w:val="000000" w:themeColor="text1"/>
          <w:highlight w:val="white"/>
        </w:rPr>
        <w:fldChar w:fldCharType="separate"/>
      </w:r>
      <w:r w:rsidR="00BE2180" w:rsidRPr="00BE2180">
        <w:rPr>
          <w:noProof/>
          <w:color w:val="000000" w:themeColor="text1"/>
          <w:highlight w:val="white"/>
          <w:vertAlign w:val="superscript"/>
        </w:rPr>
        <w:t>8</w:t>
      </w:r>
      <w:r w:rsidR="00B031D4" w:rsidRPr="004A2B32">
        <w:rPr>
          <w:color w:val="000000" w:themeColor="text1"/>
          <w:highlight w:val="white"/>
        </w:rPr>
        <w:fldChar w:fldCharType="end"/>
      </w:r>
      <w:r w:rsidR="00AD376A" w:rsidRPr="004A2B32">
        <w:rPr>
          <w:color w:val="000000" w:themeColor="text1"/>
        </w:rPr>
        <w:t>.</w:t>
      </w:r>
    </w:p>
    <w:p w14:paraId="7C4AF440" w14:textId="77777777" w:rsidR="00AD56D5" w:rsidRPr="004A2B32" w:rsidRDefault="00AD56D5">
      <w:pPr>
        <w:widowControl/>
        <w:spacing w:after="0"/>
        <w:jc w:val="both"/>
        <w:rPr>
          <w:color w:val="000000" w:themeColor="text1"/>
        </w:rPr>
      </w:pPr>
    </w:p>
    <w:p w14:paraId="2780AD8D" w14:textId="77777777" w:rsidR="00194C56" w:rsidRPr="004A2B32" w:rsidRDefault="00194C56">
      <w:pPr>
        <w:pStyle w:val="4"/>
        <w:spacing w:before="200"/>
        <w:jc w:val="both"/>
        <w:rPr>
          <w:color w:val="000000" w:themeColor="text1"/>
          <w:sz w:val="22"/>
          <w:szCs w:val="22"/>
        </w:rPr>
      </w:pPr>
      <w:bookmarkStart w:id="22" w:name="_dvbycj1k7gq3" w:colFirst="0" w:colLast="0"/>
      <w:bookmarkStart w:id="23" w:name="_icw8a7lb7mch" w:colFirst="0" w:colLast="0"/>
      <w:bookmarkEnd w:id="22"/>
      <w:bookmarkEnd w:id="23"/>
      <w:proofErr w:type="spellStart"/>
      <w:r w:rsidRPr="004A2B32">
        <w:rPr>
          <w:color w:val="000000" w:themeColor="text1"/>
          <w:sz w:val="22"/>
          <w:szCs w:val="22"/>
        </w:rPr>
        <w:t>Tharrounia</w:t>
      </w:r>
      <w:proofErr w:type="spellEnd"/>
    </w:p>
    <w:p w14:paraId="0E8EBC76" w14:textId="77777777" w:rsidR="00194C56" w:rsidRPr="004A2B32" w:rsidRDefault="00194C56" w:rsidP="00CE5AFA">
      <w:pPr>
        <w:jc w:val="both"/>
        <w:rPr>
          <w:b/>
          <w:color w:val="000000" w:themeColor="text1"/>
        </w:rPr>
      </w:pPr>
      <w:r w:rsidRPr="004A2B32">
        <w:rPr>
          <w:b/>
          <w:color w:val="000000" w:themeColor="text1"/>
        </w:rPr>
        <w:t xml:space="preserve">The cave of </w:t>
      </w:r>
      <w:proofErr w:type="spellStart"/>
      <w:r w:rsidRPr="004A2B32">
        <w:rPr>
          <w:b/>
          <w:color w:val="000000" w:themeColor="text1"/>
        </w:rPr>
        <w:t>S</w:t>
      </w:r>
      <w:r w:rsidR="00731C5E" w:rsidRPr="004A2B32">
        <w:rPr>
          <w:b/>
          <w:color w:val="000000" w:themeColor="text1"/>
        </w:rPr>
        <w:t>k</w:t>
      </w:r>
      <w:r w:rsidRPr="004A2B32">
        <w:rPr>
          <w:b/>
          <w:color w:val="000000" w:themeColor="text1"/>
        </w:rPr>
        <w:t>ot</w:t>
      </w:r>
      <w:r w:rsidR="00506A9E" w:rsidRPr="004A2B32">
        <w:rPr>
          <w:b/>
          <w:color w:val="000000" w:themeColor="text1"/>
        </w:rPr>
        <w:t>e</w:t>
      </w:r>
      <w:r w:rsidRPr="004A2B32">
        <w:rPr>
          <w:b/>
          <w:color w:val="000000" w:themeColor="text1"/>
        </w:rPr>
        <w:t>ini</w:t>
      </w:r>
      <w:proofErr w:type="spellEnd"/>
      <w:r w:rsidRPr="004A2B32">
        <w:rPr>
          <w:b/>
          <w:color w:val="000000" w:themeColor="text1"/>
        </w:rPr>
        <w:t xml:space="preserve"> at </w:t>
      </w:r>
      <w:proofErr w:type="spellStart"/>
      <w:r w:rsidRPr="004A2B32">
        <w:rPr>
          <w:b/>
          <w:color w:val="000000" w:themeColor="text1"/>
        </w:rPr>
        <w:t>Tharrounia</w:t>
      </w:r>
      <w:proofErr w:type="spellEnd"/>
      <w:r w:rsidRPr="004A2B32">
        <w:rPr>
          <w:b/>
          <w:color w:val="000000" w:themeColor="text1"/>
        </w:rPr>
        <w:t xml:space="preserve"> (Euboea island)</w:t>
      </w:r>
    </w:p>
    <w:p w14:paraId="14E0C43A" w14:textId="55E0DEE3" w:rsidR="00194C56" w:rsidRPr="004A2B32" w:rsidRDefault="00194C56" w:rsidP="00CE5AFA">
      <w:pPr>
        <w:jc w:val="both"/>
        <w:rPr>
          <w:color w:val="000000" w:themeColor="text1"/>
        </w:rPr>
      </w:pPr>
      <w:r w:rsidRPr="004A2B32">
        <w:rPr>
          <w:color w:val="000000" w:themeColor="text1"/>
        </w:rPr>
        <w:t xml:space="preserve">The </w:t>
      </w:r>
      <w:proofErr w:type="spellStart"/>
      <w:r w:rsidRPr="004A2B32">
        <w:rPr>
          <w:color w:val="000000" w:themeColor="text1"/>
        </w:rPr>
        <w:t>Skoteini</w:t>
      </w:r>
      <w:proofErr w:type="spellEnd"/>
      <w:r w:rsidRPr="004A2B32">
        <w:rPr>
          <w:color w:val="000000" w:themeColor="text1"/>
        </w:rPr>
        <w:t xml:space="preserve"> cave is situated 3 km from </w:t>
      </w:r>
      <w:proofErr w:type="spellStart"/>
      <w:r w:rsidRPr="004A2B32">
        <w:rPr>
          <w:color w:val="000000" w:themeColor="text1"/>
        </w:rPr>
        <w:t>Tharrounia</w:t>
      </w:r>
      <w:proofErr w:type="spellEnd"/>
      <w:r w:rsidRPr="004A2B32">
        <w:rPr>
          <w:color w:val="000000" w:themeColor="text1"/>
        </w:rPr>
        <w:t xml:space="preserve"> village in the middle of the</w:t>
      </w:r>
      <w:r w:rsidR="00731C5E" w:rsidRPr="004A2B32">
        <w:rPr>
          <w:color w:val="000000" w:themeColor="text1"/>
        </w:rPr>
        <w:t xml:space="preserve"> island of</w:t>
      </w:r>
      <w:r w:rsidRPr="004A2B32">
        <w:rPr>
          <w:color w:val="000000" w:themeColor="text1"/>
        </w:rPr>
        <w:t xml:space="preserve"> Euboea. It is situated </w:t>
      </w:r>
      <w:r w:rsidR="00731C5E" w:rsidRPr="004A2B32">
        <w:rPr>
          <w:color w:val="000000" w:themeColor="text1"/>
        </w:rPr>
        <w:t>just</w:t>
      </w:r>
      <w:r w:rsidRPr="004A2B32">
        <w:rPr>
          <w:color w:val="000000" w:themeColor="text1"/>
        </w:rPr>
        <w:t xml:space="preserve"> below a rocky plateau, 450 m above sea level. The cave opens to the north on to a ravine. The site was revealed firstly in 1974 by the discovery of ceramic sherds dated to the Neolithic</w:t>
      </w:r>
      <w:r w:rsidR="00B031D4" w:rsidRPr="004A2B32">
        <w:rPr>
          <w:color w:val="000000" w:themeColor="text1"/>
        </w:rPr>
        <w:fldChar w:fldCharType="begin" w:fldLock="1"/>
      </w:r>
      <w:r w:rsidR="00BE2180">
        <w:rPr>
          <w:color w:val="000000" w:themeColor="text1"/>
        </w:rPr>
        <w:instrText>ADDIN CSL_CITATION {"citationItems":[{"id":"ITEM-1","itemData":{"author":[{"dropping-particle":"","family":"Sampson","given":"A","non-dropping-particle":"","parse-names":false,"suffix":""}],"container-title":"BSA","id":"ITEM-1","issued":{"date-parts":[["1992"]]},"page":"61-101","title":"Late Neolithic remains at Tharrounia Euboea: a model for the seasonal use of settlements and caves","type":"article-journal","volume":"87"},"uris":["http://www.mendeley.com/documents/?uuid=51bba3a4-69e1-43bf-94bf-ae2574e79955"]},{"id":"ITEM-2","itemData":{"author":[{"dropping-particle":"","family":"Sampson","given":"Adamantios","non-dropping-particle":"","parse-names":false,"suffix":""}],"container-title":"AAA IX","id":"ITEM-2","issued":{"date-parts":[["1977"]]},"page":"44","title":"Proistorikon spileon Skotini para ta Tharrounia Euboeas","type":"article-journal"},"uris":["http://www.mendeley.com/documents/?uuid=6bf7a629-62e8-40ec-956a-74185fb2e3bb"]}],"mendeley":{"formattedCitation":"&lt;sup&gt;83,84&lt;/sup&gt;","plainTextFormattedCitation":"83,84","previouslyFormattedCitation":"&lt;sup&gt;83,84&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83,84</w:t>
      </w:r>
      <w:r w:rsidR="00B031D4" w:rsidRPr="004A2B32">
        <w:rPr>
          <w:color w:val="000000" w:themeColor="text1"/>
        </w:rPr>
        <w:fldChar w:fldCharType="end"/>
      </w:r>
      <w:r w:rsidRPr="004A2B32">
        <w:rPr>
          <w:color w:val="000000" w:themeColor="text1"/>
        </w:rPr>
        <w:t xml:space="preserve">. </w:t>
      </w:r>
      <w:r w:rsidR="00731C5E" w:rsidRPr="004A2B32">
        <w:rPr>
          <w:color w:val="000000" w:themeColor="text1"/>
        </w:rPr>
        <w:t>E</w:t>
      </w:r>
      <w:r w:rsidRPr="004A2B32">
        <w:rPr>
          <w:color w:val="000000" w:themeColor="text1"/>
        </w:rPr>
        <w:t>xcavation beg</w:t>
      </w:r>
      <w:r w:rsidR="00731C5E" w:rsidRPr="004A2B32">
        <w:rPr>
          <w:color w:val="000000" w:themeColor="text1"/>
        </w:rPr>
        <w:t>a</w:t>
      </w:r>
      <w:r w:rsidRPr="004A2B32">
        <w:rPr>
          <w:color w:val="000000" w:themeColor="text1"/>
        </w:rPr>
        <w:t>n in 1986 and ended in 1991 revealing</w:t>
      </w:r>
      <w:r w:rsidR="0018613A" w:rsidRPr="004A2B32">
        <w:rPr>
          <w:color w:val="000000" w:themeColor="text1"/>
        </w:rPr>
        <w:t xml:space="preserve"> </w:t>
      </w:r>
      <w:r w:rsidR="0018613A" w:rsidRPr="004A2B32">
        <w:rPr>
          <w:color w:val="000000" w:themeColor="text1"/>
        </w:rPr>
        <w:lastRenderedPageBreak/>
        <w:t>marble</w:t>
      </w:r>
      <w:r w:rsidRPr="004A2B32">
        <w:rPr>
          <w:color w:val="000000" w:themeColor="text1"/>
        </w:rPr>
        <w:t xml:space="preserve"> figurines and ceramics, metallic objects</w:t>
      </w:r>
      <w:r w:rsidR="00B031D4" w:rsidRPr="004A2B32">
        <w:rPr>
          <w:color w:val="000000" w:themeColor="text1"/>
        </w:rPr>
        <w:fldChar w:fldCharType="begin" w:fldLock="1"/>
      </w:r>
      <w:r w:rsidR="00BE2180">
        <w:rPr>
          <w:color w:val="000000" w:themeColor="text1"/>
        </w:rPr>
        <w:instrText>ADDIN CSL_CITATION {"citationItems":[{"id":"ITEM-1","itemData":{"author":[{"dropping-particle":"","family":"Sampson","given":"A","non-dropping-particle":"","parse-names":false,"suffix":""}],"id":"ITEM-1","issued":{"date-parts":[["1993"]]},"publisher":"Hellenic Ministry of Culture","publisher-place":"Athens","title":"Scoteini Tharrounion. To spilaio, o oikismos kai to nekrotapheio","type":"book"},"uris":["http://www.mendeley.com/documents/?uuid=769a6965-a722-478c-9422-942248bc24dd"]}],"mendeley":{"formattedCitation":"&lt;sup&gt;85&lt;/sup&gt;","plainTextFormattedCitation":"85","previouslyFormattedCitation":"&lt;sup&gt;85&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85</w:t>
      </w:r>
      <w:r w:rsidR="00B031D4" w:rsidRPr="004A2B32">
        <w:rPr>
          <w:color w:val="000000" w:themeColor="text1"/>
        </w:rPr>
        <w:fldChar w:fldCharType="end"/>
      </w:r>
      <w:r w:rsidRPr="004A2B32">
        <w:rPr>
          <w:color w:val="000000" w:themeColor="text1"/>
        </w:rPr>
        <w:t xml:space="preserve">, The Neolithic pottery was associated with three periods, specifically </w:t>
      </w:r>
      <w:r w:rsidRPr="004A2B32">
        <w:rPr>
          <w:i/>
          <w:iCs/>
          <w:color w:val="000000" w:themeColor="text1"/>
        </w:rPr>
        <w:t xml:space="preserve">the Middle Neolithic </w:t>
      </w:r>
      <w:r w:rsidRPr="004A2B32">
        <w:rPr>
          <w:color w:val="000000" w:themeColor="text1"/>
        </w:rPr>
        <w:t>(before the middle of 6</w:t>
      </w:r>
      <w:r w:rsidRPr="004A2B32">
        <w:rPr>
          <w:color w:val="000000" w:themeColor="text1"/>
          <w:vertAlign w:val="superscript"/>
        </w:rPr>
        <w:t>th</w:t>
      </w:r>
      <w:r w:rsidRPr="004A2B32">
        <w:rPr>
          <w:color w:val="000000" w:themeColor="text1"/>
        </w:rPr>
        <w:t xml:space="preserve"> millennium) resembling a pottery style also found in </w:t>
      </w:r>
      <w:proofErr w:type="spellStart"/>
      <w:r w:rsidRPr="004A2B32">
        <w:rPr>
          <w:color w:val="000000" w:themeColor="text1"/>
        </w:rPr>
        <w:t>Nea</w:t>
      </w:r>
      <w:proofErr w:type="spellEnd"/>
      <w:r w:rsidR="00C944A4" w:rsidRPr="004A2B32">
        <w:rPr>
          <w:color w:val="000000" w:themeColor="text1"/>
        </w:rPr>
        <w:t xml:space="preserve"> </w:t>
      </w:r>
      <w:r w:rsidRPr="004A2B32">
        <w:rPr>
          <w:color w:val="000000" w:themeColor="text1"/>
        </w:rPr>
        <w:t>Makri</w:t>
      </w:r>
      <w:r w:rsidR="00B031D4" w:rsidRPr="004A2B32">
        <w:rPr>
          <w:color w:val="000000" w:themeColor="text1"/>
        </w:rPr>
        <w:fldChar w:fldCharType="begin" w:fldLock="1"/>
      </w:r>
      <w:r w:rsidR="00BE2180">
        <w:rPr>
          <w:color w:val="000000" w:themeColor="text1"/>
        </w:rPr>
        <w:instrText>ADDIN CSL_CITATION {"citationItems":[{"id":"ITEM-1","itemData":{"author":[{"dropping-particle":"","family":"Theocharis","given":"D","non-dropping-particle":"","parse-names":false,"suffix":""}],"container-title":"Athen Mitteilungen","id":"ITEM-1","issued":{"date-parts":[["1956"]]},"page":"1-29","publisher":"Athen. Mitteilungen","title":"Nea Makri. Eine grossen neolithische Siedlung in der Nahe von Marathon","type":"article-journal","volume":"71"},"uris":["http://www.mendeley.com/documents/?uuid=1e9a1a06-ac7e-4251-be1f-3727bd0e16bc"]}],"mendeley":{"formattedCitation":"&lt;sup&gt;86&lt;/sup&gt;","plainTextFormattedCitation":"86","previouslyFormattedCitation":"&lt;sup&gt;86&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86</w:t>
      </w:r>
      <w:r w:rsidR="00B031D4" w:rsidRPr="004A2B32">
        <w:rPr>
          <w:color w:val="000000" w:themeColor="text1"/>
        </w:rPr>
        <w:fldChar w:fldCharType="end"/>
      </w:r>
      <w:r w:rsidRPr="004A2B32">
        <w:rPr>
          <w:color w:val="000000" w:themeColor="text1"/>
        </w:rPr>
        <w:t xml:space="preserve">, </w:t>
      </w:r>
      <w:r w:rsidRPr="004A2B32">
        <w:rPr>
          <w:i/>
          <w:iCs/>
          <w:color w:val="000000" w:themeColor="text1"/>
        </w:rPr>
        <w:t>the first part of</w:t>
      </w:r>
      <w:r w:rsidR="00222A78" w:rsidRPr="004A2B32">
        <w:rPr>
          <w:i/>
          <w:iCs/>
          <w:color w:val="000000" w:themeColor="text1"/>
        </w:rPr>
        <w:t xml:space="preserve"> the</w:t>
      </w:r>
      <w:r w:rsidRPr="004A2B32">
        <w:rPr>
          <w:i/>
          <w:iCs/>
          <w:color w:val="000000" w:themeColor="text1"/>
        </w:rPr>
        <w:t xml:space="preserve"> Late Neolithic</w:t>
      </w:r>
      <w:r w:rsidRPr="004A2B32">
        <w:rPr>
          <w:color w:val="000000" w:themeColor="text1"/>
        </w:rPr>
        <w:t xml:space="preserve"> (5300-4800 BC) and the </w:t>
      </w:r>
      <w:r w:rsidRPr="004A2B32">
        <w:rPr>
          <w:i/>
          <w:iCs/>
          <w:color w:val="000000" w:themeColor="text1"/>
        </w:rPr>
        <w:t>Final Neolithic</w:t>
      </w:r>
      <w:r w:rsidRPr="004A2B32">
        <w:rPr>
          <w:color w:val="000000" w:themeColor="text1"/>
        </w:rPr>
        <w:t xml:space="preserve"> (4300-3300 BC), which includes bigger vessels (pithoi) that signify the use of the cave </w:t>
      </w:r>
      <w:r w:rsidR="00222A78" w:rsidRPr="004A2B32">
        <w:rPr>
          <w:color w:val="000000" w:themeColor="text1"/>
        </w:rPr>
        <w:t>for</w:t>
      </w:r>
      <w:r w:rsidR="001E3B31">
        <w:rPr>
          <w:color w:val="000000" w:themeColor="text1"/>
        </w:rPr>
        <w:t xml:space="preserve"> </w:t>
      </w:r>
      <w:r w:rsidRPr="004A2B32">
        <w:rPr>
          <w:color w:val="000000" w:themeColor="text1"/>
        </w:rPr>
        <w:t xml:space="preserve">storage during this period. Skeletal remains were excavated in many layers of the cave. </w:t>
      </w:r>
    </w:p>
    <w:p w14:paraId="0DD491E1" w14:textId="23DCC4DE" w:rsidR="00194C56" w:rsidRPr="004A2B32" w:rsidRDefault="00194C56" w:rsidP="00124D51">
      <w:pPr>
        <w:jc w:val="both"/>
        <w:rPr>
          <w:color w:val="000000" w:themeColor="text1"/>
        </w:rPr>
      </w:pPr>
      <w:r w:rsidRPr="004A2B32">
        <w:rPr>
          <w:color w:val="000000" w:themeColor="text1"/>
        </w:rPr>
        <w:tab/>
        <w:t xml:space="preserve">On the </w:t>
      </w:r>
      <w:r w:rsidR="00222A78" w:rsidRPr="004A2B32">
        <w:rPr>
          <w:color w:val="000000" w:themeColor="text1"/>
        </w:rPr>
        <w:t>plateau above</w:t>
      </w:r>
      <w:r w:rsidRPr="004A2B32">
        <w:rPr>
          <w:color w:val="000000" w:themeColor="text1"/>
        </w:rPr>
        <w:t xml:space="preserve"> the cave (named </w:t>
      </w:r>
      <w:proofErr w:type="spellStart"/>
      <w:r w:rsidRPr="004A2B32">
        <w:rPr>
          <w:color w:val="000000" w:themeColor="text1"/>
        </w:rPr>
        <w:t>Plataki</w:t>
      </w:r>
      <w:proofErr w:type="spellEnd"/>
      <w:r w:rsidRPr="004A2B32">
        <w:rPr>
          <w:color w:val="000000" w:themeColor="text1"/>
        </w:rPr>
        <w:t xml:space="preserve">), archaeological research revealed settlement remains that date to the end of </w:t>
      </w:r>
      <w:r w:rsidR="00222A78" w:rsidRPr="004A2B32">
        <w:rPr>
          <w:color w:val="000000" w:themeColor="text1"/>
        </w:rPr>
        <w:t xml:space="preserve">the </w:t>
      </w:r>
      <w:r w:rsidRPr="004A2B32">
        <w:rPr>
          <w:color w:val="000000" w:themeColor="text1"/>
        </w:rPr>
        <w:t>Final Neolithic</w:t>
      </w:r>
      <w:r w:rsidR="00B031D4" w:rsidRPr="004A2B32">
        <w:rPr>
          <w:color w:val="000000" w:themeColor="text1"/>
        </w:rPr>
        <w:fldChar w:fldCharType="begin" w:fldLock="1"/>
      </w:r>
      <w:r w:rsidR="00BE2180">
        <w:rPr>
          <w:color w:val="000000" w:themeColor="text1"/>
        </w:rPr>
        <w:instrText>ADDIN CSL_CITATION {"citationItems":[{"id":"ITEM-1","itemData":{"author":[{"dropping-particle":"","family":"Sampson","given":"A","non-dropping-particle":"","parse-names":false,"suffix":""}],"id":"ITEM-1","issued":{"date-parts":[["1993"]]},"publisher":"Hellenic Ministry of Culture","publisher-place":"Athens","title":"Scoteini Tharrounion. To spilaio, o oikismos kai to nekrotapheio","type":"book"},"uris":["http://www.mendeley.com/documents/?uuid=769a6965-a722-478c-9422-942248bc24dd"]}],"mendeley":{"formattedCitation":"&lt;sup&gt;85&lt;/sup&gt;","plainTextFormattedCitation":"85","previouslyFormattedCitation":"&lt;sup&gt;85&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85</w:t>
      </w:r>
      <w:r w:rsidR="00B031D4" w:rsidRPr="004A2B32">
        <w:rPr>
          <w:color w:val="000000" w:themeColor="text1"/>
        </w:rPr>
        <w:fldChar w:fldCharType="end"/>
      </w:r>
      <w:r w:rsidR="001E3B31">
        <w:rPr>
          <w:color w:val="000000" w:themeColor="text1"/>
        </w:rPr>
        <w:t xml:space="preserve"> </w:t>
      </w:r>
      <w:r w:rsidRPr="004A2B32">
        <w:rPr>
          <w:color w:val="000000" w:themeColor="text1"/>
        </w:rPr>
        <w:t xml:space="preserve">and a cemetery related to the settlement and the cave of </w:t>
      </w:r>
      <w:proofErr w:type="spellStart"/>
      <w:r w:rsidRPr="004A2B32">
        <w:rPr>
          <w:color w:val="000000" w:themeColor="text1"/>
        </w:rPr>
        <w:t>S</w:t>
      </w:r>
      <w:r w:rsidR="00222A78" w:rsidRPr="004A2B32">
        <w:rPr>
          <w:color w:val="000000" w:themeColor="text1"/>
        </w:rPr>
        <w:t>k</w:t>
      </w:r>
      <w:r w:rsidRPr="004A2B32">
        <w:rPr>
          <w:color w:val="000000" w:themeColor="text1"/>
        </w:rPr>
        <w:t>ot</w:t>
      </w:r>
      <w:r w:rsidR="00506A9E" w:rsidRPr="004A2B32">
        <w:rPr>
          <w:color w:val="000000" w:themeColor="text1"/>
        </w:rPr>
        <w:t>e</w:t>
      </w:r>
      <w:r w:rsidRPr="004A2B32">
        <w:rPr>
          <w:color w:val="000000" w:themeColor="text1"/>
        </w:rPr>
        <w:t>ini</w:t>
      </w:r>
      <w:proofErr w:type="spellEnd"/>
      <w:r w:rsidRPr="004A2B32">
        <w:rPr>
          <w:color w:val="000000" w:themeColor="text1"/>
        </w:rPr>
        <w:t xml:space="preserve"> (approximately 400m from </w:t>
      </w:r>
      <w:r w:rsidR="00C75955" w:rsidRPr="004A2B32">
        <w:rPr>
          <w:color w:val="000000" w:themeColor="text1"/>
        </w:rPr>
        <w:t>the cave</w:t>
      </w:r>
      <w:r w:rsidRPr="004A2B32">
        <w:rPr>
          <w:color w:val="000000" w:themeColor="text1"/>
        </w:rPr>
        <w:t xml:space="preserve">). The graves were dug in the ground and were of semicircular or </w:t>
      </w:r>
      <w:r w:rsidR="00222A78" w:rsidRPr="004A2B32">
        <w:rPr>
          <w:color w:val="000000" w:themeColor="text1"/>
        </w:rPr>
        <w:t>trapezoid</w:t>
      </w:r>
      <w:r w:rsidR="00C944A4" w:rsidRPr="004A2B32">
        <w:rPr>
          <w:color w:val="000000" w:themeColor="text1"/>
        </w:rPr>
        <w:t xml:space="preserve"> </w:t>
      </w:r>
      <w:r w:rsidRPr="004A2B32">
        <w:rPr>
          <w:color w:val="000000" w:themeColor="text1"/>
        </w:rPr>
        <w:t>shape. They were severely damaged by intense cultivation</w:t>
      </w:r>
      <w:r w:rsidR="00222A78" w:rsidRPr="004A2B32">
        <w:rPr>
          <w:color w:val="000000" w:themeColor="text1"/>
        </w:rPr>
        <w:t>, but</w:t>
      </w:r>
      <w:r w:rsidR="004F3D64" w:rsidRPr="004A2B32">
        <w:rPr>
          <w:color w:val="000000" w:themeColor="text1"/>
        </w:rPr>
        <w:t xml:space="preserve"> are typologically similar </w:t>
      </w:r>
      <w:r w:rsidRPr="004A2B32">
        <w:rPr>
          <w:color w:val="000000" w:themeColor="text1"/>
        </w:rPr>
        <w:t xml:space="preserve"> to those </w:t>
      </w:r>
      <w:r w:rsidR="004F3D64" w:rsidRPr="004A2B32">
        <w:rPr>
          <w:color w:val="000000" w:themeColor="text1"/>
        </w:rPr>
        <w:t>at</w:t>
      </w:r>
      <w:r w:rsidR="00C944A4" w:rsidRPr="004A2B32">
        <w:rPr>
          <w:color w:val="000000" w:themeColor="text1"/>
        </w:rPr>
        <w:t xml:space="preserve"> </w:t>
      </w:r>
      <w:proofErr w:type="spellStart"/>
      <w:r w:rsidRPr="004A2B32">
        <w:rPr>
          <w:color w:val="000000" w:themeColor="text1"/>
        </w:rPr>
        <w:t>Kephala</w:t>
      </w:r>
      <w:proofErr w:type="spellEnd"/>
      <w:r w:rsidR="00C944A4" w:rsidRPr="004A2B32">
        <w:rPr>
          <w:color w:val="000000" w:themeColor="text1"/>
        </w:rPr>
        <w:t xml:space="preserve"> </w:t>
      </w:r>
      <w:r w:rsidR="004F3D64" w:rsidRPr="004A2B32">
        <w:rPr>
          <w:color w:val="000000" w:themeColor="text1"/>
        </w:rPr>
        <w:t xml:space="preserve">on the Aegean island of </w:t>
      </w:r>
      <w:r w:rsidRPr="004A2B32">
        <w:rPr>
          <w:color w:val="000000" w:themeColor="text1"/>
        </w:rPr>
        <w:t>Kea</w:t>
      </w:r>
      <w:r w:rsidR="00B031D4" w:rsidRPr="004A2B32">
        <w:rPr>
          <w:color w:val="000000" w:themeColor="text1"/>
        </w:rPr>
        <w:fldChar w:fldCharType="begin" w:fldLock="1"/>
      </w:r>
      <w:r w:rsidR="00BE2180">
        <w:rPr>
          <w:color w:val="000000" w:themeColor="text1"/>
        </w:rPr>
        <w:instrText>ADDIN CSL_CITATION {"citationItems":[{"id":"ITEM-1","itemData":{"author":[{"dropping-particle":"","family":"Coleman","given":"J.","non-dropping-particle":"","parse-names":false,"suffix":""}],"id":"ITEM-1","issued":{"date-parts":[["1977"]]},"publisher":"Princeton University Press","title":"Keos I: Kephala. A Late Neolithic settlement and cemetery","type":"book"},"uris":["http://www.mendeley.com/documents/?uuid=27c68367-6233-433b-b86d-3a8f3e5bf4b6"]}],"mendeley":{"formattedCitation":"&lt;sup&gt;87&lt;/sup&gt;","plainTextFormattedCitation":"87","previouslyFormattedCitation":"&lt;sup&gt;87&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87</w:t>
      </w:r>
      <w:r w:rsidR="00B031D4" w:rsidRPr="004A2B32">
        <w:rPr>
          <w:color w:val="000000" w:themeColor="text1"/>
        </w:rPr>
        <w:fldChar w:fldCharType="end"/>
      </w:r>
      <w:r w:rsidRPr="004A2B32">
        <w:rPr>
          <w:color w:val="000000" w:themeColor="text1"/>
        </w:rPr>
        <w:t xml:space="preserve">. Most of the graves were not accompanied by grave goods, </w:t>
      </w:r>
      <w:r w:rsidR="004F3D64" w:rsidRPr="004A2B32">
        <w:rPr>
          <w:color w:val="000000" w:themeColor="text1"/>
        </w:rPr>
        <w:t xml:space="preserve">but </w:t>
      </w:r>
      <w:r w:rsidRPr="004A2B32">
        <w:rPr>
          <w:color w:val="000000" w:themeColor="text1"/>
        </w:rPr>
        <w:t>Late Neolithic II</w:t>
      </w:r>
      <w:r w:rsidR="004F3D64" w:rsidRPr="004A2B32">
        <w:rPr>
          <w:color w:val="000000" w:themeColor="text1"/>
        </w:rPr>
        <w:t xml:space="preserve"> pottery</w:t>
      </w:r>
      <w:r w:rsidRPr="004A2B32">
        <w:rPr>
          <w:color w:val="000000" w:themeColor="text1"/>
        </w:rPr>
        <w:t>, obsidian tools, and stone vessels (grinding stones) were found in close proximity. The lack of grave offerings inside the graves is a custom of the Late Neolithic II period also observed</w:t>
      </w:r>
      <w:r w:rsidR="004F3D64" w:rsidRPr="004A2B32">
        <w:rPr>
          <w:color w:val="000000" w:themeColor="text1"/>
        </w:rPr>
        <w:t xml:space="preserve"> at</w:t>
      </w:r>
      <w:r w:rsidR="00C944A4" w:rsidRPr="004A2B32">
        <w:rPr>
          <w:color w:val="000000" w:themeColor="text1"/>
        </w:rPr>
        <w:t xml:space="preserve"> </w:t>
      </w:r>
      <w:proofErr w:type="spellStart"/>
      <w:r w:rsidR="00C75955" w:rsidRPr="004A2B32">
        <w:rPr>
          <w:color w:val="000000" w:themeColor="text1"/>
        </w:rPr>
        <w:t>Yiali</w:t>
      </w:r>
      <w:proofErr w:type="spellEnd"/>
      <w:r w:rsidR="00C944A4" w:rsidRPr="004A2B32">
        <w:rPr>
          <w:color w:val="000000" w:themeColor="text1"/>
        </w:rPr>
        <w:t xml:space="preserve"> </w:t>
      </w:r>
      <w:r w:rsidR="004F3D64" w:rsidRPr="004A2B32">
        <w:rPr>
          <w:color w:val="000000" w:themeColor="text1"/>
        </w:rPr>
        <w:t>on</w:t>
      </w:r>
      <w:r w:rsidR="00C944A4" w:rsidRPr="004A2B32">
        <w:rPr>
          <w:color w:val="000000" w:themeColor="text1"/>
        </w:rPr>
        <w:t xml:space="preserve"> </w:t>
      </w:r>
      <w:r w:rsidRPr="004A2B32">
        <w:rPr>
          <w:color w:val="000000" w:themeColor="text1"/>
        </w:rPr>
        <w:t>Nis</w:t>
      </w:r>
      <w:r w:rsidR="00C75955" w:rsidRPr="004A2B32">
        <w:rPr>
          <w:color w:val="000000" w:themeColor="text1"/>
        </w:rPr>
        <w:t>s</w:t>
      </w:r>
      <w:r w:rsidRPr="004A2B32">
        <w:rPr>
          <w:color w:val="000000" w:themeColor="text1"/>
        </w:rPr>
        <w:t>iros</w:t>
      </w:r>
      <w:r w:rsidR="00B031D4" w:rsidRPr="004A2B32">
        <w:rPr>
          <w:color w:val="000000" w:themeColor="text1"/>
        </w:rPr>
        <w:fldChar w:fldCharType="begin" w:fldLock="1"/>
      </w:r>
      <w:r w:rsidR="00BE2180">
        <w:rPr>
          <w:color w:val="000000" w:themeColor="text1"/>
        </w:rPr>
        <w:instrText>ADDIN CSL_CITATION {"citationItems":[{"id":"ITEM-1","itemData":{"author":[{"dropping-particle":"","family":"Sampson","given":"A","non-dropping-particle":"","parse-names":false,"suffix":""}],"id":"ITEM-1","issued":{"date-parts":[["1988"]]},"title":"I neolithiki katoikisi sto Giali tis Nisirou","type":"article"},"uris":["http://www.mendeley.com/documents/?uuid=31197b93-531c-4e0e-b367-70d0c88da39d"]}],"mendeley":{"formattedCitation":"&lt;sup&gt;88&lt;/sup&gt;","plainTextFormattedCitation":"88","previouslyFormattedCitation":"&lt;sup&gt;88&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88</w:t>
      </w:r>
      <w:r w:rsidR="00B031D4" w:rsidRPr="004A2B32">
        <w:rPr>
          <w:color w:val="000000" w:themeColor="text1"/>
        </w:rPr>
        <w:fldChar w:fldCharType="end"/>
      </w:r>
      <w:r w:rsidR="001E3B31">
        <w:rPr>
          <w:color w:val="000000" w:themeColor="text1"/>
        </w:rPr>
        <w:t xml:space="preserve"> </w:t>
      </w:r>
      <w:r w:rsidRPr="004A2B32">
        <w:rPr>
          <w:color w:val="000000" w:themeColor="text1"/>
        </w:rPr>
        <w:t xml:space="preserve">and </w:t>
      </w:r>
      <w:proofErr w:type="spellStart"/>
      <w:r w:rsidRPr="004A2B32">
        <w:rPr>
          <w:color w:val="000000" w:themeColor="text1"/>
        </w:rPr>
        <w:t>Kephala</w:t>
      </w:r>
      <w:proofErr w:type="spellEnd"/>
      <w:r w:rsidR="00C944A4" w:rsidRPr="004A2B32">
        <w:rPr>
          <w:color w:val="000000" w:themeColor="text1"/>
        </w:rPr>
        <w:t xml:space="preserve"> </w:t>
      </w:r>
      <w:r w:rsidR="004F3D64" w:rsidRPr="004A2B32">
        <w:rPr>
          <w:color w:val="000000" w:themeColor="text1"/>
        </w:rPr>
        <w:t xml:space="preserve">on </w:t>
      </w:r>
      <w:r w:rsidRPr="004A2B32">
        <w:rPr>
          <w:color w:val="000000" w:themeColor="text1"/>
        </w:rPr>
        <w:t>Kea</w:t>
      </w:r>
      <w:r w:rsidR="004F3D64" w:rsidRPr="004A2B32">
        <w:rPr>
          <w:color w:val="000000" w:themeColor="text1"/>
        </w:rPr>
        <w:t>.</w:t>
      </w:r>
    </w:p>
    <w:p w14:paraId="2EED300B" w14:textId="15B05D29" w:rsidR="00194C56" w:rsidRDefault="00194C56" w:rsidP="00124D51">
      <w:pPr>
        <w:jc w:val="both"/>
        <w:rPr>
          <w:bCs/>
          <w:color w:val="000000" w:themeColor="text1"/>
        </w:rPr>
      </w:pPr>
      <w:r w:rsidRPr="004A2B32">
        <w:rPr>
          <w:color w:val="000000" w:themeColor="text1"/>
        </w:rPr>
        <w:tab/>
        <w:t xml:space="preserve">In the cemetery of </w:t>
      </w:r>
      <w:proofErr w:type="spellStart"/>
      <w:r w:rsidRPr="004A2B32">
        <w:rPr>
          <w:color w:val="000000" w:themeColor="text1"/>
        </w:rPr>
        <w:t>Tharrounia</w:t>
      </w:r>
      <w:proofErr w:type="spellEnd"/>
      <w:r w:rsidRPr="004A2B32">
        <w:rPr>
          <w:color w:val="000000" w:themeColor="text1"/>
        </w:rPr>
        <w:t xml:space="preserve"> most</w:t>
      </w:r>
      <w:r w:rsidR="004F3D64" w:rsidRPr="004A2B32">
        <w:rPr>
          <w:color w:val="000000" w:themeColor="text1"/>
        </w:rPr>
        <w:t xml:space="preserve"> of</w:t>
      </w:r>
      <w:r w:rsidRPr="004A2B32">
        <w:rPr>
          <w:color w:val="000000" w:themeColor="text1"/>
        </w:rPr>
        <w:t xml:space="preserve"> the buried individuals were aged between 35-40 </w:t>
      </w:r>
      <w:r w:rsidR="004F3D64" w:rsidRPr="004A2B32">
        <w:rPr>
          <w:color w:val="000000" w:themeColor="text1"/>
        </w:rPr>
        <w:t>years of age</w:t>
      </w:r>
      <w:r w:rsidRPr="004A2B32">
        <w:rPr>
          <w:color w:val="000000" w:themeColor="text1"/>
        </w:rPr>
        <w:t>. Grave</w:t>
      </w:r>
      <w:r w:rsidR="004F3D64" w:rsidRPr="004A2B32">
        <w:rPr>
          <w:color w:val="000000" w:themeColor="text1"/>
        </w:rPr>
        <w:t>s</w:t>
      </w:r>
      <w:r w:rsidRPr="004A2B32">
        <w:rPr>
          <w:color w:val="000000" w:themeColor="text1"/>
        </w:rPr>
        <w:t xml:space="preserve"> 3 and 5 were smaller and contained only </w:t>
      </w:r>
      <w:r w:rsidR="00BB7D47" w:rsidRPr="004A2B32">
        <w:rPr>
          <w:color w:val="000000" w:themeColor="text1"/>
        </w:rPr>
        <w:t>crania</w:t>
      </w:r>
      <w:r w:rsidRPr="004A2B32">
        <w:rPr>
          <w:color w:val="000000" w:themeColor="text1"/>
        </w:rPr>
        <w:t xml:space="preserve">, </w:t>
      </w:r>
      <w:r w:rsidR="00BB7D47" w:rsidRPr="004A2B32">
        <w:rPr>
          <w:color w:val="000000" w:themeColor="text1"/>
        </w:rPr>
        <w:t>from</w:t>
      </w:r>
      <w:r w:rsidRPr="004A2B32">
        <w:rPr>
          <w:color w:val="000000" w:themeColor="text1"/>
        </w:rPr>
        <w:t xml:space="preserve"> secondary burials. Similar graves were found in </w:t>
      </w:r>
      <w:proofErr w:type="spellStart"/>
      <w:r w:rsidR="00BB7D47" w:rsidRPr="004A2B32">
        <w:rPr>
          <w:color w:val="000000" w:themeColor="text1"/>
        </w:rPr>
        <w:t>Kalithies</w:t>
      </w:r>
      <w:proofErr w:type="spellEnd"/>
      <w:r w:rsidR="00C944A4" w:rsidRPr="004A2B32">
        <w:rPr>
          <w:color w:val="000000" w:themeColor="text1"/>
        </w:rPr>
        <w:t xml:space="preserve"> C</w:t>
      </w:r>
      <w:r w:rsidR="00BB7D47" w:rsidRPr="004A2B32">
        <w:rPr>
          <w:color w:val="000000" w:themeColor="text1"/>
        </w:rPr>
        <w:t xml:space="preserve">ave on </w:t>
      </w:r>
      <w:r w:rsidRPr="004A2B32">
        <w:rPr>
          <w:color w:val="000000" w:themeColor="text1"/>
        </w:rPr>
        <w:t>Rhodes</w:t>
      </w:r>
      <w:r w:rsidR="00B031D4" w:rsidRPr="004A2B32">
        <w:rPr>
          <w:color w:val="000000" w:themeColor="text1"/>
        </w:rPr>
        <w:fldChar w:fldCharType="begin" w:fldLock="1"/>
      </w:r>
      <w:r w:rsidR="00BE2180">
        <w:rPr>
          <w:color w:val="000000" w:themeColor="text1"/>
        </w:rPr>
        <w:instrText>ADDIN CSL_CITATION {"citationItems":[{"id":"ITEM-1","itemData":{"author":[{"dropping-particle":"","family":"Sampson","given":"A","non-dropping-particle":"","parse-names":false,"suffix":""}],"id":"ITEM-1","issued":{"date-parts":[["1987"]]},"publisher":"TAPA","publisher-place":"Athens","title":"I Neolithiki periodos sta Dodekanisa","type":"article"},"uris":["http://www.mendeley.com/documents/?uuid=069e2b63-e857-4d09-a627-94919271f507"]}],"mendeley":{"formattedCitation":"&lt;sup&gt;89&lt;/sup&gt;","plainTextFormattedCitation":"89","previouslyFormattedCitation":"&lt;sup&gt;89&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89</w:t>
      </w:r>
      <w:r w:rsidR="00B031D4" w:rsidRPr="004A2B32">
        <w:rPr>
          <w:color w:val="000000" w:themeColor="text1"/>
        </w:rPr>
        <w:fldChar w:fldCharType="end"/>
      </w:r>
      <w:r w:rsidR="00FD3AD1" w:rsidRPr="004A2B32">
        <w:rPr>
          <w:color w:val="000000" w:themeColor="text1"/>
        </w:rPr>
        <w:t xml:space="preserve">. </w:t>
      </w:r>
      <w:r w:rsidRPr="004A2B32">
        <w:rPr>
          <w:color w:val="000000" w:themeColor="text1"/>
        </w:rPr>
        <w:t xml:space="preserve">The anthropological analysis revealed that the population was homogenous with </w:t>
      </w:r>
      <w:r w:rsidR="00BB7D47" w:rsidRPr="004A2B32">
        <w:rPr>
          <w:color w:val="000000" w:themeColor="text1"/>
        </w:rPr>
        <w:t xml:space="preserve">a </w:t>
      </w:r>
      <w:r w:rsidRPr="004A2B32">
        <w:rPr>
          <w:color w:val="000000" w:themeColor="text1"/>
        </w:rPr>
        <w:t xml:space="preserve">strange </w:t>
      </w:r>
      <w:r w:rsidR="00BB7D47" w:rsidRPr="004A2B32">
        <w:rPr>
          <w:color w:val="000000" w:themeColor="text1"/>
        </w:rPr>
        <w:t>cranial</w:t>
      </w:r>
      <w:r w:rsidR="00C944A4" w:rsidRPr="004A2B32">
        <w:rPr>
          <w:color w:val="000000" w:themeColor="text1"/>
        </w:rPr>
        <w:t xml:space="preserve"> </w:t>
      </w:r>
      <w:r w:rsidRPr="004A2B32">
        <w:rPr>
          <w:color w:val="000000" w:themeColor="text1"/>
        </w:rPr>
        <w:t xml:space="preserve">morphology, while the majority of the adult population suffered from osteoarthritis and one skeleton </w:t>
      </w:r>
      <w:r w:rsidR="00BB7D47" w:rsidRPr="004A2B32">
        <w:rPr>
          <w:color w:val="000000" w:themeColor="text1"/>
        </w:rPr>
        <w:t>bore</w:t>
      </w:r>
      <w:r w:rsidRPr="004A2B32">
        <w:rPr>
          <w:color w:val="000000" w:themeColor="text1"/>
        </w:rPr>
        <w:t xml:space="preserve"> stress marks related to intensive </w:t>
      </w:r>
      <w:proofErr w:type="spellStart"/>
      <w:r w:rsidRPr="004A2B32">
        <w:rPr>
          <w:color w:val="000000" w:themeColor="text1"/>
        </w:rPr>
        <w:t>labour</w:t>
      </w:r>
      <w:proofErr w:type="spellEnd"/>
      <w:r w:rsidRPr="004A2B32">
        <w:rPr>
          <w:color w:val="000000" w:themeColor="text1"/>
        </w:rPr>
        <w:t>. The population consum</w:t>
      </w:r>
      <w:r w:rsidR="00BB7D47" w:rsidRPr="004A2B32">
        <w:rPr>
          <w:color w:val="000000" w:themeColor="text1"/>
        </w:rPr>
        <w:t>ed</w:t>
      </w:r>
      <w:r w:rsidRPr="004A2B32">
        <w:rPr>
          <w:color w:val="000000" w:themeColor="text1"/>
        </w:rPr>
        <w:t xml:space="preserve"> animal resources and had signs of dental attrition with no signs of caries</w:t>
      </w:r>
      <w:r w:rsidR="00B031D4" w:rsidRPr="004A2B32">
        <w:rPr>
          <w:color w:val="000000" w:themeColor="text1"/>
        </w:rPr>
        <w:fldChar w:fldCharType="begin" w:fldLock="1"/>
      </w:r>
      <w:r w:rsidR="00BE2180">
        <w:rPr>
          <w:color w:val="000000" w:themeColor="text1"/>
        </w:rPr>
        <w:instrText>ADDIN CSL_CITATION {"citationItems":[{"id":"ITEM-1","itemData":{"author":[{"dropping-particle":"","family":"Stravopodi","given":"E","non-dropping-particle":"","parse-names":false,"suffix":""}],"container-title":"Scoteini Tharrounion. To spileo, o oikismos kai to nekrotapheio","id":"ITEM-1","issued":{"date-parts":[["1993"]]},"publisher":"Hellenic Ministry of Culture","title":"An anthropological assessment of the human findings from the cave and the cemetery","type":"chapter"},"uris":["http://www.mendeley.com/documents/?uuid=2a2ee174-6f0a-46a6-90fe-3dfa049a880c"]}],"mendeley":{"formattedCitation":"&lt;sup&gt;90&lt;/sup&gt;","plainTextFormattedCitation":"90","previouslyFormattedCitation":"&lt;sup&gt;90&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90</w:t>
      </w:r>
      <w:r w:rsidR="00B031D4" w:rsidRPr="004A2B32">
        <w:rPr>
          <w:color w:val="000000" w:themeColor="text1"/>
        </w:rPr>
        <w:fldChar w:fldCharType="end"/>
      </w:r>
      <w:r w:rsidR="0036468F" w:rsidRPr="004A2B32">
        <w:rPr>
          <w:color w:val="000000" w:themeColor="text1"/>
        </w:rPr>
        <w:t>.</w:t>
      </w:r>
      <w:r w:rsidRPr="004A2B32">
        <w:rPr>
          <w:color w:val="000000" w:themeColor="text1"/>
        </w:rPr>
        <w:t xml:space="preserve"> In the cemetery of </w:t>
      </w:r>
      <w:proofErr w:type="spellStart"/>
      <w:r w:rsidRPr="004A2B32">
        <w:rPr>
          <w:color w:val="000000" w:themeColor="text1"/>
        </w:rPr>
        <w:t>Tharrounia</w:t>
      </w:r>
      <w:proofErr w:type="spellEnd"/>
      <w:r w:rsidRPr="004A2B32">
        <w:rPr>
          <w:color w:val="000000" w:themeColor="text1"/>
        </w:rPr>
        <w:t xml:space="preserve"> the majority of individuals were determined as female while the burials inside the cave of </w:t>
      </w:r>
      <w:proofErr w:type="spellStart"/>
      <w:r w:rsidRPr="004A2B32">
        <w:rPr>
          <w:color w:val="000000" w:themeColor="text1"/>
        </w:rPr>
        <w:t>S</w:t>
      </w:r>
      <w:r w:rsidR="00BB7D47" w:rsidRPr="004A2B32">
        <w:rPr>
          <w:color w:val="000000" w:themeColor="text1"/>
        </w:rPr>
        <w:t>k</w:t>
      </w:r>
      <w:r w:rsidRPr="004A2B32">
        <w:rPr>
          <w:color w:val="000000" w:themeColor="text1"/>
        </w:rPr>
        <w:t>ot</w:t>
      </w:r>
      <w:r w:rsidR="001E3B31">
        <w:rPr>
          <w:color w:val="000000" w:themeColor="text1"/>
        </w:rPr>
        <w:t>e</w:t>
      </w:r>
      <w:r w:rsidRPr="004A2B32">
        <w:rPr>
          <w:color w:val="000000" w:themeColor="text1"/>
        </w:rPr>
        <w:t>ini</w:t>
      </w:r>
      <w:proofErr w:type="spellEnd"/>
      <w:r w:rsidRPr="004A2B32">
        <w:rPr>
          <w:color w:val="000000" w:themeColor="text1"/>
        </w:rPr>
        <w:t xml:space="preserve"> belonged to younger individuals. In the present study we </w:t>
      </w:r>
      <w:proofErr w:type="spellStart"/>
      <w:r w:rsidRPr="004A2B32">
        <w:rPr>
          <w:color w:val="000000" w:themeColor="text1"/>
        </w:rPr>
        <w:t>analysed</w:t>
      </w:r>
      <w:proofErr w:type="spellEnd"/>
      <w:r w:rsidRPr="004A2B32">
        <w:rPr>
          <w:color w:val="000000" w:themeColor="text1"/>
        </w:rPr>
        <w:t xml:space="preserve"> long bones from three individuals (Tha2, Tha3, Tha4) and </w:t>
      </w:r>
      <w:r w:rsidR="004E1AE1" w:rsidRPr="004A2B32">
        <w:rPr>
          <w:color w:val="000000" w:themeColor="text1"/>
        </w:rPr>
        <w:t xml:space="preserve">one petrous bone </w:t>
      </w:r>
      <w:r w:rsidRPr="004A2B32">
        <w:rPr>
          <w:color w:val="000000" w:themeColor="text1"/>
        </w:rPr>
        <w:t>(Tha1)</w:t>
      </w:r>
      <w:r w:rsidR="00C944A4" w:rsidRPr="004A2B32">
        <w:rPr>
          <w:color w:val="000000" w:themeColor="text1"/>
        </w:rPr>
        <w:t xml:space="preserve"> </w:t>
      </w:r>
      <w:r w:rsidR="004E1AE1" w:rsidRPr="004A2B32">
        <w:rPr>
          <w:bCs/>
          <w:color w:val="000000" w:themeColor="text1"/>
        </w:rPr>
        <w:t>(Table S1)</w:t>
      </w:r>
      <w:r w:rsidRPr="004A2B32">
        <w:rPr>
          <w:bCs/>
          <w:color w:val="000000" w:themeColor="text1"/>
        </w:rPr>
        <w:t>.</w:t>
      </w:r>
    </w:p>
    <w:p w14:paraId="3E8DF9BF" w14:textId="67B2ECBA" w:rsidR="004C0420" w:rsidRPr="00435D75" w:rsidRDefault="004C0420" w:rsidP="00124D51">
      <w:pPr>
        <w:jc w:val="both"/>
        <w:rPr>
          <w:bCs/>
          <w:color w:val="000000" w:themeColor="text1"/>
        </w:rPr>
      </w:pPr>
    </w:p>
    <w:p w14:paraId="56307B54" w14:textId="71B779A7" w:rsidR="004C0420" w:rsidRPr="00435D75" w:rsidRDefault="004C0420" w:rsidP="00124D51">
      <w:pPr>
        <w:jc w:val="both"/>
        <w:rPr>
          <w:b/>
          <w:color w:val="000000" w:themeColor="text1"/>
          <w:sz w:val="26"/>
          <w:szCs w:val="26"/>
          <w:highlight w:val="yellow"/>
        </w:rPr>
      </w:pPr>
      <w:r w:rsidRPr="00435D75">
        <w:rPr>
          <w:b/>
          <w:color w:val="000000" w:themeColor="text1"/>
          <w:sz w:val="26"/>
          <w:szCs w:val="26"/>
        </w:rPr>
        <w:t xml:space="preserve">GERMANY </w:t>
      </w:r>
    </w:p>
    <w:p w14:paraId="20459758" w14:textId="1EFEFB5F" w:rsidR="004C0420" w:rsidRPr="00435D75" w:rsidRDefault="004C0420" w:rsidP="00D820C9">
      <w:pPr>
        <w:pStyle w:val="2"/>
        <w:rPr>
          <w:b/>
          <w:bCs/>
          <w:color w:val="000000" w:themeColor="text1"/>
        </w:rPr>
      </w:pPr>
      <w:r w:rsidRPr="00435D75">
        <w:rPr>
          <w:b/>
          <w:bCs/>
          <w:color w:val="000000" w:themeColor="text1"/>
        </w:rPr>
        <w:t xml:space="preserve">Neolithic Period </w:t>
      </w:r>
    </w:p>
    <w:p w14:paraId="02955C01" w14:textId="0F510627" w:rsidR="00D457B3" w:rsidRPr="00435D75" w:rsidRDefault="004C0420" w:rsidP="004C0420">
      <w:pPr>
        <w:jc w:val="both"/>
        <w:rPr>
          <w:iCs/>
          <w:color w:val="000000" w:themeColor="text1"/>
        </w:rPr>
      </w:pPr>
      <w:r w:rsidRPr="00435D75">
        <w:rPr>
          <w:b/>
          <w:iCs/>
          <w:color w:val="000000" w:themeColor="text1"/>
        </w:rPr>
        <w:t>Dillingen-</w:t>
      </w:r>
      <w:proofErr w:type="spellStart"/>
      <w:r w:rsidRPr="00435D75">
        <w:rPr>
          <w:b/>
          <w:iCs/>
          <w:color w:val="000000" w:themeColor="text1"/>
        </w:rPr>
        <w:t>Steinheim</w:t>
      </w:r>
      <w:proofErr w:type="spellEnd"/>
    </w:p>
    <w:p w14:paraId="685328C4" w14:textId="32818031" w:rsidR="004C0420" w:rsidRPr="00435D75" w:rsidRDefault="004C0420" w:rsidP="004C0420">
      <w:pPr>
        <w:jc w:val="both"/>
        <w:rPr>
          <w:color w:val="000000" w:themeColor="text1"/>
        </w:rPr>
      </w:pPr>
      <w:r w:rsidRPr="00435D75">
        <w:rPr>
          <w:color w:val="000000" w:themeColor="text1"/>
        </w:rPr>
        <w:t xml:space="preserve">Located on a high terrace with thick loess soils, between the Danube and the </w:t>
      </w:r>
      <w:proofErr w:type="spellStart"/>
      <w:r w:rsidRPr="00435D75">
        <w:rPr>
          <w:color w:val="000000" w:themeColor="text1"/>
        </w:rPr>
        <w:t>Egau</w:t>
      </w:r>
      <w:proofErr w:type="spellEnd"/>
      <w:r w:rsidRPr="00435D75">
        <w:rPr>
          <w:color w:val="000000" w:themeColor="text1"/>
        </w:rPr>
        <w:t xml:space="preserve"> rivers, the LBK site of ‘</w:t>
      </w:r>
      <w:proofErr w:type="spellStart"/>
      <w:r w:rsidRPr="00435D75">
        <w:rPr>
          <w:color w:val="000000" w:themeColor="text1"/>
        </w:rPr>
        <w:t>Steinheim</w:t>
      </w:r>
      <w:proofErr w:type="spellEnd"/>
      <w:r w:rsidRPr="00435D75">
        <w:rPr>
          <w:color w:val="000000" w:themeColor="text1"/>
        </w:rPr>
        <w:t>’ near Dillingen, Swabia, was excavated in 1987 by the Bavarian State Office for the Preservation of Monuments</w:t>
      </w:r>
      <w:r w:rsidR="00C30F41" w:rsidRPr="00435D75">
        <w:rPr>
          <w:color w:val="000000" w:themeColor="text1"/>
        </w:rPr>
        <w:fldChar w:fldCharType="begin" w:fldLock="1"/>
      </w:r>
      <w:r w:rsidR="00BE2180" w:rsidRPr="00435D75">
        <w:rPr>
          <w:color w:val="000000" w:themeColor="text1"/>
        </w:rPr>
        <w:instrText>ADDIN CSL_CITATION {"citationItems":[{"id":"ITEM-1","itemData":{"author":[{"dropping-particle":"","family":"Nieszery","given":"N","non-dropping-particle":"","parse-names":false,"suffix":""}],"id":"ITEM-1","issued":{"date-parts":[["1995"]]},"publisher":"verlag Marie Leidorf","title":"Linearbandkeramische Gräberfelder in Bayern","type":"book"},"uris":["http://www.mendeley.com/documents/?uuid=49602ee6-e691-40c7-9645-63b952c20eb6"]},{"id":"ITEM-2","itemData":{"author":[{"dropping-particle":"","family":"Dietrich","given":"H","non-dropping-particle":"","parse-names":false,"suffix":""},{"dropping-particle":"","family":"Kociumaka","given":"C","non-dropping-particle":"","parse-names":false,"suffix":""}],"container-title":"Das Archäologische Jahr in Bayern","id":"ITEM-2","issued":{"date-parts":[["2001"]]},"page":"32-35","title":"Jungsteinzeitliche Befunde aus Steinheim: Stadt und Landkreis Dillingen ad Donau, Schwaben","type":"article-journal"},"uris":["http://www.mendeley.com/documents/?uuid=b96d130f-6c77-4a33-afd1-59fce6db1890"]}],"mendeley":{"formattedCitation":"&lt;sup&gt;91,92&lt;/sup&gt;","plainTextFormattedCitation":"91,92","previouslyFormattedCitation":"&lt;sup&gt;91,92&lt;/sup&gt;"},"properties":{"noteIndex":0},"schema":"https://github.com/citation-style-language/schema/raw/master/csl-citation.json"}</w:instrText>
      </w:r>
      <w:r w:rsidR="00C30F41" w:rsidRPr="00435D75">
        <w:rPr>
          <w:color w:val="000000" w:themeColor="text1"/>
        </w:rPr>
        <w:fldChar w:fldCharType="separate"/>
      </w:r>
      <w:r w:rsidR="00BE2180" w:rsidRPr="00435D75">
        <w:rPr>
          <w:noProof/>
          <w:color w:val="000000" w:themeColor="text1"/>
          <w:vertAlign w:val="superscript"/>
        </w:rPr>
        <w:t>91,92</w:t>
      </w:r>
      <w:r w:rsidR="00C30F41" w:rsidRPr="00435D75">
        <w:rPr>
          <w:color w:val="000000" w:themeColor="text1"/>
        </w:rPr>
        <w:fldChar w:fldCharType="end"/>
      </w:r>
      <w:r w:rsidRPr="00435D75">
        <w:rPr>
          <w:color w:val="000000" w:themeColor="text1"/>
        </w:rPr>
        <w:t>. The site consists of a short-lived LBK settlement possibly enclosed by a ditch. Two groups of burials were reported for this site, a small burial cluster, comprising up to 27 early Neolithic graves, some distance away from the settlement</w:t>
      </w:r>
      <w:r w:rsidR="00C30F41" w:rsidRPr="00435D75">
        <w:rPr>
          <w:color w:val="000000" w:themeColor="text1"/>
        </w:rPr>
        <w:fldChar w:fldCharType="begin" w:fldLock="1"/>
      </w:r>
      <w:r w:rsidR="00BE2180" w:rsidRPr="00435D75">
        <w:rPr>
          <w:color w:val="000000" w:themeColor="text1"/>
        </w:rPr>
        <w:instrText>ADDIN CSL_CITATION {"citationItems":[{"id":"ITEM-1","itemData":{"author":[{"dropping-particle":"","family":"Nieszery","given":"N","non-dropping-particle":"","parse-names":false,"suffix":""}],"id":"ITEM-1","issued":{"date-parts":[["1995"]]},"publisher":"verlag Marie Leidorf","title":"Linearbandkeramische Gräberfelder in Bayern","type":"book"},"uris":["http://www.mendeley.com/documents/?uuid=49602ee6-e691-40c7-9645-63b952c20eb6"]}],"mendeley":{"formattedCitation":"&lt;sup&gt;91&lt;/sup&gt;","plainTextFormattedCitation":"91","previouslyFormattedCitation":"&lt;sup&gt;91&lt;/sup&gt;"},"properties":{"noteIndex":0},"schema":"https://github.com/citation-style-language/schema/raw/master/csl-citation.json"}</w:instrText>
      </w:r>
      <w:r w:rsidR="00C30F41" w:rsidRPr="00435D75">
        <w:rPr>
          <w:color w:val="000000" w:themeColor="text1"/>
        </w:rPr>
        <w:fldChar w:fldCharType="separate"/>
      </w:r>
      <w:r w:rsidR="00BE2180" w:rsidRPr="00435D75">
        <w:rPr>
          <w:noProof/>
          <w:color w:val="000000" w:themeColor="text1"/>
          <w:vertAlign w:val="superscript"/>
        </w:rPr>
        <w:t>91</w:t>
      </w:r>
      <w:r w:rsidR="00C30F41" w:rsidRPr="00435D75">
        <w:rPr>
          <w:color w:val="000000" w:themeColor="text1"/>
        </w:rPr>
        <w:fldChar w:fldCharType="end"/>
      </w:r>
      <w:r w:rsidR="00C30F41" w:rsidRPr="00435D75">
        <w:rPr>
          <w:color w:val="000000" w:themeColor="text1"/>
        </w:rPr>
        <w:t xml:space="preserve"> </w:t>
      </w:r>
      <w:r w:rsidRPr="00435D75">
        <w:rPr>
          <w:color w:val="000000" w:themeColor="text1"/>
        </w:rPr>
        <w:lastRenderedPageBreak/>
        <w:t>and a group of regular graves within the ditch</w:t>
      </w:r>
      <w:r w:rsidR="00C30F41" w:rsidRPr="00435D75">
        <w:rPr>
          <w:color w:val="000000" w:themeColor="text1"/>
        </w:rPr>
        <w:fldChar w:fldCharType="begin" w:fldLock="1"/>
      </w:r>
      <w:r w:rsidR="00BE2180" w:rsidRPr="00435D75">
        <w:rPr>
          <w:color w:val="000000" w:themeColor="text1"/>
        </w:rPr>
        <w:instrText>ADDIN CSL_CITATION {"citationItems":[{"id":"ITEM-1","itemData":{"DOI":"https://doi.org/10.1016/j.cell.2022.04.008","ISSN":"0092-8674","abstract":"Summary The precise genetic origins of the first Neolithic farming populations in Europe and Southwest Asia, as well as the processes and the timing of their differentiation, remain largely unknown. Demogenomic modeling of high-quality ancient genomes reveals that the early farmers of Anatolia and Europe emerged from a multiphase mixing of a Southwest Asian population with a strongly bottlenecked western hunter-gatherer population after the last glacial maximum. Moreover, the ancestors of the first farmers of Europe and Anatolia went through a period of extreme genetic drift during their westward range expansion, contributing highly to their genetic distinctiveness. This modeling elucidates the demographic processes at the root of the Neolithic transition and leads to a spatial interpretation of the population history of Southwest Asia and Europe during the late Pleistocene and early Holocene.","author":[{"dropping-particle":"","family":"Marchi","given":"Nina","non-dropping-particle":"","parse-names":false,"suffix":""},{"dropping-particle":"","family":"Winkelbach","given":"Laura","non-dropping-particle":"","parse-names":false,"suffix":""},{"dropping-particle":"","family":"Schulz","given":"Ilektra","non-dropping-particle":"","parse-names":false,"suffix":""},{"dropping-particle":"","family":"Brami","given":"Maxime","non-dropping-particle":"","parse-names":false,"suffix":""},{"dropping-particle":"","family":"Hofmanová","given":"Zuzana","non-dropping-particle":"","parse-names":false,"suffix":""},{"dropping-particle":"","family":"Blöcher","given":"Jens","non-dropping-particle":"","parse-names":false,"suffix":""},{"dropping-particle":"","family":"Reyna-Blanco","given":"Carlos S","non-dropping-particle":"","parse-names":false,"suffix":""},{"dropping-particle":"","family":"Diekmann","given":"Yoan","non-dropping-particle":"","parse-names":false,"suffix":""},{"dropping-particle":"","family":"Thiéry","given":"Alexandre","non-dropping-particle":"","parse-names":false,"suffix":""},{"dropping-particle":"","family":"Kapopoulou","given":"Adamandia","non-dropping-particle":"","parse-names":false,"suffix":""},{"dropping-particle":"","family":"Link","given":"Vivian","non-dropping-particle":"","parse-names":false,"suffix":""},{"dropping-particle":"","family":"Piuz","given":"Valérie","non-dropping-particle":"","parse-names":false,"suffix":""},{"dropping-particle":"","family":"Kreutzer","given":"Susanne","non-dropping-particle":"","parse-names":false,"suffix":""},{"dropping-particle":"","family":"Figarska","given":"Sylwia M","non-dropping-particle":"","parse-names":false,"suffix":""},{"dropping-particle":"","family":"Ganiatsou","given":"Elissavet","non-dropping-particle":"","parse-names":false,"suffix":""},{"dropping-particle":"","family":"Pukaj","given":"Albert","non-dropping-particle":"","parse-names":false,"suffix":""},{"dropping-particle":"","family":"Struck","given":"Travis J","non-dropping-particle":"","parse-names":false,"suffix":""},{"dropping-particle":"","family":"Gutenkunst","given":"Ryan N","non-dropping-particle":"","parse-names":false,"suffix":""},{"dropping-particle":"","family":"Karul","given":"Necmi","non-dropping-particle":"","parse-names":false,"suffix":""},{"dropping-particle":"","family":"Gerritsen","given":"Fokke","non-dropping-particle":"","parse-names":false,"suffix":""},{"dropping-particle":"","family":"Pechtl","given":"Joachim","non-dropping-particle":"","parse-names":false,"suffix":""},{"dropping-particle":"","family":"Peters","given":"Joris","non-dropping-particle":"","parse-names":false,"suffix":""},{"dropping-particle":"","family":"Zeeb-Lanz","given":"Andrea","non-dropping-particle":"","parse-names":false,"suffix":""},{"dropping-particle":"","family":"Lenneis","given":"Eva","non-dropping-particle":"","parse-names":false,"suffix":""},{"dropping-particle":"","family":"Teschler-Nicola","given":"Maria","non-dropping-particle":"","parse-names":false,"suffix":""},{"dropping-particle":"","family":"Triantaphyllou","given":"Sevasti","non-dropping-particle":"","parse-names":false,"suffix":""},{"dropping-particle":"","family":"Stefanović","given":"Sofija","non-dropping-particle":"","parse-names":false,"suffix":""},{"dropping-particle":"","family":"Papageorgopoulou","given":"Christina","non-dropping-particle":"","parse-names":false,"suffix":""},{"dropping-particle":"","family":"Wegmann","given":"Daniel","non-dropping-particle":"","parse-names":false,"suffix":""},{"dropping-particle":"","family":"Burger","given":"Joachim","non-dropping-particle":"","parse-names":false,"suffix":""},{"dropping-particle":"","family":"Excoffier","given":"Laurent","non-dropping-particle":"","parse-names":false,"suffix":""}],"container-title":"Cell","id":"ITEM-1","issue":"11","issued":{"date-parts":[["2022"]]},"page":"1842-1859.e18","title":"The genomic origins of the world’s first farmers","type":"article-journal","volume":"185"},"uris":["http://www.mendeley.com/documents/?uuid=00578f64-9854-4e7a-ae7a-506dd393f8c6"]}],"mendeley":{"formattedCitation":"&lt;sup&gt;93&lt;/sup&gt;","plainTextFormattedCitation":"93","previouslyFormattedCitation":"&lt;sup&gt;93&lt;/sup&gt;"},"properties":{"noteIndex":0},"schema":"https://github.com/citation-style-language/schema/raw/master/csl-citation.json"}</w:instrText>
      </w:r>
      <w:r w:rsidR="00C30F41" w:rsidRPr="00435D75">
        <w:rPr>
          <w:color w:val="000000" w:themeColor="text1"/>
        </w:rPr>
        <w:fldChar w:fldCharType="separate"/>
      </w:r>
      <w:r w:rsidR="00BE2180" w:rsidRPr="00435D75">
        <w:rPr>
          <w:noProof/>
          <w:color w:val="000000" w:themeColor="text1"/>
          <w:vertAlign w:val="superscript"/>
        </w:rPr>
        <w:t>93</w:t>
      </w:r>
      <w:r w:rsidR="00C30F41" w:rsidRPr="00435D75">
        <w:rPr>
          <w:color w:val="000000" w:themeColor="text1"/>
        </w:rPr>
        <w:fldChar w:fldCharType="end"/>
      </w:r>
      <w:r w:rsidRPr="00435D75">
        <w:rPr>
          <w:color w:val="000000" w:themeColor="text1"/>
        </w:rPr>
        <w:t xml:space="preserve">. As such, formal inhumations in LBK ditches are common in southern Germany; they did not result from a massacre. The individual sampled (Dil16) comes from the ditch and represents an </w:t>
      </w:r>
      <w:proofErr w:type="gramStart"/>
      <w:r w:rsidRPr="00435D75">
        <w:rPr>
          <w:color w:val="000000" w:themeColor="text1"/>
        </w:rPr>
        <w:t>11-13 year old</w:t>
      </w:r>
      <w:proofErr w:type="gramEnd"/>
      <w:r w:rsidRPr="00435D75">
        <w:rPr>
          <w:color w:val="000000" w:themeColor="text1"/>
        </w:rPr>
        <w:t>, genetically male. The new radiocarbon date obtained from this skeleton (MAMS-46039: 6,200 ± 25 BP, 7,235-6,998 cal. BP at 2σ) confirms that the ditch was infilled during an ‘older LBK’ phase, ca. 7,150-7,050 BP</w:t>
      </w:r>
      <w:r w:rsidR="00C30F41" w:rsidRPr="00435D75">
        <w:rPr>
          <w:color w:val="000000" w:themeColor="text1"/>
        </w:rPr>
        <w:fldChar w:fldCharType="begin" w:fldLock="1"/>
      </w:r>
      <w:r w:rsidR="00BE2180" w:rsidRPr="00435D75">
        <w:rPr>
          <w:color w:val="000000" w:themeColor="text1"/>
        </w:rPr>
        <w:instrText>ADDIN CSL_CITATION {"citationItems":[{"id":"ITEM-1","itemData":{"author":[{"dropping-particle":"","family":"Pechtl","given":"J","non-dropping-particle":"","parse-names":false,"suffix":""}],"container-title":"Denkmalpflege Informationen","id":"ITEM-1","issued":{"date-parts":[["2015"]]},"page":"14-17","title":"Verorten in Raum, Zeit und Umwelt. Ein Forschungsprojekt zur ersten bäuerlichen Kultur in Bayerisch-Schwaben","type":"article-journal","volume":"161"},"uris":["http://www.mendeley.com/documents/?uuid=2c908823-cf77-41db-941d-0938194e50ba"]}],"mendeley":{"formattedCitation":"&lt;sup&gt;94&lt;/sup&gt;","plainTextFormattedCitation":"94","previouslyFormattedCitation":"&lt;sup&gt;94&lt;/sup&gt;"},"properties":{"noteIndex":0},"schema":"https://github.com/citation-style-language/schema/raw/master/csl-citation.json"}</w:instrText>
      </w:r>
      <w:r w:rsidR="00C30F41" w:rsidRPr="00435D75">
        <w:rPr>
          <w:color w:val="000000" w:themeColor="text1"/>
        </w:rPr>
        <w:fldChar w:fldCharType="separate"/>
      </w:r>
      <w:r w:rsidR="00BE2180" w:rsidRPr="00435D75">
        <w:rPr>
          <w:noProof/>
          <w:color w:val="000000" w:themeColor="text1"/>
          <w:vertAlign w:val="superscript"/>
        </w:rPr>
        <w:t>94</w:t>
      </w:r>
      <w:r w:rsidR="00C30F41" w:rsidRPr="00435D75">
        <w:rPr>
          <w:color w:val="000000" w:themeColor="text1"/>
        </w:rPr>
        <w:fldChar w:fldCharType="end"/>
      </w:r>
      <w:r w:rsidRPr="00435D75">
        <w:rPr>
          <w:color w:val="000000" w:themeColor="text1"/>
        </w:rPr>
        <w:t>.</w:t>
      </w:r>
    </w:p>
    <w:p w14:paraId="3D292860" w14:textId="77777777" w:rsidR="004C0420" w:rsidRPr="00435D75" w:rsidRDefault="004C0420" w:rsidP="004C0420">
      <w:pPr>
        <w:jc w:val="both"/>
        <w:rPr>
          <w:color w:val="000000" w:themeColor="text1"/>
        </w:rPr>
      </w:pPr>
    </w:p>
    <w:p w14:paraId="2642E6C9" w14:textId="62A69AD3" w:rsidR="00D457B3" w:rsidRPr="00435D75" w:rsidRDefault="004C0420" w:rsidP="004C0420">
      <w:pPr>
        <w:jc w:val="both"/>
        <w:rPr>
          <w:iCs/>
          <w:color w:val="000000" w:themeColor="text1"/>
        </w:rPr>
      </w:pPr>
      <w:proofErr w:type="spellStart"/>
      <w:r w:rsidRPr="00435D75">
        <w:rPr>
          <w:b/>
          <w:iCs/>
          <w:color w:val="000000" w:themeColor="text1"/>
        </w:rPr>
        <w:t>Essenbach-Ammerbreite</w:t>
      </w:r>
      <w:proofErr w:type="spellEnd"/>
    </w:p>
    <w:p w14:paraId="594FCAB5" w14:textId="6C01E62E" w:rsidR="004C0420" w:rsidRPr="00435D75" w:rsidRDefault="004C0420" w:rsidP="004C0420">
      <w:pPr>
        <w:jc w:val="both"/>
        <w:rPr>
          <w:color w:val="000000" w:themeColor="text1"/>
        </w:rPr>
      </w:pPr>
      <w:r w:rsidRPr="00435D75">
        <w:rPr>
          <w:color w:val="000000" w:themeColor="text1"/>
        </w:rPr>
        <w:t>The LBK cemetery and settlement of ‘</w:t>
      </w:r>
      <w:proofErr w:type="spellStart"/>
      <w:r w:rsidRPr="00435D75">
        <w:rPr>
          <w:color w:val="000000" w:themeColor="text1"/>
        </w:rPr>
        <w:t>Ammerbreite</w:t>
      </w:r>
      <w:proofErr w:type="spellEnd"/>
      <w:r w:rsidRPr="00435D75">
        <w:rPr>
          <w:color w:val="000000" w:themeColor="text1"/>
        </w:rPr>
        <w:t xml:space="preserve">’ in </w:t>
      </w:r>
      <w:proofErr w:type="spellStart"/>
      <w:r w:rsidRPr="00435D75">
        <w:rPr>
          <w:color w:val="000000" w:themeColor="text1"/>
        </w:rPr>
        <w:t>Essenbach</w:t>
      </w:r>
      <w:proofErr w:type="spellEnd"/>
      <w:r w:rsidRPr="00435D75">
        <w:rPr>
          <w:color w:val="000000" w:themeColor="text1"/>
        </w:rPr>
        <w:t>, Landshut County, Lower Bavaria, was discovered in 1981 during construction work on the northwestern edge of the modern village. Subsequent excavations until 1986 by Henriette Brink-</w:t>
      </w:r>
      <w:proofErr w:type="spellStart"/>
      <w:r w:rsidRPr="00435D75">
        <w:rPr>
          <w:color w:val="000000" w:themeColor="text1"/>
        </w:rPr>
        <w:t>Kloke</w:t>
      </w:r>
      <w:proofErr w:type="spellEnd"/>
      <w:r w:rsidRPr="00435D75">
        <w:rPr>
          <w:color w:val="000000" w:themeColor="text1"/>
        </w:rPr>
        <w:t xml:space="preserve"> uncovered remains of LBK habitation and a concentration of 29 graves, ca. 40 m away, attributed to an advanced phase of the LBK. One additional burial (grave 7) was found inside a reused settlement pit in the direction of the cemetery</w:t>
      </w:r>
      <w:r w:rsidR="00C30F41" w:rsidRPr="00435D75">
        <w:rPr>
          <w:color w:val="000000" w:themeColor="text1"/>
        </w:rPr>
        <w:fldChar w:fldCharType="begin" w:fldLock="1"/>
      </w:r>
      <w:r w:rsidR="00BE2180" w:rsidRPr="00435D75">
        <w:rPr>
          <w:color w:val="000000" w:themeColor="text1"/>
        </w:rPr>
        <w:instrText>ADDIN CSL_CITATION {"citationItems":[{"id":"ITEM-1","itemData":{"author":[{"dropping-particle":"","family":"Brink-Kloke","given":"H","non-dropping-particle":"","parse-names":false,"suffix":""}],"container-title":"Germania","id":"ITEM-1","issued":{"date-parts":[["1990"]]},"page":"427-481","title":"Das linienbandkeramische Gräberfeld von Essenbach-Ammerbreite","type":"article-journal","volume":"68"},"uris":["http://www.mendeley.com/documents/?uuid=99dd43eb-bfd7-4ff0-83f3-091b1db0688d"]}],"mendeley":{"formattedCitation":"&lt;sup&gt;95&lt;/sup&gt;","plainTextFormattedCitation":"95","previouslyFormattedCitation":"&lt;sup&gt;95&lt;/sup&gt;"},"properties":{"noteIndex":0},"schema":"https://github.com/citation-style-language/schema/raw/master/csl-citation.json"}</w:instrText>
      </w:r>
      <w:r w:rsidR="00C30F41" w:rsidRPr="00435D75">
        <w:rPr>
          <w:color w:val="000000" w:themeColor="text1"/>
        </w:rPr>
        <w:fldChar w:fldCharType="separate"/>
      </w:r>
      <w:r w:rsidR="00BE2180" w:rsidRPr="00435D75">
        <w:rPr>
          <w:noProof/>
          <w:color w:val="000000" w:themeColor="text1"/>
          <w:vertAlign w:val="superscript"/>
        </w:rPr>
        <w:t>95</w:t>
      </w:r>
      <w:r w:rsidR="00C30F41" w:rsidRPr="00435D75">
        <w:rPr>
          <w:color w:val="000000" w:themeColor="text1"/>
        </w:rPr>
        <w:fldChar w:fldCharType="end"/>
      </w:r>
      <w:r w:rsidRPr="00435D75">
        <w:rPr>
          <w:color w:val="000000" w:themeColor="text1"/>
        </w:rPr>
        <w:t>. Only a section of the cemetery could be excavated. Anthropological study of the skeletons identified 10 children or infants and 15 sub-adults or adults, including seven females and six males</w:t>
      </w:r>
      <w:r w:rsidR="00C30F41" w:rsidRPr="00435D75">
        <w:rPr>
          <w:color w:val="000000" w:themeColor="text1"/>
        </w:rPr>
        <w:fldChar w:fldCharType="begin" w:fldLock="1"/>
      </w:r>
      <w:r w:rsidR="00BE2180" w:rsidRPr="00435D75">
        <w:rPr>
          <w:color w:val="000000" w:themeColor="text1"/>
        </w:rPr>
        <w:instrText>ADDIN CSL_CITATION {"citationItems":[{"id":"ITEM-1","itemData":{"author":[{"dropping-particle":"","family":"Brink-Kloke","given":"H","non-dropping-particle":"","parse-names":false,"suffix":""}],"container-title":"Germania","id":"ITEM-1","issued":{"date-parts":[["1990"]]},"page":"427-481","title":"Das linienbandkeramische Gräberfeld von Essenbach-Ammerbreite","type":"article-journal","volume":"68"},"uris":["http://www.mendeley.com/documents/?uuid=99dd43eb-bfd7-4ff0-83f3-091b1db0688d"]}],"mendeley":{"formattedCitation":"&lt;sup&gt;95&lt;/sup&gt;","plainTextFormattedCitation":"95","previouslyFormattedCitation":"&lt;sup&gt;95&lt;/sup&gt;"},"properties":{"noteIndex":0},"schema":"https://github.com/citation-style-language/schema/raw/master/csl-citation.json"}</w:instrText>
      </w:r>
      <w:r w:rsidR="00C30F41" w:rsidRPr="00435D75">
        <w:rPr>
          <w:color w:val="000000" w:themeColor="text1"/>
        </w:rPr>
        <w:fldChar w:fldCharType="separate"/>
      </w:r>
      <w:r w:rsidR="00BE2180" w:rsidRPr="00435D75">
        <w:rPr>
          <w:noProof/>
          <w:color w:val="000000" w:themeColor="text1"/>
          <w:vertAlign w:val="superscript"/>
        </w:rPr>
        <w:t>95</w:t>
      </w:r>
      <w:r w:rsidR="00C30F41" w:rsidRPr="00435D75">
        <w:rPr>
          <w:color w:val="000000" w:themeColor="text1"/>
        </w:rPr>
        <w:fldChar w:fldCharType="end"/>
      </w:r>
      <w:r w:rsidR="00C30F41" w:rsidRPr="00435D75">
        <w:rPr>
          <w:color w:val="000000" w:themeColor="text1"/>
        </w:rPr>
        <w:t xml:space="preserve">. </w:t>
      </w:r>
      <w:r w:rsidRPr="00435D75">
        <w:rPr>
          <w:color w:val="000000" w:themeColor="text1"/>
        </w:rPr>
        <w:t>The individual sampled for this project (Ess7) was the child in grave 2, ca. 9-10 years old, buried in contracted position on the left side, with the head oriented to the northeast. This grave was one of the more richly furnished graves, containing also objects normally associated with adult males (graves 16 and 24), such as a stone axe and a complete vessel. The vessel contained the fragment of a perforated bone comb and the left, upper incisor tooth of the child</w:t>
      </w:r>
      <w:r w:rsidR="00C30F41" w:rsidRPr="00435D75">
        <w:rPr>
          <w:color w:val="000000" w:themeColor="text1"/>
        </w:rPr>
        <w:fldChar w:fldCharType="begin" w:fldLock="1"/>
      </w:r>
      <w:r w:rsidR="00BE2180" w:rsidRPr="00435D75">
        <w:rPr>
          <w:color w:val="000000" w:themeColor="text1"/>
        </w:rPr>
        <w:instrText>ADDIN CSL_CITATION {"citationItems":[{"id":"ITEM-1","itemData":{"author":[{"dropping-particle":"","family":"Brink-Kloke","given":"H","non-dropping-particle":"","parse-names":false,"suffix":""}],"container-title":"Germania","id":"ITEM-1","issued":{"date-parts":[["1990"]]},"page":"427-481","title":"Das linienbandkeramische Gräberfeld von Essenbach-Ammerbreite","type":"article-journal","volume":"68"},"uris":["http://www.mendeley.com/documents/?uuid=99dd43eb-bfd7-4ff0-83f3-091b1db0688d"]}],"mendeley":{"formattedCitation":"&lt;sup&gt;95&lt;/sup&gt;","plainTextFormattedCitation":"95","previouslyFormattedCitation":"&lt;sup&gt;95&lt;/sup&gt;"},"properties":{"noteIndex":0},"schema":"https://github.com/citation-style-language/schema/raw/master/csl-citation.json"}</w:instrText>
      </w:r>
      <w:r w:rsidR="00C30F41" w:rsidRPr="00435D75">
        <w:rPr>
          <w:color w:val="000000" w:themeColor="text1"/>
        </w:rPr>
        <w:fldChar w:fldCharType="separate"/>
      </w:r>
      <w:r w:rsidR="00BE2180" w:rsidRPr="00435D75">
        <w:rPr>
          <w:noProof/>
          <w:color w:val="000000" w:themeColor="text1"/>
          <w:vertAlign w:val="superscript"/>
        </w:rPr>
        <w:t>95</w:t>
      </w:r>
      <w:r w:rsidR="00C30F41" w:rsidRPr="00435D75">
        <w:rPr>
          <w:color w:val="000000" w:themeColor="text1"/>
        </w:rPr>
        <w:fldChar w:fldCharType="end"/>
      </w:r>
      <w:r w:rsidR="00C30F41" w:rsidRPr="00435D75">
        <w:rPr>
          <w:color w:val="000000" w:themeColor="text1"/>
        </w:rPr>
        <w:t xml:space="preserve">. </w:t>
      </w:r>
      <w:r w:rsidRPr="00435D75">
        <w:rPr>
          <w:color w:val="000000" w:themeColor="text1"/>
        </w:rPr>
        <w:t>No radiocarbon date is available. The objects deposited in the grave are typical of the LBK, though the comb suggests a ‘young’ or ‘late LBK’ date, possibly in the range 7050-6900 BP</w:t>
      </w:r>
      <w:r w:rsidR="00C30F41" w:rsidRPr="00435D75">
        <w:rPr>
          <w:color w:val="000000" w:themeColor="text1"/>
        </w:rPr>
        <w:fldChar w:fldCharType="begin" w:fldLock="1"/>
      </w:r>
      <w:r w:rsidR="00BE2180" w:rsidRPr="00435D75">
        <w:rPr>
          <w:color w:val="000000" w:themeColor="text1"/>
        </w:rPr>
        <w:instrText>ADDIN CSL_CITATION {"citationItems":[{"id":"ITEM-1","itemData":{"DOI":"https://doi.org/10.1016/j.cell.2022.04.008","ISSN":"0092-8674","abstract":"Summary The precise genetic origins of the first Neolithic farming populations in Europe and Southwest Asia, as well as the processes and the timing of their differentiation, remain largely unknown. Demogenomic modeling of high-quality ancient genomes reveals that the early farmers of Anatolia and Europe emerged from a multiphase mixing of a Southwest Asian population with a strongly bottlenecked western hunter-gatherer population after the last glacial maximum. Moreover, the ancestors of the first farmers of Europe and Anatolia went through a period of extreme genetic drift during their westward range expansion, contributing highly to their genetic distinctiveness. This modeling elucidates the demographic processes at the root of the Neolithic transition and leads to a spatial interpretation of the population history of Southwest Asia and Europe during the late Pleistocene and early Holocene.","author":[{"dropping-particle":"","family":"Marchi","given":"Nina","non-dropping-particle":"","parse-names":false,"suffix":""},{"dropping-particle":"","family":"Winkelbach","given":"Laura","non-dropping-particle":"","parse-names":false,"suffix":""},{"dropping-particle":"","family":"Schulz","given":"Ilektra","non-dropping-particle":"","parse-names":false,"suffix":""},{"dropping-particle":"","family":"Brami","given":"Maxime","non-dropping-particle":"","parse-names":false,"suffix":""},{"dropping-particle":"","family":"Hofmanová","given":"Zuzana","non-dropping-particle":"","parse-names":false,"suffix":""},{"dropping-particle":"","family":"Blöcher","given":"Jens","non-dropping-particle":"","parse-names":false,"suffix":""},{"dropping-particle":"","family":"Reyna-Blanco","given":"Carlos S","non-dropping-particle":"","parse-names":false,"suffix":""},{"dropping-particle":"","family":"Diekmann","given":"Yoan","non-dropping-particle":"","parse-names":false,"suffix":""},{"dropping-particle":"","family":"Thiéry","given":"Alexandre","non-dropping-particle":"","parse-names":false,"suffix":""},{"dropping-particle":"","family":"Kapopoulou","given":"Adamandia","non-dropping-particle":"","parse-names":false,"suffix":""},{"dropping-particle":"","family":"Link","given":"Vivian","non-dropping-particle":"","parse-names":false,"suffix":""},{"dropping-particle":"","family":"Piuz","given":"Valérie","non-dropping-particle":"","parse-names":false,"suffix":""},{"dropping-particle":"","family":"Kreutzer","given":"Susanne","non-dropping-particle":"","parse-names":false,"suffix":""},{"dropping-particle":"","family":"Figarska","given":"Sylwia M","non-dropping-particle":"","parse-names":false,"suffix":""},{"dropping-particle":"","family":"Ganiatsou","given":"Elissavet","non-dropping-particle":"","parse-names":false,"suffix":""},{"dropping-particle":"","family":"Pukaj","given":"Albert","non-dropping-particle":"","parse-names":false,"suffix":""},{"dropping-particle":"","family":"Struck","given":"Travis J","non-dropping-particle":"","parse-names":false,"suffix":""},{"dropping-particle":"","family":"Gutenkunst","given":"Ryan N","non-dropping-particle":"","parse-names":false,"suffix":""},{"dropping-particle":"","family":"Karul","given":"Necmi","non-dropping-particle":"","parse-names":false,"suffix":""},{"dropping-particle":"","family":"Gerritsen","given":"Fokke","non-dropping-particle":"","parse-names":false,"suffix":""},{"dropping-particle":"","family":"Pechtl","given":"Joachim","non-dropping-particle":"","parse-names":false,"suffix":""},{"dropping-particle":"","family":"Peters","given":"Joris","non-dropping-particle":"","parse-names":false,"suffix":""},{"dropping-particle":"","family":"Zeeb-Lanz","given":"Andrea","non-dropping-particle":"","parse-names":false,"suffix":""},{"dropping-particle":"","family":"Lenneis","given":"Eva","non-dropping-particle":"","parse-names":false,"suffix":""},{"dropping-particle":"","family":"Teschler-Nicola","given":"Maria","non-dropping-particle":"","parse-names":false,"suffix":""},{"dropping-particle":"","family":"Triantaphyllou","given":"Sevasti","non-dropping-particle":"","parse-names":false,"suffix":""},{"dropping-particle":"","family":"Stefanović","given":"Sofija","non-dropping-particle":"","parse-names":false,"suffix":""},{"dropping-particle":"","family":"Papageorgopoulou","given":"Christina","non-dropping-particle":"","parse-names":false,"suffix":""},{"dropping-particle":"","family":"Wegmann","given":"Daniel","non-dropping-particle":"","parse-names":false,"suffix":""},{"dropping-particle":"","family":"Burger","given":"Joachim","non-dropping-particle":"","parse-names":false,"suffix":""},{"dropping-particle":"","family":"Excoffier","given":"Laurent","non-dropping-particle":"","parse-names":false,"suffix":""}],"container-title":"Cell","id":"ITEM-1","issue":"11","issued":{"date-parts":[["2022"]]},"page":"1842-1859.e18","title":"The genomic origins of the world’s first farmers","type":"article-journal","volume":"185"},"uris":["http://www.mendeley.com/documents/?uuid=00578f64-9854-4e7a-ae7a-506dd393f8c6"]}],"mendeley":{"formattedCitation":"&lt;sup&gt;93&lt;/sup&gt;","plainTextFormattedCitation":"93","previouslyFormattedCitation":"&lt;sup&gt;93&lt;/sup&gt;"},"properties":{"noteIndex":0},"schema":"https://github.com/citation-style-language/schema/raw/master/csl-citation.json"}</w:instrText>
      </w:r>
      <w:r w:rsidR="00C30F41" w:rsidRPr="00435D75">
        <w:rPr>
          <w:color w:val="000000" w:themeColor="text1"/>
        </w:rPr>
        <w:fldChar w:fldCharType="separate"/>
      </w:r>
      <w:r w:rsidR="00BE2180" w:rsidRPr="00435D75">
        <w:rPr>
          <w:noProof/>
          <w:color w:val="000000" w:themeColor="text1"/>
          <w:vertAlign w:val="superscript"/>
        </w:rPr>
        <w:t>93</w:t>
      </w:r>
      <w:r w:rsidR="00C30F41" w:rsidRPr="00435D75">
        <w:rPr>
          <w:color w:val="000000" w:themeColor="text1"/>
        </w:rPr>
        <w:fldChar w:fldCharType="end"/>
      </w:r>
      <w:r w:rsidR="00C30F41" w:rsidRPr="00435D75">
        <w:rPr>
          <w:color w:val="000000" w:themeColor="text1"/>
        </w:rPr>
        <w:t>.</w:t>
      </w:r>
    </w:p>
    <w:p w14:paraId="3E9114DE" w14:textId="77777777" w:rsidR="004C0420" w:rsidRPr="00435D75" w:rsidRDefault="004C0420" w:rsidP="004C0420">
      <w:pPr>
        <w:jc w:val="both"/>
        <w:rPr>
          <w:color w:val="000000" w:themeColor="text1"/>
        </w:rPr>
      </w:pPr>
    </w:p>
    <w:p w14:paraId="6B724DF8" w14:textId="77777777" w:rsidR="00D457B3" w:rsidRPr="00435D75" w:rsidRDefault="004C0420" w:rsidP="00C30F41">
      <w:pPr>
        <w:jc w:val="both"/>
        <w:rPr>
          <w:iCs/>
          <w:color w:val="000000" w:themeColor="text1"/>
        </w:rPr>
      </w:pPr>
      <w:proofErr w:type="spellStart"/>
      <w:r w:rsidRPr="00435D75">
        <w:rPr>
          <w:b/>
          <w:iCs/>
          <w:color w:val="000000" w:themeColor="text1"/>
        </w:rPr>
        <w:t>Otzing</w:t>
      </w:r>
      <w:proofErr w:type="spellEnd"/>
    </w:p>
    <w:p w14:paraId="5E98AAB5" w14:textId="6404F781" w:rsidR="00D457B3" w:rsidRPr="00435D75" w:rsidRDefault="004C0420" w:rsidP="00D457B3">
      <w:pPr>
        <w:jc w:val="both"/>
        <w:rPr>
          <w:color w:val="000000" w:themeColor="text1"/>
        </w:rPr>
      </w:pPr>
      <w:r w:rsidRPr="00435D75">
        <w:rPr>
          <w:color w:val="000000" w:themeColor="text1"/>
        </w:rPr>
        <w:t>The LBK cemetery and settlement ‘</w:t>
      </w:r>
      <w:proofErr w:type="spellStart"/>
      <w:r w:rsidRPr="00435D75">
        <w:rPr>
          <w:color w:val="000000" w:themeColor="text1"/>
        </w:rPr>
        <w:t>Gartenäcker</w:t>
      </w:r>
      <w:proofErr w:type="spellEnd"/>
      <w:r w:rsidRPr="00435D75">
        <w:rPr>
          <w:color w:val="000000" w:themeColor="text1"/>
        </w:rPr>
        <w:t xml:space="preserve">’ in </w:t>
      </w:r>
      <w:proofErr w:type="spellStart"/>
      <w:r w:rsidRPr="00435D75">
        <w:rPr>
          <w:color w:val="000000" w:themeColor="text1"/>
        </w:rPr>
        <w:t>Otzing</w:t>
      </w:r>
      <w:proofErr w:type="spellEnd"/>
      <w:r w:rsidRPr="00435D75">
        <w:rPr>
          <w:color w:val="000000" w:themeColor="text1"/>
        </w:rPr>
        <w:t xml:space="preserve">, </w:t>
      </w:r>
      <w:proofErr w:type="spellStart"/>
      <w:r w:rsidRPr="00435D75">
        <w:rPr>
          <w:color w:val="000000" w:themeColor="text1"/>
        </w:rPr>
        <w:t>Deggendorf</w:t>
      </w:r>
      <w:proofErr w:type="spellEnd"/>
      <w:r w:rsidRPr="00435D75">
        <w:rPr>
          <w:color w:val="000000" w:themeColor="text1"/>
        </w:rPr>
        <w:t xml:space="preserve"> County, Lower Bavaria, was excavated in the years 1998-2000. The site revealed 67 Linear Pottery house foundations and numerous burials and pits. It produced one of the largest ancient Neolithic skeletal series in Bavaria, and double burials are unusually common. Settlement activity lasted for several centuries, starting at the latest during the </w:t>
      </w:r>
      <w:proofErr w:type="spellStart"/>
      <w:r w:rsidRPr="00435D75">
        <w:rPr>
          <w:color w:val="000000" w:themeColor="text1"/>
        </w:rPr>
        <w:t>Notenkopf</w:t>
      </w:r>
      <w:proofErr w:type="spellEnd"/>
      <w:r w:rsidRPr="00435D75">
        <w:rPr>
          <w:color w:val="000000" w:themeColor="text1"/>
        </w:rPr>
        <w:t xml:space="preserve"> phase (stage II) and continued until the most recent southern Bavarian LBK (stage IV). Altogether, </w:t>
      </w:r>
      <w:proofErr w:type="spellStart"/>
      <w:r w:rsidRPr="00435D75">
        <w:rPr>
          <w:color w:val="000000" w:themeColor="text1"/>
        </w:rPr>
        <w:t>Otzing</w:t>
      </w:r>
      <w:proofErr w:type="spellEnd"/>
      <w:r w:rsidRPr="00435D75">
        <w:rPr>
          <w:color w:val="000000" w:themeColor="text1"/>
        </w:rPr>
        <w:t xml:space="preserve"> witnessed three centuries of settlement between </w:t>
      </w:r>
      <w:r w:rsidRPr="00435D75">
        <w:rPr>
          <w:i/>
          <w:color w:val="000000" w:themeColor="text1"/>
        </w:rPr>
        <w:t>c.</w:t>
      </w:r>
      <w:r w:rsidRPr="00435D75">
        <w:rPr>
          <w:color w:val="000000" w:themeColor="text1"/>
        </w:rPr>
        <w:t xml:space="preserve"> 7,250 and 6,850 BP. The individual sampled in this study (</w:t>
      </w:r>
      <w:proofErr w:type="spellStart"/>
      <w:r w:rsidRPr="00435D75">
        <w:rPr>
          <w:color w:val="000000" w:themeColor="text1"/>
        </w:rPr>
        <w:t>Otz</w:t>
      </w:r>
      <w:proofErr w:type="spellEnd"/>
      <w:r w:rsidRPr="00435D75">
        <w:rPr>
          <w:color w:val="000000" w:themeColor="text1"/>
        </w:rPr>
        <w:t xml:space="preserve"> 3, Grave B 29, feature 1620/1) is well preserved and discovered orienting NW-SE while facing SW. It is a complete skeleton lying sideways in a right stool position, the upper part of the body placed on the sole or on a thin layer of backfill, with the legs and left hand resting on </w:t>
      </w:r>
      <w:r w:rsidRPr="00435D75">
        <w:rPr>
          <w:color w:val="000000" w:themeColor="text1"/>
        </w:rPr>
        <w:lastRenderedPageBreak/>
        <w:t xml:space="preserve">yet another burial (B 30) deposited in the same feature. The individual’s sex could not be ascertained morphologically, its age at death was estimated 10-14 years. Grave goods are lacking, but material culture in the backfill would date this individual to the younger LBK (phase </w:t>
      </w:r>
      <w:proofErr w:type="spellStart"/>
      <w:r w:rsidRPr="00435D75">
        <w:rPr>
          <w:color w:val="000000" w:themeColor="text1"/>
        </w:rPr>
        <w:t>IVa</w:t>
      </w:r>
      <w:proofErr w:type="spellEnd"/>
      <w:r w:rsidRPr="00435D75">
        <w:rPr>
          <w:color w:val="000000" w:themeColor="text1"/>
        </w:rPr>
        <w:t>)</w:t>
      </w:r>
      <w:r w:rsidR="00C30F41" w:rsidRPr="00435D75">
        <w:rPr>
          <w:color w:val="000000" w:themeColor="text1"/>
        </w:rPr>
        <w:fldChar w:fldCharType="begin" w:fldLock="1"/>
      </w:r>
      <w:r w:rsidR="00BE2180" w:rsidRPr="00435D75">
        <w:rPr>
          <w:color w:val="000000" w:themeColor="text1"/>
        </w:rPr>
        <w:instrText>ADDIN CSL_CITATION {"citationItems":[{"id":"ITEM-1","itemData":{"author":[{"dropping-particle":"","family":"Pechtl","given":"J","non-dropping-particle":"","parse-names":false,"suffix":""}],"container-title":"Denkmalpflege Informationen","id":"ITEM-1","issued":{"date-parts":[["2015"]]},"page":"14-17","title":"Verorten in Raum, Zeit und Umwelt. Ein Forschungsprojekt zur ersten bäuerlichen Kultur in Bayerisch-Schwaben","type":"article-journal","volume":"161"},"uris":["http://www.mendeley.com/documents/?uuid=2c908823-cf77-41db-941d-0938194e50ba"]}],"mendeley":{"formattedCitation":"&lt;sup&gt;94&lt;/sup&gt;","plainTextFormattedCitation":"94","previouslyFormattedCitation":"&lt;sup&gt;94&lt;/sup&gt;"},"properties":{"noteIndex":0},"schema":"https://github.com/citation-style-language/schema/raw/master/csl-citation.json"}</w:instrText>
      </w:r>
      <w:r w:rsidR="00C30F41" w:rsidRPr="00435D75">
        <w:rPr>
          <w:color w:val="000000" w:themeColor="text1"/>
        </w:rPr>
        <w:fldChar w:fldCharType="separate"/>
      </w:r>
      <w:r w:rsidR="00BE2180" w:rsidRPr="00435D75">
        <w:rPr>
          <w:noProof/>
          <w:color w:val="000000" w:themeColor="text1"/>
          <w:vertAlign w:val="superscript"/>
        </w:rPr>
        <w:t>94</w:t>
      </w:r>
      <w:r w:rsidR="00C30F41" w:rsidRPr="00435D75">
        <w:rPr>
          <w:color w:val="000000" w:themeColor="text1"/>
        </w:rPr>
        <w:fldChar w:fldCharType="end"/>
      </w:r>
      <w:r w:rsidR="00C30F41" w:rsidRPr="00435D75">
        <w:rPr>
          <w:color w:val="000000" w:themeColor="text1"/>
        </w:rPr>
        <w:t>.</w:t>
      </w:r>
      <w:bookmarkStart w:id="24" w:name="_mlers2sryspf" w:colFirst="0" w:colLast="0"/>
      <w:bookmarkEnd w:id="24"/>
    </w:p>
    <w:p w14:paraId="395A83C1" w14:textId="77777777" w:rsidR="00D457B3" w:rsidRPr="00435D75" w:rsidRDefault="00D457B3" w:rsidP="00D457B3">
      <w:pPr>
        <w:jc w:val="both"/>
        <w:rPr>
          <w:color w:val="000000" w:themeColor="text1"/>
        </w:rPr>
      </w:pPr>
    </w:p>
    <w:p w14:paraId="585DB44A" w14:textId="21D9BDFE" w:rsidR="00194C56" w:rsidRPr="004A2B32" w:rsidRDefault="00194C56" w:rsidP="00D457B3">
      <w:pPr>
        <w:jc w:val="both"/>
        <w:rPr>
          <w:b/>
          <w:bCs/>
          <w:color w:val="000000" w:themeColor="text1"/>
        </w:rPr>
      </w:pPr>
      <w:r w:rsidRPr="004A2B32">
        <w:rPr>
          <w:b/>
          <w:bCs/>
          <w:color w:val="000000" w:themeColor="text1"/>
        </w:rPr>
        <w:t>Sample Preparation</w:t>
      </w:r>
    </w:p>
    <w:p w14:paraId="1DDA4D28" w14:textId="23E43877" w:rsidR="00194C56" w:rsidRPr="004A2B32" w:rsidRDefault="00194C56">
      <w:pPr>
        <w:jc w:val="both"/>
        <w:rPr>
          <w:color w:val="000000" w:themeColor="text1"/>
        </w:rPr>
      </w:pPr>
      <w:r w:rsidRPr="004A2B32">
        <w:rPr>
          <w:color w:val="000000" w:themeColor="text1"/>
        </w:rPr>
        <w:t>As part of a screening process the samples were first inspected macroscopically</w:t>
      </w:r>
      <w:r w:rsidR="00B01848" w:rsidRPr="004A2B32">
        <w:rPr>
          <w:color w:val="000000" w:themeColor="text1"/>
        </w:rPr>
        <w:t xml:space="preserve">. </w:t>
      </w:r>
      <w:r w:rsidRPr="004A2B32">
        <w:rPr>
          <w:color w:val="000000" w:themeColor="text1"/>
        </w:rPr>
        <w:t>The samples were prepared for extraction by sawing and milling as described elsewhere</w:t>
      </w:r>
      <w:r w:rsidR="00B031D4" w:rsidRPr="004A2B32">
        <w:rPr>
          <w:color w:val="000000" w:themeColor="text1"/>
        </w:rPr>
        <w:fldChar w:fldCharType="begin" w:fldLock="1"/>
      </w:r>
      <w:r w:rsidR="00BE2180">
        <w:rPr>
          <w:color w:val="000000" w:themeColor="text1"/>
        </w:rPr>
        <w:instrText>ADDIN CSL_CITATION {"citationItems":[{"id":"ITEM-1","itemData":{"DOI":"10.1073/pnas.1523951113","ISSN":"0027-8424","abstract":"Farming and sedentism first appeared in southwestern Asia during the early Holocene and later spread to neighboring regions, including Europe, along multiple dispersal routes. Conspicuous uncertainties remain about the relative roles of migration, cultural diffusion, and admixture with local foragers in the early Neolithization of Europe. Here we present paleogenomic data for five Neolithic individuals from northern Greece and northwestern Turkey spanning the time and region of the earliest spread of farming into Europe. We use a novel approach to recalibrate raw reads and call genotypes from ancient DNA and observe striking genetic similarity both among Aegean early farmers and with those from across Europe. Our study demonstrates a direct genetic link between Mediterranean and Central European early farmers and those of Greece and Anatolia, extending the European Neolithic migratory chain all the way back to southwestern Asia.","author":[{"dropping-particle":"","family":"Hofmanová","given":"Zuzana","non-dropping-particle":"","parse-names":false,"suffix":""},{"dropping-particle":"","family":"Kreutzer","given":"Susanne","non-dropping-particle":"","parse-names":false,"suffix":""},{"dropping-particle":"","family":"Hellenthal","given":"Garrett","non-dropping-particle":"","parse-names":false,"suffix":""},{"dropping-particle":"","family":"Sell","given":"Christian","non-dropping-particle":"","parse-names":false,"suffix":""},{"dropping-particle":"","family":"Diekmann","given":"Yoan","non-dropping-particle":"","parse-names":false,"suffix":""},{"dropping-particle":"","family":"Díez-del-Molino","given":"David","non-dropping-particle":"","parse-names":false,"suffix":""},{"dropping-particle":"","family":"Dorp","given":"Lucy","non-dropping-particle":"van","parse-names":false,"suffix":""},{"dropping-particle":"","family":"López","given":"Saioa","non-dropping-particle":"","parse-names":false,"suffix":""},{"dropping-particle":"","family":"Kousathanas","given":"Athanasios","non-dropping-particle":"","parse-names":false,"suffix":""},{"dropping-particle":"","family":"Link","given":"Vivian","non-dropping-particle":"","parse-names":false,"suffix":""},{"dropping-particle":"","family":"Kirsanow","given":"Karola","non-dropping-particle":"","parse-names":false,"suffix":""},{"dropping-particle":"","family":"Cassidy","given":"Lara M.","non-dropping-particle":"","parse-names":false,"suffix":""},{"dropping-particle":"","family":"Martiniano","given":"Rui","non-dropping-particle":"","parse-names":false,"suffix":""},{"dropping-particle":"","family":"Strobel","given":"Melanie","non-dropping-particle":"","parse-names":false,"suffix":""},{"dropping-particle":"","family":"Scheu","given":"Amelie","non-dropping-particle":"","parse-names":false,"suffix":""},{"dropping-particle":"","family":"Kotsakis","given":"Kostas","non-dropping-particle":"","parse-names":false,"suffix":""},{"dropping-particle":"","family":"Halstead","given":"Paul","non-dropping-particle":"","parse-names":false,"suffix":""},{"dropping-particle":"","family":"Triantaphyllou","given":"Sevi","non-dropping-particle":"","parse-names":false,"suffix":""},{"dropping-particle":"","family":"Kyparissi-Apostolika","given":"Nina","non-dropping-particle":"","parse-names":false,"suffix":""},{"dropping-particle":"","family":"Urem-Kotsou","given":"Dushka","non-dropping-particle":"","parse-names":false,"suffix":""},{"dropping-particle":"","family":"Ziota","given":"Christina","non-dropping-particle":"","parse-names":false,"suffix":""},{"dropping-particle":"","family":"Adaktylou","given":"Fotini","non-dropping-particle":"","parse-names":false,"suffix":""},{"dropping-particle":"","family":"Gopalan","given":"Shyamalika","non-dropping-particle":"","parse-names":false,"suffix":""},{"dropping-particle":"","family":"Bobo","given":"Dean M.","non-dropping-particle":"","parse-names":false,"suffix":""},{"dropping-particle":"","family":"Winkelbach","given":"Laura","non-dropping-particle":"","parse-names":false,"suffix":""},{"dropping-particle":"","family":"Blöcher","given":"Jens","non-dropping-particle":"","parse-names":false,"suffix":""},{"dropping-particle":"","family":"Unterländer","given":"Martina","non-dropping-particle":"","parse-names":false,"suffix":""},{"dropping-particle":"","family":"Leuenberger","given":"Christoph","non-dropping-particle":"","parse-names":false,"suffix":""},{"dropping-particle":"","family":"Çilingiroğlu","given":"Çiler","non-dropping-particle":"","parse-names":false,"suffix":""},{"dropping-particle":"","family":"Horejs","given":"Barbara","non-dropping-particle":"","parse-names":false,"suffix":""},{"dropping-particle":"","family":"Gerritsen","given":"Fokke","non-dropping-particle":"","parse-names":false,"suffix":""},{"dropping-particle":"","family":"Shennan","given":"Stephen J.","non-dropping-particle":"","parse-names":false,"suffix":""},{"dropping-particle":"","family":"Bradley","given":"Daniel G.","non-dropping-particle":"","parse-names":false,"suffix":""},{"dropping-particle":"","family":"Currat","given":"Mathias","non-dropping-particle":"","parse-names":false,"suffix":""},{"dropping-particle":"","family":"Veeramah","given":"Krishna R.","non-dropping-particle":"","parse-names":false,"suffix":""},{"dropping-particle":"","family":"Wegmann","given":"Daniel","non-dropping-particle":"","parse-names":false,"suffix":""},{"dropping-particle":"","family":"Thomas","given":"Mark G.","non-dropping-particle":"","parse-names":false,"suffix":""},{"dropping-particle":"","family":"Papageorgopoulou","given":"Christina","non-dropping-particle":"","parse-names":false,"suffix":""},{"dropping-particle":"","family":"Burger","given":"Joachim","non-dropping-particle":"","parse-names":false,"suffix":""}],"container-title":"Proceedings of the National Academy of Sciences","id":"ITEM-1","issue":"25","issued":{"date-parts":[["2016","6","21"]]},"page":"6886-6891","title":"Early farmers from across Europe directly descended from Neolithic Aegeans","type":"article-journal","volume":"113"},"uris":["http://www.mendeley.com/documents/?uuid=b945c703-aff7-4b1b-91b7-380f0d502743"]},{"id":"ITEM-2","itemData":{"DOI":"10.1186/s12863-015-0203-2","ISSN":"1471-2156","author":[{"dropping-particle":"","family":"Scheu","given":"Amelie","non-dropping-particle":"","parse-names":false,"suffix":""},{"dropping-particle":"","family":"Powell","given":"Adam","non-dropping-particle":"","parse-names":false,"suffix":""},{"dropping-particle":"","family":"Bollongino","given":"Ruth","non-dropping-particle":"","parse-names":false,"suffix":""},{"dropping-particle":"","family":"Vigne","given":"Jean-Denis","non-dropping-particle":"","parse-names":false,"suffix":""},{"dropping-particle":"","family":"Tresset","given":"Anne","non-dropping-particle":"","parse-names":false,"suffix":""},{"dropping-particle":"","family":"Çakırlar","given":"Canan","non-dropping-particle":"","parse-names":false,"suffix":""},{"dropping-particle":"","family":"Benecke","given":"Norbert","non-dropping-particle":"","parse-names":false,"suffix":""},{"dropping-particle":"","family":"Burger","given":"Joachim","non-dropping-particle":"","parse-names":false,"suffix":""}],"container-title":"BMC Genetics","id":"ITEM-2","issue":"1","issued":{"date-parts":[["2015","12","28"]]},"page":"54","title":"The genetic prehistory of domesticated cattle from their origin to the spread across Europe","type":"article-journal","volume":"16"},"uris":["http://www.mendeley.com/documents/?uuid=dd9966f7-fe2d-40cc-9420-8b64dfe0bde0"]}],"mendeley":{"formattedCitation":"&lt;sup&gt;8,96&lt;/sup&gt;","plainTextFormattedCitation":"8,96","previouslyFormattedCitation":"&lt;sup&gt;8,96&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8,96</w:t>
      </w:r>
      <w:r w:rsidR="00B031D4" w:rsidRPr="004A2B32">
        <w:rPr>
          <w:color w:val="000000" w:themeColor="text1"/>
        </w:rPr>
        <w:fldChar w:fldCharType="end"/>
      </w:r>
      <w:r w:rsidRPr="004A2B32">
        <w:rPr>
          <w:color w:val="000000" w:themeColor="text1"/>
        </w:rPr>
        <w:t xml:space="preserve">. </w:t>
      </w:r>
      <w:r w:rsidR="00B01848" w:rsidRPr="004A2B32">
        <w:rPr>
          <w:color w:val="000000" w:themeColor="text1"/>
        </w:rPr>
        <w:t>In case of highly fragmented or porous material further processing of a sample was avoided.</w:t>
      </w:r>
      <w:r w:rsidR="001E3B31">
        <w:rPr>
          <w:color w:val="000000" w:themeColor="text1"/>
        </w:rPr>
        <w:t xml:space="preserve"> </w:t>
      </w:r>
      <w:r w:rsidR="00B01848" w:rsidRPr="004A2B32">
        <w:rPr>
          <w:color w:val="000000" w:themeColor="text1"/>
        </w:rPr>
        <w:t xml:space="preserve">From samples that </w:t>
      </w:r>
      <w:r w:rsidR="001E3B31">
        <w:rPr>
          <w:color w:val="000000" w:themeColor="text1"/>
        </w:rPr>
        <w:t>were</w:t>
      </w:r>
      <w:r w:rsidR="00B01848" w:rsidRPr="004A2B32">
        <w:rPr>
          <w:color w:val="000000" w:themeColor="text1"/>
        </w:rPr>
        <w:t xml:space="preserve"> further processed </w:t>
      </w:r>
      <w:r w:rsidRPr="004A2B32">
        <w:rPr>
          <w:color w:val="000000" w:themeColor="text1"/>
        </w:rPr>
        <w:t xml:space="preserve">200mg of </w:t>
      </w:r>
      <w:r w:rsidR="00BB7D47" w:rsidRPr="004A2B32">
        <w:rPr>
          <w:color w:val="000000" w:themeColor="text1"/>
        </w:rPr>
        <w:t xml:space="preserve">powdered </w:t>
      </w:r>
      <w:r w:rsidRPr="004A2B32">
        <w:rPr>
          <w:color w:val="000000" w:themeColor="text1"/>
        </w:rPr>
        <w:t>bones or teeth were incubated in 7ml lysis buffer (EDTA 0.5M, pH0.8 (</w:t>
      </w:r>
      <w:proofErr w:type="spellStart"/>
      <w:r w:rsidRPr="004A2B32">
        <w:rPr>
          <w:color w:val="000000" w:themeColor="text1"/>
        </w:rPr>
        <w:t>Ambion</w:t>
      </w:r>
      <w:proofErr w:type="spellEnd"/>
      <w:r w:rsidRPr="004A2B32">
        <w:rPr>
          <w:color w:val="000000" w:themeColor="text1"/>
        </w:rPr>
        <w:t>/Applied Biosystems, Life technologies, Darmstadt, Germany), Proteinase K (18U/ul; Roche, Mannheim,</w:t>
      </w:r>
      <w:r w:rsidR="00C944A4" w:rsidRPr="004A2B32">
        <w:rPr>
          <w:color w:val="000000" w:themeColor="text1"/>
        </w:rPr>
        <w:t xml:space="preserve"> </w:t>
      </w:r>
      <w:r w:rsidRPr="004A2B32">
        <w:rPr>
          <w:color w:val="000000" w:themeColor="text1"/>
        </w:rPr>
        <w:t>Germany), N-</w:t>
      </w:r>
      <w:proofErr w:type="spellStart"/>
      <w:r w:rsidRPr="004A2B32">
        <w:rPr>
          <w:color w:val="000000" w:themeColor="text1"/>
        </w:rPr>
        <w:t>laurylsarcosine</w:t>
      </w:r>
      <w:proofErr w:type="spellEnd"/>
      <w:r w:rsidRPr="004A2B32">
        <w:rPr>
          <w:color w:val="000000" w:themeColor="text1"/>
        </w:rPr>
        <w:t xml:space="preserve"> (0.5%; Merck Millipore, Darmstadt, Germany) at 37°C on rocking shakers for 48 hours. The DNA was isolated via phenol/chloroform/isoamyl alcohol (25:24:1, Roth, Karlsruhe, Germany) extraction, then desalted by stepwise washes with 12 ml HPLC-water and concentrated to approximately 150-200ul using </w:t>
      </w:r>
      <w:proofErr w:type="spellStart"/>
      <w:r w:rsidRPr="004A2B32">
        <w:rPr>
          <w:color w:val="000000" w:themeColor="text1"/>
        </w:rPr>
        <w:t>Amicon</w:t>
      </w:r>
      <w:proofErr w:type="spellEnd"/>
      <w:r w:rsidRPr="004A2B32">
        <w:rPr>
          <w:color w:val="000000" w:themeColor="text1"/>
        </w:rPr>
        <w:t xml:space="preserve"> Ultra-15 Centrifugal Filter Units (Merck Millipore, Darmstadt, Germany). Centrifugation speed was set to 2500g to achieve a greater recovery of fragmented DNA molecules. To generate biological replicates every sample was extracted twice and blank controls were processed during milling and extraction steps.</w:t>
      </w:r>
    </w:p>
    <w:p w14:paraId="5ACEBBF1" w14:textId="77777777" w:rsidR="00194C56" w:rsidRPr="004A2B32" w:rsidRDefault="00194C56" w:rsidP="00D820C9">
      <w:pPr>
        <w:pStyle w:val="4"/>
        <w:rPr>
          <w:color w:val="000000" w:themeColor="text1"/>
          <w:sz w:val="22"/>
          <w:szCs w:val="22"/>
        </w:rPr>
      </w:pPr>
      <w:bookmarkStart w:id="25" w:name="_jed4bvds3bgq" w:colFirst="0" w:colLast="0"/>
      <w:bookmarkEnd w:id="25"/>
      <w:r w:rsidRPr="004A2B32">
        <w:rPr>
          <w:color w:val="000000" w:themeColor="text1"/>
          <w:sz w:val="22"/>
          <w:szCs w:val="22"/>
        </w:rPr>
        <w:t>HVS-I Sequencing</w:t>
      </w:r>
    </w:p>
    <w:p w14:paraId="480CE02C" w14:textId="05119F13" w:rsidR="00194C56" w:rsidRPr="004A2B32" w:rsidRDefault="00194C56">
      <w:pPr>
        <w:jc w:val="both"/>
        <w:rPr>
          <w:color w:val="000000" w:themeColor="text1"/>
        </w:rPr>
      </w:pPr>
      <w:r w:rsidRPr="004A2B32">
        <w:rPr>
          <w:color w:val="000000" w:themeColor="text1"/>
        </w:rPr>
        <w:t>For parts of the samples the mitochondrial HVS-I region (position 16011 – 16409) was sequenced by PCR and Sanger sequencing. PCR primers, PCR conditions and sequencing strategy are described elsewhere</w:t>
      </w:r>
      <w:r w:rsidR="00B031D4" w:rsidRPr="004A2B32">
        <w:rPr>
          <w:color w:val="000000" w:themeColor="text1"/>
        </w:rPr>
        <w:fldChar w:fldCharType="begin" w:fldLock="1"/>
      </w:r>
      <w:r w:rsidR="00BE2180">
        <w:rPr>
          <w:color w:val="000000" w:themeColor="text1"/>
        </w:rPr>
        <w:instrText>ADDIN CSL_CITATION {"citationItems":[{"id":"ITEM-1","itemData":{"DOI":"10.1038/ncomms14615","ISSN":"2041-1723","author":[{"dropping-particle":"","family":"Unterländer","given":"Martina","non-dropping-particle":"","parse-names":false,"suffix":""},{"dropping-particle":"","family":"Palstra","given":"Friso","non-dropping-particle":"","parse-names":false,"suffix":""},{"dropping-particle":"","family":"Lazaridis","given":"Iosif","non-dropping-particle":"","parse-names":false,"suffix":""},{"dropping-particle":"","family":"Pilipenko","given":"Aleksandr","non-dropping-particle":"","parse-names":false,"suffix":""},{"dropping-particle":"","family":"Hofmanová","given":"Zuzana","non-dropping-particle":"","parse-names":false,"suffix":""},{"dropping-particle":"","family":"Groß","given":"Melanie","non-dropping-particle":"","parse-names":false,"suffix":""},{"dropping-particle":"","family":"Sell","given":"Christian","non-dropping-particle":"","parse-names":false,"suffix":""},{"dropping-particle":"","family":"Blöcher","given":"Jens","non-dropping-particle":"","parse-names":false,"suffix":""},{"dropping-particle":"","family":"Kirsanow","given":"Karola","non-dropping-particle":"","parse-names":false,"suffix":""},{"dropping-particle":"","family":"Rohland","given":"Nadin","non-dropping-particle":"","parse-names":false,"suffix":""},{"dropping-particle":"","family":"Rieger","given":"Benjamin","non-dropping-particle":"","parse-names":false,"suffix":""},{"dropping-particle":"","family":"Kaiser","given":"Elke","non-dropping-particle":"","parse-names":false,"suffix":""},{"dropping-particle":"","family":"Schier","given":"Wolfram","non-dropping-particle":"","parse-names":false,"suffix":""},{"dropping-particle":"","family":"Pozdniakov","given":"Dimitri","non-dropping-particle":"","parse-names":false,"suffix":""},{"dropping-particle":"","family":"Khokhlov","given":"Aleksandr","non-dropping-particle":"","parse-names":false,"suffix":""},{"dropping-particle":"","family":"Georges","given":"Myriam","non-dropping-particle":"","parse-names":false,"suffix":""},{"dropping-particle":"","family":"Wilde","given":"Sandra","non-dropping-particle":"","parse-names":false,"suffix":""},{"dropping-particle":"","family":"Powell","given":"Adam","non-dropping-particle":"","parse-names":false,"suffix":""},{"dropping-particle":"","family":"Heyer","given":"Evelyne","non-dropping-particle":"","parse-names":false,"suffix":""},{"dropping-particle":"","family":"Currat","given":"Mathias","non-dropping-particle":"","parse-names":false,"suffix":""},{"dropping-particle":"","family":"Reich","given":"David","non-dropping-particle":"","parse-names":false,"suffix":""},{"dropping-particle":"","family":"Samashev","given":"Zainolla","non-dropping-particle":"","parse-names":false,"suffix":""},{"dropping-particle":"","family":"Parzinger","given":"Hermann","non-dropping-particle":"","parse-names":false,"suffix":""},{"dropping-particle":"","family":"Molodin","given":"Vyacheslav I.","non-dropping-particle":"","parse-names":false,"suffix":""},{"dropping-particle":"","family":"Burger","given":"Joachim","non-dropping-particle":"","parse-names":false,"suffix":""}],"container-title":"Nature Communications","id":"ITEM-1","issue":"1","issued":{"date-parts":[["2017","4","3"]]},"page":"14615","title":"Ancestry and demography and descendants of Iron Age nomads of the Eurasian Steppe","type":"article-journal","volume":"8"},"uris":["http://www.mendeley.com/documents/?uuid=23866eca-4404-44b2-a3e7-9e14410cf0ec"]}],"mendeley":{"formattedCitation":"&lt;sup&gt;97&lt;/sup&gt;","plainTextFormattedCitation":"97","previouslyFormattedCitation":"&lt;sup&gt;97&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97</w:t>
      </w:r>
      <w:r w:rsidR="00B031D4" w:rsidRPr="004A2B32">
        <w:rPr>
          <w:color w:val="000000" w:themeColor="text1"/>
        </w:rPr>
        <w:fldChar w:fldCharType="end"/>
      </w:r>
      <w:r w:rsidR="002D58A0" w:rsidRPr="004A2B32">
        <w:rPr>
          <w:color w:val="000000" w:themeColor="text1"/>
        </w:rPr>
        <w:t>.</w:t>
      </w:r>
    </w:p>
    <w:p w14:paraId="3100C6BC" w14:textId="77777777" w:rsidR="00194C56" w:rsidRPr="004A2B32" w:rsidRDefault="00194C56" w:rsidP="00D820C9">
      <w:pPr>
        <w:rPr>
          <w:color w:val="000000" w:themeColor="text1"/>
        </w:rPr>
      </w:pPr>
      <w:bookmarkStart w:id="26" w:name="_6k9io78sa1m7" w:colFirst="0" w:colLast="0"/>
      <w:bookmarkEnd w:id="26"/>
    </w:p>
    <w:p w14:paraId="05D4F078" w14:textId="77777777" w:rsidR="00194C56" w:rsidRPr="004A2B32" w:rsidRDefault="00194C56" w:rsidP="00D820C9">
      <w:pPr>
        <w:pStyle w:val="2"/>
        <w:rPr>
          <w:b/>
          <w:bCs/>
          <w:color w:val="000000" w:themeColor="text1"/>
        </w:rPr>
      </w:pPr>
      <w:bookmarkStart w:id="27" w:name="_v00rf0dilw7a" w:colFirst="0" w:colLast="0"/>
      <w:bookmarkEnd w:id="27"/>
      <w:r w:rsidRPr="004A2B32">
        <w:rPr>
          <w:b/>
          <w:bCs/>
          <w:color w:val="000000" w:themeColor="text1"/>
        </w:rPr>
        <w:t>Next Generation Sequencing methods</w:t>
      </w:r>
    </w:p>
    <w:p w14:paraId="5519DAB9" w14:textId="77777777" w:rsidR="00194C56" w:rsidRPr="004A2B32" w:rsidRDefault="00194C56" w:rsidP="00D820C9">
      <w:pPr>
        <w:pStyle w:val="4"/>
        <w:rPr>
          <w:color w:val="000000" w:themeColor="text1"/>
          <w:sz w:val="22"/>
          <w:szCs w:val="22"/>
        </w:rPr>
      </w:pPr>
      <w:bookmarkStart w:id="28" w:name="_icmdwia0yyrr" w:colFirst="0" w:colLast="0"/>
      <w:bookmarkEnd w:id="28"/>
      <w:r w:rsidRPr="004A2B32">
        <w:rPr>
          <w:color w:val="000000" w:themeColor="text1"/>
          <w:sz w:val="22"/>
          <w:szCs w:val="22"/>
        </w:rPr>
        <w:t>Library preparation and quantification (sample quality assessment)</w:t>
      </w:r>
    </w:p>
    <w:p w14:paraId="5BE8CEB6" w14:textId="385E4621" w:rsidR="00194C56" w:rsidRPr="004A2B32" w:rsidRDefault="00194C56">
      <w:pPr>
        <w:jc w:val="both"/>
        <w:rPr>
          <w:color w:val="000000" w:themeColor="text1"/>
        </w:rPr>
      </w:pPr>
      <w:r w:rsidRPr="004A2B32">
        <w:rPr>
          <w:color w:val="000000" w:themeColor="text1"/>
        </w:rPr>
        <w:t xml:space="preserve">All libraries were prepared </w:t>
      </w:r>
      <w:r w:rsidR="00BB7D47" w:rsidRPr="004A2B32">
        <w:rPr>
          <w:color w:val="000000" w:themeColor="text1"/>
        </w:rPr>
        <w:t>following</w:t>
      </w:r>
      <w:r w:rsidR="00B031D4" w:rsidRPr="004A2B32">
        <w:rPr>
          <w:color w:val="000000" w:themeColor="text1"/>
        </w:rPr>
        <w:fldChar w:fldCharType="begin" w:fldLock="1"/>
      </w:r>
      <w:r w:rsidR="00BE2180">
        <w:rPr>
          <w:color w:val="000000" w:themeColor="text1"/>
        </w:rPr>
        <w:instrText>ADDIN CSL_CITATION {"citationItems":[{"id":"ITEM-1","itemData":{"DOI":"10.1093/nar/gkr771","ISSN":"1362-4962","author":[{"dropping-particle":"","family":"Kircher","given":"Martin","non-dropping-particle":"","parse-names":false,"suffix":""},{"dropping-particle":"","family":"Sawyer","given":"Susanna","non-dropping-particle":"","parse-names":false,"suffix":""},{"dropping-particle":"","family":"Meyer","given":"Matthias","non-dropping-particle":"","parse-names":false,"suffix":""}],"container-title":"Nucleic Acids Research","id":"ITEM-1","issue":"1","issued":{"date-parts":[["2012","1","1"]]},"page":"e3-e3","title":"Double indexing overcomes inaccuracies in multiplex sequencing on the Illumina platform","type":"article-journal","volume":"40"},"uris":["http://www.mendeley.com/documents/?uuid=cd69eaea-a417-4ac8-b67a-a827ab3a8a00"]}],"mendeley":{"formattedCitation":"&lt;sup&gt;98&lt;/sup&gt;","plainTextFormattedCitation":"98","previouslyFormattedCitation":"&lt;sup&gt;98&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98</w:t>
      </w:r>
      <w:r w:rsidR="00B031D4" w:rsidRPr="004A2B32">
        <w:rPr>
          <w:color w:val="000000" w:themeColor="text1"/>
        </w:rPr>
        <w:fldChar w:fldCharType="end"/>
      </w:r>
      <w:r w:rsidR="002D58A0" w:rsidRPr="004A2B32">
        <w:rPr>
          <w:color w:val="000000" w:themeColor="text1"/>
        </w:rPr>
        <w:t xml:space="preserve"> wi</w:t>
      </w:r>
      <w:r w:rsidRPr="004A2B32">
        <w:rPr>
          <w:color w:val="000000" w:themeColor="text1"/>
        </w:rPr>
        <w:t>th modifications described in</w:t>
      </w:r>
      <w:r w:rsidR="001E3B31">
        <w:rPr>
          <w:color w:val="000000" w:themeColor="text1"/>
        </w:rPr>
        <w:t xml:space="preserve"> previous stud</w:t>
      </w:r>
      <w:r w:rsidR="00DE7483">
        <w:rPr>
          <w:color w:val="000000" w:themeColor="text1"/>
        </w:rPr>
        <w:t>y</w:t>
      </w:r>
      <w:r w:rsidR="00B031D4" w:rsidRPr="004A2B32">
        <w:rPr>
          <w:color w:val="000000" w:themeColor="text1"/>
        </w:rPr>
        <w:fldChar w:fldCharType="begin" w:fldLock="1"/>
      </w:r>
      <w:r w:rsidR="00BE2180">
        <w:rPr>
          <w:color w:val="000000" w:themeColor="text1"/>
        </w:rPr>
        <w:instrText>ADDIN CSL_CITATION {"citationItems":[{"id":"ITEM-1","itemData":{"DOI":"10.1073/pnas.1523951113","ISSN":"0027-8424","abstract":"Farming and sedentism first appeared in southwestern Asia during the early Holocene and later spread to neighboring regions, including Europe, along multiple dispersal routes. Conspicuous uncertainties remain about the relative roles of migration, cultural diffusion, and admixture with local foragers in the early Neolithization of Europe. Here we present paleogenomic data for five Neolithic individuals from northern Greece and northwestern Turkey spanning the time and region of the earliest spread of farming into Europe. We use a novel approach to recalibrate raw reads and call genotypes from ancient DNA and observe striking genetic similarity both among Aegean early farmers and with those from across Europe. Our study demonstrates a direct genetic link between Mediterranean and Central European early farmers and those of Greece and Anatolia, extending the European Neolithic migratory chain all the way back to southwestern Asia.","author":[{"dropping-particle":"","family":"Hofmanová","given":"Zuzana","non-dropping-particle":"","parse-names":false,"suffix":""},{"dropping-particle":"","family":"Kreutzer","given":"Susanne","non-dropping-particle":"","parse-names":false,"suffix":""},{"dropping-particle":"","family":"Hellenthal","given":"Garrett","non-dropping-particle":"","parse-names":false,"suffix":""},{"dropping-particle":"","family":"Sell","given":"Christian","non-dropping-particle":"","parse-names":false,"suffix":""},{"dropping-particle":"","family":"Diekmann","given":"Yoan","non-dropping-particle":"","parse-names":false,"suffix":""},{"dropping-particle":"","family":"Díez-del-Molino","given":"David","non-dropping-particle":"","parse-names":false,"suffix":""},{"dropping-particle":"","family":"Dorp","given":"Lucy","non-dropping-particle":"van","parse-names":false,"suffix":""},{"dropping-particle":"","family":"López","given":"Saioa","non-dropping-particle":"","parse-names":false,"suffix":""},{"dropping-particle":"","family":"Kousathanas","given":"Athanasios","non-dropping-particle":"","parse-names":false,"suffix":""},{"dropping-particle":"","family":"Link","given":"Vivian","non-dropping-particle":"","parse-names":false,"suffix":""},{"dropping-particle":"","family":"Kirsanow","given":"Karola","non-dropping-particle":"","parse-names":false,"suffix":""},{"dropping-particle":"","family":"Cassidy","given":"Lara M.","non-dropping-particle":"","parse-names":false,"suffix":""},{"dropping-particle":"","family":"Martiniano","given":"Rui","non-dropping-particle":"","parse-names":false,"suffix":""},{"dropping-particle":"","family":"Strobel","given":"Melanie","non-dropping-particle":"","parse-names":false,"suffix":""},{"dropping-particle":"","family":"Scheu","given":"Amelie","non-dropping-particle":"","parse-names":false,"suffix":""},{"dropping-particle":"","family":"Kotsakis","given":"Kostas","non-dropping-particle":"","parse-names":false,"suffix":""},{"dropping-particle":"","family":"Halstead","given":"Paul","non-dropping-particle":"","parse-names":false,"suffix":""},{"dropping-particle":"","family":"Triantaphyllou","given":"Sevi","non-dropping-particle":"","parse-names":false,"suffix":""},{"dropping-particle":"","family":"Kyparissi-Apostolika","given":"Nina","non-dropping-particle":"","parse-names":false,"suffix":""},{"dropping-particle":"","family":"Urem-Kotsou","given":"Dushka","non-dropping-particle":"","parse-names":false,"suffix":""},{"dropping-particle":"","family":"Ziota","given":"Christina","non-dropping-particle":"","parse-names":false,"suffix":""},{"dropping-particle":"","family":"Adaktylou","given":"Fotini","non-dropping-particle":"","parse-names":false,"suffix":""},{"dropping-particle":"","family":"Gopalan","given":"Shyamalika","non-dropping-particle":"","parse-names":false,"suffix":""},{"dropping-particle":"","family":"Bobo","given":"Dean M.","non-dropping-particle":"","parse-names":false,"suffix":""},{"dropping-particle":"","family":"Winkelbach","given":"Laura","non-dropping-particle":"","parse-names":false,"suffix":""},{"dropping-particle":"","family":"Blöcher","given":"Jens","non-dropping-particle":"","parse-names":false,"suffix":""},{"dropping-particle":"","family":"Unterländer","given":"Martina","non-dropping-particle":"","parse-names":false,"suffix":""},{"dropping-particle":"","family":"Leuenberger","given":"Christoph","non-dropping-particle":"","parse-names":false,"suffix":""},{"dropping-particle":"","family":"Çilingiroğlu","given":"Çiler","non-dropping-particle":"","parse-names":false,"suffix":""},{"dropping-particle":"","family":"Horejs","given":"Barbara","non-dropping-particle":"","parse-names":false,"suffix":""},{"dropping-particle":"","family":"Gerritsen","given":"Fokke","non-dropping-particle":"","parse-names":false,"suffix":""},{"dropping-particle":"","family":"Shennan","given":"Stephen J.","non-dropping-particle":"","parse-names":false,"suffix":""},{"dropping-particle":"","family":"Bradley","given":"Daniel G.","non-dropping-particle":"","parse-names":false,"suffix":""},{"dropping-particle":"","family":"Currat","given":"Mathias","non-dropping-particle":"","parse-names":false,"suffix":""},{"dropping-particle":"","family":"Veeramah","given":"Krishna R.","non-dropping-particle":"","parse-names":false,"suffix":""},{"dropping-particle":"","family":"Wegmann","given":"Daniel","non-dropping-particle":"","parse-names":false,"suffix":""},{"dropping-particle":"","family":"Thomas","given":"Mark G.","non-dropping-particle":"","parse-names":false,"suffix":""},{"dropping-particle":"","family":"Papageorgopoulou","given":"Christina","non-dropping-particle":"","parse-names":false,"suffix":""},{"dropping-particle":"","family":"Burger","given":"Joachim","non-dropping-particle":"","parse-names":false,"suffix":""}],"container-title":"Proceedings of the National Academy of Sciences","id":"ITEM-1","issue":"25","issued":{"date-parts":[["2016","6","21"]]},"page":"6886-6891","title":"Early farmers from across Europe directly descended from Neolithic Aegeans","type":"article-journal","volume":"113"},"uris":["http://www.mendeley.com/documents/?uuid=b945c703-aff7-4b1b-91b7-380f0d502743"]}],"mendeley":{"formattedCitation":"&lt;sup&gt;8&lt;/sup&gt;","plainTextFormattedCitation":"8","previouslyFormattedCitation":"&lt;sup&gt;8&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8</w:t>
      </w:r>
      <w:r w:rsidR="00B031D4" w:rsidRPr="004A2B32">
        <w:rPr>
          <w:color w:val="000000" w:themeColor="text1"/>
        </w:rPr>
        <w:fldChar w:fldCharType="end"/>
      </w:r>
      <w:r w:rsidRPr="004A2B32">
        <w:rPr>
          <w:color w:val="000000" w:themeColor="text1"/>
        </w:rPr>
        <w:t xml:space="preserve"> while leaving ancient DNA extracts unrepaired. Since we expect distinct DNA quality in the sample material, bone and tooth samples were treated differently to petrous bone samples regarding PCR and indexing strategy. For all PCR reactions </w:t>
      </w:r>
      <w:proofErr w:type="spellStart"/>
      <w:r w:rsidRPr="004A2B32">
        <w:rPr>
          <w:color w:val="000000" w:themeColor="text1"/>
        </w:rPr>
        <w:t>AmpliTaq</w:t>
      </w:r>
      <w:proofErr w:type="spellEnd"/>
      <w:r w:rsidRPr="004A2B32">
        <w:rPr>
          <w:color w:val="000000" w:themeColor="text1"/>
        </w:rPr>
        <w:t xml:space="preserve"> Gold</w:t>
      </w:r>
      <w:r w:rsidRPr="004A2B32">
        <w:rPr>
          <w:color w:val="000000" w:themeColor="text1"/>
          <w:vertAlign w:val="superscript"/>
        </w:rPr>
        <w:t>®</w:t>
      </w:r>
      <w:r w:rsidRPr="004A2B32">
        <w:rPr>
          <w:color w:val="000000" w:themeColor="text1"/>
        </w:rPr>
        <w:t xml:space="preserve"> DNA polymerase (Applied Biosystems) was used to overcome Uracil residues during amplification and to conserve deamination patterns to determine authenticity of ancient DNA. PCR products were purified with MSB</w:t>
      </w:r>
      <w:r w:rsidRPr="004A2B32">
        <w:rPr>
          <w:color w:val="000000" w:themeColor="text1"/>
          <w:vertAlign w:val="superscript"/>
        </w:rPr>
        <w:t>®</w:t>
      </w:r>
      <w:r w:rsidRPr="004A2B32">
        <w:rPr>
          <w:color w:val="000000" w:themeColor="text1"/>
        </w:rPr>
        <w:t xml:space="preserve"> Spin </w:t>
      </w:r>
      <w:proofErr w:type="spellStart"/>
      <w:r w:rsidRPr="004A2B32">
        <w:rPr>
          <w:color w:val="000000" w:themeColor="text1"/>
        </w:rPr>
        <w:t>PCRapace</w:t>
      </w:r>
      <w:proofErr w:type="spellEnd"/>
      <w:r w:rsidRPr="004A2B32">
        <w:rPr>
          <w:color w:val="000000" w:themeColor="text1"/>
        </w:rPr>
        <w:t xml:space="preserve"> (</w:t>
      </w:r>
      <w:proofErr w:type="spellStart"/>
      <w:r w:rsidRPr="004A2B32">
        <w:rPr>
          <w:color w:val="000000" w:themeColor="text1"/>
        </w:rPr>
        <w:t>Invitek</w:t>
      </w:r>
      <w:proofErr w:type="spellEnd"/>
      <w:r w:rsidRPr="004A2B32">
        <w:rPr>
          <w:color w:val="000000" w:themeColor="text1"/>
        </w:rPr>
        <w:t xml:space="preserve">, </w:t>
      </w:r>
      <w:proofErr w:type="spellStart"/>
      <w:r w:rsidRPr="004A2B32">
        <w:rPr>
          <w:color w:val="000000" w:themeColor="text1"/>
        </w:rPr>
        <w:t>Stratec</w:t>
      </w:r>
      <w:proofErr w:type="spellEnd"/>
      <w:r w:rsidRPr="004A2B32">
        <w:rPr>
          <w:color w:val="000000" w:themeColor="text1"/>
        </w:rPr>
        <w:t xml:space="preserve"> Molecular, Berlin, Germany).</w:t>
      </w:r>
    </w:p>
    <w:p w14:paraId="0D4EFE5A" w14:textId="01E51545" w:rsidR="00194C56" w:rsidRPr="004A2B32" w:rsidRDefault="00D820C9">
      <w:pPr>
        <w:jc w:val="both"/>
        <w:rPr>
          <w:color w:val="000000" w:themeColor="text1"/>
        </w:rPr>
      </w:pPr>
      <w:r w:rsidRPr="004A2B32">
        <w:rPr>
          <w:color w:val="000000" w:themeColor="text1"/>
        </w:rPr>
        <w:lastRenderedPageBreak/>
        <w:tab/>
      </w:r>
      <w:r w:rsidR="00194C56" w:rsidRPr="004A2B32">
        <w:rPr>
          <w:color w:val="000000" w:themeColor="text1"/>
        </w:rPr>
        <w:t xml:space="preserve">DNA extracted from bone/tooth samples </w:t>
      </w:r>
      <w:r w:rsidR="00BB7D47" w:rsidRPr="004A2B32">
        <w:rPr>
          <w:color w:val="000000" w:themeColor="text1"/>
        </w:rPr>
        <w:t xml:space="preserve">was </w:t>
      </w:r>
      <w:r w:rsidR="00194C56" w:rsidRPr="004A2B32">
        <w:rPr>
          <w:color w:val="000000" w:themeColor="text1"/>
        </w:rPr>
        <w:t xml:space="preserve">amplified in two immediately consecutive PCR reactions (10 cycles each), using P7 indices only while keeping P5 adapter structure in its original form. In the second PCR reaction </w:t>
      </w:r>
      <w:proofErr w:type="spellStart"/>
      <w:r w:rsidR="00194C56" w:rsidRPr="004A2B32">
        <w:rPr>
          <w:color w:val="000000" w:themeColor="text1"/>
        </w:rPr>
        <w:t>Herculase</w:t>
      </w:r>
      <w:proofErr w:type="spellEnd"/>
      <w:r w:rsidR="00194C56" w:rsidRPr="004A2B32">
        <w:rPr>
          <w:color w:val="000000" w:themeColor="text1"/>
        </w:rPr>
        <w:t xml:space="preserve"> polymerase (Agilent) was used with primer pair IS7/IS6.  Petrous bone samples were processed as described in</w:t>
      </w:r>
      <w:r w:rsidR="001E3B31">
        <w:rPr>
          <w:color w:val="000000" w:themeColor="text1"/>
        </w:rPr>
        <w:t xml:space="preserve"> previous stud</w:t>
      </w:r>
      <w:r w:rsidR="00DE7483">
        <w:rPr>
          <w:color w:val="000000" w:themeColor="text1"/>
        </w:rPr>
        <w:t>y</w:t>
      </w:r>
      <w:r w:rsidR="00B031D4" w:rsidRPr="004A2B32">
        <w:rPr>
          <w:color w:val="000000" w:themeColor="text1"/>
        </w:rPr>
        <w:fldChar w:fldCharType="begin" w:fldLock="1"/>
      </w:r>
      <w:r w:rsidR="00BE2180">
        <w:rPr>
          <w:color w:val="000000" w:themeColor="text1"/>
        </w:rPr>
        <w:instrText>ADDIN CSL_CITATION {"citationItems":[{"id":"ITEM-1","itemData":{"DOI":"10.1073/pnas.1523951113","ISSN":"0027-8424","abstract":"Farming and sedentism first appeared in southwestern Asia during the early Holocene and later spread to neighboring regions, including Europe, along multiple dispersal routes. Conspicuous uncertainties remain about the relative roles of migration, cultural diffusion, and admixture with local foragers in the early Neolithization of Europe. Here we present paleogenomic data for five Neolithic individuals from northern Greece and northwestern Turkey spanning the time and region of the earliest spread of farming into Europe. We use a novel approach to recalibrate raw reads and call genotypes from ancient DNA and observe striking genetic similarity both among Aegean early farmers and with those from across Europe. Our study demonstrates a direct genetic link between Mediterranean and Central European early farmers and those of Greece and Anatolia, extending the European Neolithic migratory chain all the way back to southwestern Asia.","author":[{"dropping-particle":"","family":"Hofmanová","given":"Zuzana","non-dropping-particle":"","parse-names":false,"suffix":""},{"dropping-particle":"","family":"Kreutzer","given":"Susanne","non-dropping-particle":"","parse-names":false,"suffix":""},{"dropping-particle":"","family":"Hellenthal","given":"Garrett","non-dropping-particle":"","parse-names":false,"suffix":""},{"dropping-particle":"","family":"Sell","given":"Christian","non-dropping-particle":"","parse-names":false,"suffix":""},{"dropping-particle":"","family":"Diekmann","given":"Yoan","non-dropping-particle":"","parse-names":false,"suffix":""},{"dropping-particle":"","family":"Díez-del-Molino","given":"David","non-dropping-particle":"","parse-names":false,"suffix":""},{"dropping-particle":"","family":"Dorp","given":"Lucy","non-dropping-particle":"van","parse-names":false,"suffix":""},{"dropping-particle":"","family":"López","given":"Saioa","non-dropping-particle":"","parse-names":false,"suffix":""},{"dropping-particle":"","family":"Kousathanas","given":"Athanasios","non-dropping-particle":"","parse-names":false,"suffix":""},{"dropping-particle":"","family":"Link","given":"Vivian","non-dropping-particle":"","parse-names":false,"suffix":""},{"dropping-particle":"","family":"Kirsanow","given":"Karola","non-dropping-particle":"","parse-names":false,"suffix":""},{"dropping-particle":"","family":"Cassidy","given":"Lara M.","non-dropping-particle":"","parse-names":false,"suffix":""},{"dropping-particle":"","family":"Martiniano","given":"Rui","non-dropping-particle":"","parse-names":false,"suffix":""},{"dropping-particle":"","family":"Strobel","given":"Melanie","non-dropping-particle":"","parse-names":false,"suffix":""},{"dropping-particle":"","family":"Scheu","given":"Amelie","non-dropping-particle":"","parse-names":false,"suffix":""},{"dropping-particle":"","family":"Kotsakis","given":"Kostas","non-dropping-particle":"","parse-names":false,"suffix":""},{"dropping-particle":"","family":"Halstead","given":"Paul","non-dropping-particle":"","parse-names":false,"suffix":""},{"dropping-particle":"","family":"Triantaphyllou","given":"Sevi","non-dropping-particle":"","parse-names":false,"suffix":""},{"dropping-particle":"","family":"Kyparissi-Apostolika","given":"Nina","non-dropping-particle":"","parse-names":false,"suffix":""},{"dropping-particle":"","family":"Urem-Kotsou","given":"Dushka","non-dropping-particle":"","parse-names":false,"suffix":""},{"dropping-particle":"","family":"Ziota","given":"Christina","non-dropping-particle":"","parse-names":false,"suffix":""},{"dropping-particle":"","family":"Adaktylou","given":"Fotini","non-dropping-particle":"","parse-names":false,"suffix":""},{"dropping-particle":"","family":"Gopalan","given":"Shyamalika","non-dropping-particle":"","parse-names":false,"suffix":""},{"dropping-particle":"","family":"Bobo","given":"Dean M.","non-dropping-particle":"","parse-names":false,"suffix":""},{"dropping-particle":"","family":"Winkelbach","given":"Laura","non-dropping-particle":"","parse-names":false,"suffix":""},{"dropping-particle":"","family":"Blöcher","given":"Jens","non-dropping-particle":"","parse-names":false,"suffix":""},{"dropping-particle":"","family":"Unterländer","given":"Martina","non-dropping-particle":"","parse-names":false,"suffix":""},{"dropping-particle":"","family":"Leuenberger","given":"Christoph","non-dropping-particle":"","parse-names":false,"suffix":""},{"dropping-particle":"","family":"Çilingiroğlu","given":"Çiler","non-dropping-particle":"","parse-names":false,"suffix":""},{"dropping-particle":"","family":"Horejs","given":"Barbara","non-dropping-particle":"","parse-names":false,"suffix":""},{"dropping-particle":"","family":"Gerritsen","given":"Fokke","non-dropping-particle":"","parse-names":false,"suffix":""},{"dropping-particle":"","family":"Shennan","given":"Stephen J.","non-dropping-particle":"","parse-names":false,"suffix":""},{"dropping-particle":"","family":"Bradley","given":"Daniel G.","non-dropping-particle":"","parse-names":false,"suffix":""},{"dropping-particle":"","family":"Currat","given":"Mathias","non-dropping-particle":"","parse-names":false,"suffix":""},{"dropping-particle":"","family":"Veeramah","given":"Krishna R.","non-dropping-particle":"","parse-names":false,"suffix":""},{"dropping-particle":"","family":"Wegmann","given":"Daniel","non-dropping-particle":"","parse-names":false,"suffix":""},{"dropping-particle":"","family":"Thomas","given":"Mark G.","non-dropping-particle":"","parse-names":false,"suffix":""},{"dropping-particle":"","family":"Papageorgopoulou","given":"Christina","non-dropping-particle":"","parse-names":false,"suffix":""},{"dropping-particle":"","family":"Burger","given":"Joachim","non-dropping-particle":"","parse-names":false,"suffix":""}],"container-title":"Proceedings of the National Academy of Sciences","id":"ITEM-1","issue":"25","issued":{"date-parts":[["2016","6","21"]]},"page":"6886-6891","title":"Early farmers from across Europe directly descended from Neolithic Aegeans","type":"article-journal","volume":"113"},"uris":["http://www.mendeley.com/documents/?uuid=b945c703-aff7-4b1b-91b7-380f0d502743"]}],"mendeley":{"formattedCitation":"&lt;sup&gt;8&lt;/sup&gt;","plainTextFormattedCitation":"8","previouslyFormattedCitation":"&lt;sup&gt;8&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8</w:t>
      </w:r>
      <w:r w:rsidR="00B031D4" w:rsidRPr="004A2B32">
        <w:rPr>
          <w:color w:val="000000" w:themeColor="text1"/>
        </w:rPr>
        <w:fldChar w:fldCharType="end"/>
      </w:r>
      <w:r w:rsidR="002D58A0" w:rsidRPr="004A2B32">
        <w:rPr>
          <w:color w:val="000000" w:themeColor="text1"/>
        </w:rPr>
        <w:t>.</w:t>
      </w:r>
    </w:p>
    <w:p w14:paraId="2A807B31" w14:textId="1E145C61" w:rsidR="00194C56" w:rsidRDefault="00D820C9">
      <w:pPr>
        <w:jc w:val="both"/>
        <w:rPr>
          <w:color w:val="000000" w:themeColor="text1"/>
        </w:rPr>
      </w:pPr>
      <w:r w:rsidRPr="004A2B32">
        <w:rPr>
          <w:color w:val="000000" w:themeColor="text1"/>
        </w:rPr>
        <w:tab/>
      </w:r>
      <w:r w:rsidR="00194C56" w:rsidRPr="004A2B32">
        <w:rPr>
          <w:color w:val="000000" w:themeColor="text1"/>
        </w:rPr>
        <w:t xml:space="preserve">Quantification of library concentration and fragmentation pattern </w:t>
      </w:r>
      <w:r w:rsidR="00BB7D47" w:rsidRPr="004A2B32">
        <w:rPr>
          <w:color w:val="000000" w:themeColor="text1"/>
        </w:rPr>
        <w:t xml:space="preserve">was </w:t>
      </w:r>
      <w:r w:rsidR="00194C56" w:rsidRPr="004A2B32">
        <w:rPr>
          <w:color w:val="000000" w:themeColor="text1"/>
        </w:rPr>
        <w:t>performed by Qubit</w:t>
      </w:r>
      <w:r w:rsidR="00194C56" w:rsidRPr="004A2B32">
        <w:rPr>
          <w:color w:val="000000" w:themeColor="text1"/>
          <w:vertAlign w:val="superscript"/>
        </w:rPr>
        <w:t xml:space="preserve">® </w:t>
      </w:r>
      <w:r w:rsidR="00194C56" w:rsidRPr="004A2B32">
        <w:rPr>
          <w:color w:val="000000" w:themeColor="text1"/>
        </w:rPr>
        <w:t>Fluorometric quantitation (dsDNA HS assay, Invitrogen) and Bioanalyzer measurements (HS, Agilent Technologies). For quality assessment of single libraries of samples and blank controls, a quantitative real-time PCR was performed. With the results of a molecular screening described in</w:t>
      </w:r>
      <w:r w:rsidR="00DE7483">
        <w:rPr>
          <w:color w:val="000000" w:themeColor="text1"/>
        </w:rPr>
        <w:t xml:space="preserve"> previous study</w:t>
      </w:r>
      <w:r w:rsidR="0002392F" w:rsidRPr="004A2B32">
        <w:rPr>
          <w:color w:val="000000" w:themeColor="text1"/>
        </w:rPr>
        <w:fldChar w:fldCharType="begin" w:fldLock="1"/>
      </w:r>
      <w:r w:rsidR="00BE2180">
        <w:rPr>
          <w:color w:val="000000" w:themeColor="text1"/>
        </w:rPr>
        <w:instrText>ADDIN CSL_CITATION {"citationItems":[{"id":"ITEM-1","itemData":{"DOI":"10.1073/pnas.1523951113","ISSN":"0027-8424","abstract":"Farming and sedentism first appeared in southwestern Asia during the early Holocene and later spread to neighboring regions, including Europe, along multiple dispersal routes. Conspicuous uncertainties remain about the relative roles of migration, cultural diffusion, and admixture with local foragers in the early Neolithization of Europe. Here we present paleogenomic data for five Neolithic individuals from northern Greece and northwestern Turkey spanning the time and region of the earliest spread of farming into Europe. We use a novel approach to recalibrate raw reads and call genotypes from ancient DNA and observe striking genetic similarity both among Aegean early farmers and with those from across Europe. Our study demonstrates a direct genetic link between Mediterranean and Central European early farmers and those of Greece and Anatolia, extending the European Neolithic migratory chain all the way back to southwestern Asia.","author":[{"dropping-particle":"","family":"Hofmanová","given":"Zuzana","non-dropping-particle":"","parse-names":false,"suffix":""},{"dropping-particle":"","family":"Kreutzer","given":"Susanne","non-dropping-particle":"","parse-names":false,"suffix":""},{"dropping-particle":"","family":"Hellenthal","given":"Garrett","non-dropping-particle":"","parse-names":false,"suffix":""},{"dropping-particle":"","family":"Sell","given":"Christian","non-dropping-particle":"","parse-names":false,"suffix":""},{"dropping-particle":"","family":"Diekmann","given":"Yoan","non-dropping-particle":"","parse-names":false,"suffix":""},{"dropping-particle":"","family":"Díez-del-Molino","given":"David","non-dropping-particle":"","parse-names":false,"suffix":""},{"dropping-particle":"","family":"Dorp","given":"Lucy","non-dropping-particle":"van","parse-names":false,"suffix":""},{"dropping-particle":"","family":"López","given":"Saioa","non-dropping-particle":"","parse-names":false,"suffix":""},{"dropping-particle":"","family":"Kousathanas","given":"Athanasios","non-dropping-particle":"","parse-names":false,"suffix":""},{"dropping-particle":"","family":"Link","given":"Vivian","non-dropping-particle":"","parse-names":false,"suffix":""},{"dropping-particle":"","family":"Kirsanow","given":"Karola","non-dropping-particle":"","parse-names":false,"suffix":""},{"dropping-particle":"","family":"Cassidy","given":"Lara M.","non-dropping-particle":"","parse-names":false,"suffix":""},{"dropping-particle":"","family":"Martiniano","given":"Rui","non-dropping-particle":"","parse-names":false,"suffix":""},{"dropping-particle":"","family":"Strobel","given":"Melanie","non-dropping-particle":"","parse-names":false,"suffix":""},{"dropping-particle":"","family":"Scheu","given":"Amelie","non-dropping-particle":"","parse-names":false,"suffix":""},{"dropping-particle":"","family":"Kotsakis","given":"Kostas","non-dropping-particle":"","parse-names":false,"suffix":""},{"dropping-particle":"","family":"Halstead","given":"Paul","non-dropping-particle":"","parse-names":false,"suffix":""},{"dropping-particle":"","family":"Triantaphyllou","given":"Sevi","non-dropping-particle":"","parse-names":false,"suffix":""},{"dropping-particle":"","family":"Kyparissi-Apostolika","given":"Nina","non-dropping-particle":"","parse-names":false,"suffix":""},{"dropping-particle":"","family":"Urem-Kotsou","given":"Dushka","non-dropping-particle":"","parse-names":false,"suffix":""},{"dropping-particle":"","family":"Ziota","given":"Christina","non-dropping-particle":"","parse-names":false,"suffix":""},{"dropping-particle":"","family":"Adaktylou","given":"Fotini","non-dropping-particle":"","parse-names":false,"suffix":""},{"dropping-particle":"","family":"Gopalan","given":"Shyamalika","non-dropping-particle":"","parse-names":false,"suffix":""},{"dropping-particle":"","family":"Bobo","given":"Dean M.","non-dropping-particle":"","parse-names":false,"suffix":""},{"dropping-particle":"","family":"Winkelbach","given":"Laura","non-dropping-particle":"","parse-names":false,"suffix":""},{"dropping-particle":"","family":"Blöcher","given":"Jens","non-dropping-particle":"","parse-names":false,"suffix":""},{"dropping-particle":"","family":"Unterländer","given":"Martina","non-dropping-particle":"","parse-names":false,"suffix":""},{"dropping-particle":"","family":"Leuenberger","given":"Christoph","non-dropping-particle":"","parse-names":false,"suffix":""},{"dropping-particle":"","family":"Çilingiroğlu","given":"Çiler","non-dropping-particle":"","parse-names":false,"suffix":""},{"dropping-particle":"","family":"Horejs","given":"Barbara","non-dropping-particle":"","parse-names":false,"suffix":""},{"dropping-particle":"","family":"Gerritsen","given":"Fokke","non-dropping-particle":"","parse-names":false,"suffix":""},{"dropping-particle":"","family":"Shennan","given":"Stephen J.","non-dropping-particle":"","parse-names":false,"suffix":""},{"dropping-particle":"","family":"Bradley","given":"Daniel G.","non-dropping-particle":"","parse-names":false,"suffix":""},{"dropping-particle":"","family":"Currat","given":"Mathias","non-dropping-particle":"","parse-names":false,"suffix":""},{"dropping-particle":"","family":"Veeramah","given":"Krishna R.","non-dropping-particle":"","parse-names":false,"suffix":""},{"dropping-particle":"","family":"Wegmann","given":"Daniel","non-dropping-particle":"","parse-names":false,"suffix":""},{"dropping-particle":"","family":"Thomas","given":"Mark G.","non-dropping-particle":"","parse-names":false,"suffix":""},{"dropping-particle":"","family":"Papageorgopoulou","given":"Christina","non-dropping-particle":"","parse-names":false,"suffix":""},{"dropping-particle":"","family":"Burger","given":"Joachim","non-dropping-particle":"","parse-names":false,"suffix":""}],"container-title":"Proceedings of the National Academy of Sciences","id":"ITEM-1","issue":"25","issued":{"date-parts":[["2016","6","21"]]},"page":"6886-6891","title":"Early farmers from across Europe directly descended from Neolithic Aegeans","type":"article-journal","volume":"113"},"uris":["http://www.mendeley.com/documents/?uuid=b945c703-aff7-4b1b-91b7-380f0d502743"]}],"mendeley":{"formattedCitation":"&lt;sup&gt;8&lt;/sup&gt;","plainTextFormattedCitation":"8","previouslyFormattedCitation":"&lt;sup&gt;8&lt;/sup&gt;"},"properties":{"noteIndex":0},"schema":"https://github.com/citation-style-language/schema/raw/master/csl-citation.json"}</w:instrText>
      </w:r>
      <w:r w:rsidR="0002392F" w:rsidRPr="004A2B32">
        <w:rPr>
          <w:color w:val="000000" w:themeColor="text1"/>
        </w:rPr>
        <w:fldChar w:fldCharType="separate"/>
      </w:r>
      <w:r w:rsidR="00BE2180" w:rsidRPr="00BE2180">
        <w:rPr>
          <w:noProof/>
          <w:color w:val="000000" w:themeColor="text1"/>
          <w:vertAlign w:val="superscript"/>
        </w:rPr>
        <w:t>8</w:t>
      </w:r>
      <w:r w:rsidR="0002392F" w:rsidRPr="004A2B32">
        <w:rPr>
          <w:color w:val="000000" w:themeColor="text1"/>
        </w:rPr>
        <w:fldChar w:fldCharType="end"/>
      </w:r>
      <w:r w:rsidR="0002392F" w:rsidRPr="004A2B32">
        <w:rPr>
          <w:color w:val="000000" w:themeColor="text1"/>
        </w:rPr>
        <w:t xml:space="preserve"> </w:t>
      </w:r>
      <w:r w:rsidR="00194C56" w:rsidRPr="004A2B32">
        <w:rPr>
          <w:color w:val="000000" w:themeColor="text1"/>
        </w:rPr>
        <w:t>SI 2)</w:t>
      </w:r>
      <w:r w:rsidR="00BB7D47" w:rsidRPr="004A2B32">
        <w:rPr>
          <w:color w:val="000000" w:themeColor="text1"/>
        </w:rPr>
        <w:t>,</w:t>
      </w:r>
      <w:r w:rsidR="00194C56" w:rsidRPr="004A2B32">
        <w:rPr>
          <w:color w:val="000000" w:themeColor="text1"/>
        </w:rPr>
        <w:t xml:space="preserve"> we </w:t>
      </w:r>
      <w:r w:rsidR="00BB7D47" w:rsidRPr="004A2B32">
        <w:rPr>
          <w:color w:val="000000" w:themeColor="text1"/>
        </w:rPr>
        <w:t xml:space="preserve">selected </w:t>
      </w:r>
      <w:r w:rsidR="00194C56" w:rsidRPr="004A2B32">
        <w:rPr>
          <w:color w:val="000000" w:themeColor="text1"/>
        </w:rPr>
        <w:t>samples for mitochondrial capture. Samples with low unique copy numbers and endogenous DNA contents were discarded, since previous experiments have shown high duplication and contamination levels in samples of similar quality (data not shown).</w:t>
      </w:r>
    </w:p>
    <w:p w14:paraId="19F8D6C6" w14:textId="77777777" w:rsidR="00755D15" w:rsidRPr="004A2B32" w:rsidRDefault="00755D15">
      <w:pPr>
        <w:jc w:val="both"/>
        <w:rPr>
          <w:color w:val="000000" w:themeColor="text1"/>
          <w:sz w:val="24"/>
          <w:szCs w:val="24"/>
        </w:rPr>
      </w:pPr>
    </w:p>
    <w:p w14:paraId="1E02DEFE" w14:textId="77777777" w:rsidR="00194C56" w:rsidRPr="004A2B32" w:rsidRDefault="00194C56" w:rsidP="00D820C9">
      <w:pPr>
        <w:pStyle w:val="4"/>
        <w:rPr>
          <w:color w:val="000000" w:themeColor="text1"/>
        </w:rPr>
      </w:pPr>
      <w:bookmarkStart w:id="29" w:name="_8wxsvkp3p2xe" w:colFirst="0" w:colLast="0"/>
      <w:bookmarkEnd w:id="29"/>
      <w:r w:rsidRPr="004A2B32">
        <w:rPr>
          <w:color w:val="000000" w:themeColor="text1"/>
        </w:rPr>
        <w:t>Enrichment of the mitochondrial genome and Illumina sequencing</w:t>
      </w:r>
    </w:p>
    <w:p w14:paraId="6F318818" w14:textId="55FD3215" w:rsidR="00194C56" w:rsidRPr="004A2B32" w:rsidRDefault="00194C56">
      <w:pPr>
        <w:jc w:val="both"/>
        <w:rPr>
          <w:color w:val="000000" w:themeColor="text1"/>
        </w:rPr>
      </w:pPr>
      <w:r w:rsidRPr="004A2B32">
        <w:rPr>
          <w:color w:val="000000" w:themeColor="text1"/>
        </w:rPr>
        <w:t xml:space="preserve">All post-library-amplification experiments and hybridization reactions were carried out in a specific laboratory that is exclusively used for NGS experiments. Working steps were performed in UV-irradiated boxes. To avoid cross-contamination all objects of general use were incubated with bleach and UV-irradiated after usage. Capture design and setup is described in </w:t>
      </w:r>
      <w:r w:rsidR="0002392F" w:rsidRPr="004A2B32">
        <w:rPr>
          <w:color w:val="000000" w:themeColor="text1"/>
        </w:rPr>
        <w:t>(</w:t>
      </w:r>
      <w:r w:rsidR="0002392F" w:rsidRPr="004A2B32">
        <w:rPr>
          <w:color w:val="000000" w:themeColor="text1"/>
        </w:rPr>
        <w:fldChar w:fldCharType="begin" w:fldLock="1"/>
      </w:r>
      <w:r w:rsidR="00BE2180">
        <w:rPr>
          <w:color w:val="000000" w:themeColor="text1"/>
        </w:rPr>
        <w:instrText>ADDIN CSL_CITATION {"citationItems":[{"id":"ITEM-1","itemData":{"DOI":"10.1073/pnas.1523951113","ISSN":"0027-8424","abstract":"Farming and sedentism first appeared in southwestern Asia during the early Holocene and later spread to neighboring regions, including Europe, along multiple dispersal routes. Conspicuous uncertainties remain about the relative roles of migration, cultural diffusion, and admixture with local foragers in the early Neolithization of Europe. Here we present paleogenomic data for five Neolithic individuals from northern Greece and northwestern Turkey spanning the time and region of the earliest spread of farming into Europe. We use a novel approach to recalibrate raw reads and call genotypes from ancient DNA and observe striking genetic similarity both among Aegean early farmers and with those from across Europe. Our study demonstrates a direct genetic link between Mediterranean and Central European early farmers and those of Greece and Anatolia, extending the European Neolithic migratory chain all the way back to southwestern Asia.","author":[{"dropping-particle":"","family":"Hofmanová","given":"Zuzana","non-dropping-particle":"","parse-names":false,"suffix":""},{"dropping-particle":"","family":"Kreutzer","given":"Susanne","non-dropping-particle":"","parse-names":false,"suffix":""},{"dropping-particle":"","family":"Hellenthal","given":"Garrett","non-dropping-particle":"","parse-names":false,"suffix":""},{"dropping-particle":"","family":"Sell","given":"Christian","non-dropping-particle":"","parse-names":false,"suffix":""},{"dropping-particle":"","family":"Diekmann","given":"Yoan","non-dropping-particle":"","parse-names":false,"suffix":""},{"dropping-particle":"","family":"Díez-del-Molino","given":"David","non-dropping-particle":"","parse-names":false,"suffix":""},{"dropping-particle":"","family":"Dorp","given":"Lucy","non-dropping-particle":"van","parse-names":false,"suffix":""},{"dropping-particle":"","family":"López","given":"Saioa","non-dropping-particle":"","parse-names":false,"suffix":""},{"dropping-particle":"","family":"Kousathanas","given":"Athanasios","non-dropping-particle":"","parse-names":false,"suffix":""},{"dropping-particle":"","family":"Link","given":"Vivian","non-dropping-particle":"","parse-names":false,"suffix":""},{"dropping-particle":"","family":"Kirsanow","given":"Karola","non-dropping-particle":"","parse-names":false,"suffix":""},{"dropping-particle":"","family":"Cassidy","given":"Lara M.","non-dropping-particle":"","parse-names":false,"suffix":""},{"dropping-particle":"","family":"Martiniano","given":"Rui","non-dropping-particle":"","parse-names":false,"suffix":""},{"dropping-particle":"","family":"Strobel","given":"Melanie","non-dropping-particle":"","parse-names":false,"suffix":""},{"dropping-particle":"","family":"Scheu","given":"Amelie","non-dropping-particle":"","parse-names":false,"suffix":""},{"dropping-particle":"","family":"Kotsakis","given":"Kostas","non-dropping-particle":"","parse-names":false,"suffix":""},{"dropping-particle":"","family":"Halstead","given":"Paul","non-dropping-particle":"","parse-names":false,"suffix":""},{"dropping-particle":"","family":"Triantaphyllou","given":"Sevi","non-dropping-particle":"","parse-names":false,"suffix":""},{"dropping-particle":"","family":"Kyparissi-Apostolika","given":"Nina","non-dropping-particle":"","parse-names":false,"suffix":""},{"dropping-particle":"","family":"Urem-Kotsou","given":"Dushka","non-dropping-particle":"","parse-names":false,"suffix":""},{"dropping-particle":"","family":"Ziota","given":"Christina","non-dropping-particle":"","parse-names":false,"suffix":""},{"dropping-particle":"","family":"Adaktylou","given":"Fotini","non-dropping-particle":"","parse-names":false,"suffix":""},{"dropping-particle":"","family":"Gopalan","given":"Shyamalika","non-dropping-particle":"","parse-names":false,"suffix":""},{"dropping-particle":"","family":"Bobo","given":"Dean M.","non-dropping-particle":"","parse-names":false,"suffix":""},{"dropping-particle":"","family":"Winkelbach","given":"Laura","non-dropping-particle":"","parse-names":false,"suffix":""},{"dropping-particle":"","family":"Blöcher","given":"Jens","non-dropping-particle":"","parse-names":false,"suffix":""},{"dropping-particle":"","family":"Unterländer","given":"Martina","non-dropping-particle":"","parse-names":false,"suffix":""},{"dropping-particle":"","family":"Leuenberger","given":"Christoph","non-dropping-particle":"","parse-names":false,"suffix":""},{"dropping-particle":"","family":"Çilingiroğlu","given":"Çiler","non-dropping-particle":"","parse-names":false,"suffix":""},{"dropping-particle":"","family":"Horejs","given":"Barbara","non-dropping-particle":"","parse-names":false,"suffix":""},{"dropping-particle":"","family":"Gerritsen","given":"Fokke","non-dropping-particle":"","parse-names":false,"suffix":""},{"dropping-particle":"","family":"Shennan","given":"Stephen J.","non-dropping-particle":"","parse-names":false,"suffix":""},{"dropping-particle":"","family":"Bradley","given":"Daniel G.","non-dropping-particle":"","parse-names":false,"suffix":""},{"dropping-particle":"","family":"Currat","given":"Mathias","non-dropping-particle":"","parse-names":false,"suffix":""},{"dropping-particle":"","family":"Veeramah","given":"Krishna R.","non-dropping-particle":"","parse-names":false,"suffix":""},{"dropping-particle":"","family":"Wegmann","given":"Daniel","non-dropping-particle":"","parse-names":false,"suffix":""},{"dropping-particle":"","family":"Thomas","given":"Mark G.","non-dropping-particle":"","parse-names":false,"suffix":""},{"dropping-particle":"","family":"Papageorgopoulou","given":"Christina","non-dropping-particle":"","parse-names":false,"suffix":""},{"dropping-particle":"","family":"Burger","given":"Joachim","non-dropping-particle":"","parse-names":false,"suffix":""}],"container-title":"Proceedings of the National Academy of Sciences","id":"ITEM-1","issue":"25","issued":{"date-parts":[["2016","6","21"]]},"page":"6886-6891","title":"Early farmers from across Europe directly descended from Neolithic Aegeans","type":"article-journal","volume":"113"},"uris":["http://www.mendeley.com/documents/?uuid=b945c703-aff7-4b1b-91b7-380f0d502743"]}],"mendeley":{"formattedCitation":"&lt;sup&gt;8&lt;/sup&gt;","plainTextFormattedCitation":"8","previouslyFormattedCitation":"&lt;sup&gt;8&lt;/sup&gt;"},"properties":{"noteIndex":0},"schema":"https://github.com/citation-style-language/schema/raw/master/csl-citation.json"}</w:instrText>
      </w:r>
      <w:r w:rsidR="0002392F" w:rsidRPr="004A2B32">
        <w:rPr>
          <w:color w:val="000000" w:themeColor="text1"/>
        </w:rPr>
        <w:fldChar w:fldCharType="separate"/>
      </w:r>
      <w:r w:rsidR="00BE2180" w:rsidRPr="00BE2180">
        <w:rPr>
          <w:noProof/>
          <w:color w:val="000000" w:themeColor="text1"/>
          <w:vertAlign w:val="superscript"/>
        </w:rPr>
        <w:t>8</w:t>
      </w:r>
      <w:r w:rsidR="0002392F" w:rsidRPr="004A2B32">
        <w:rPr>
          <w:color w:val="000000" w:themeColor="text1"/>
        </w:rPr>
        <w:fldChar w:fldCharType="end"/>
      </w:r>
      <w:r w:rsidR="002D58A0" w:rsidRPr="004A2B32">
        <w:rPr>
          <w:color w:val="000000" w:themeColor="text1"/>
        </w:rPr>
        <w:t xml:space="preserve">, </w:t>
      </w:r>
      <w:r w:rsidRPr="004A2B32">
        <w:rPr>
          <w:color w:val="000000" w:themeColor="text1"/>
        </w:rPr>
        <w:t xml:space="preserve">SI 2). All samples were enriched for the mitochondrial genome in two serial capture rounds. For </w:t>
      </w:r>
      <w:r w:rsidR="00BB7D47" w:rsidRPr="004A2B32">
        <w:rPr>
          <w:color w:val="000000" w:themeColor="text1"/>
        </w:rPr>
        <w:t>b</w:t>
      </w:r>
      <w:r w:rsidRPr="004A2B32">
        <w:rPr>
          <w:color w:val="000000" w:themeColor="text1"/>
        </w:rPr>
        <w:t>one and tooth samples pooled libraries of two extractions were used, where library molecules carried P7 indices only; distinct extractions of a sample were indexed independently to guarantee a separate data analysis. P5-Indices were added during PCR after the second capture. On the contrary, we used just a tiny subset of the library for PP samples, with both indices added (see difference in PCR strategy).</w:t>
      </w:r>
    </w:p>
    <w:p w14:paraId="5A3EE80B" w14:textId="48704BFA" w:rsidR="00194C56" w:rsidRPr="004A2B32" w:rsidRDefault="00194C56">
      <w:pPr>
        <w:jc w:val="both"/>
        <w:rPr>
          <w:color w:val="000000" w:themeColor="text1"/>
        </w:rPr>
      </w:pPr>
      <w:r w:rsidRPr="004A2B32">
        <w:rPr>
          <w:color w:val="000000" w:themeColor="text1"/>
        </w:rPr>
        <w:t>Capture products were sequenced in a pool using different Illumina sequencing platforms and chemistry (</w:t>
      </w:r>
      <w:proofErr w:type="spellStart"/>
      <w:r w:rsidRPr="004A2B32">
        <w:rPr>
          <w:color w:val="000000" w:themeColor="text1"/>
        </w:rPr>
        <w:t>MiSeq</w:t>
      </w:r>
      <w:proofErr w:type="spellEnd"/>
      <w:r w:rsidRPr="004A2B32">
        <w:rPr>
          <w:color w:val="000000" w:themeColor="text1"/>
        </w:rPr>
        <w:t xml:space="preserve"> - 50bp SE, 150bp SE; </w:t>
      </w:r>
      <w:proofErr w:type="spellStart"/>
      <w:r w:rsidRPr="004A2B32">
        <w:rPr>
          <w:color w:val="000000" w:themeColor="text1"/>
        </w:rPr>
        <w:t>HiSeq</w:t>
      </w:r>
      <w:proofErr w:type="spellEnd"/>
      <w:r w:rsidRPr="004A2B32">
        <w:rPr>
          <w:color w:val="000000" w:themeColor="text1"/>
        </w:rPr>
        <w:t xml:space="preserve"> 2500 - 100bpPE).  Illumina sequencing data analysis was performed as described </w:t>
      </w:r>
      <w:r w:rsidR="00DE7483">
        <w:rPr>
          <w:color w:val="000000" w:themeColor="text1"/>
        </w:rPr>
        <w:t>in previous study</w:t>
      </w:r>
      <w:r w:rsidR="0002392F" w:rsidRPr="004A2B32">
        <w:rPr>
          <w:color w:val="000000" w:themeColor="text1"/>
        </w:rPr>
        <w:fldChar w:fldCharType="begin" w:fldLock="1"/>
      </w:r>
      <w:r w:rsidR="00BE2180">
        <w:rPr>
          <w:color w:val="000000" w:themeColor="text1"/>
        </w:rPr>
        <w:instrText>ADDIN CSL_CITATION {"citationItems":[{"id":"ITEM-1","itemData":{"DOI":"10.1073/pnas.1523951113","ISSN":"0027-8424","abstract":"Farming and sedentism first appeared in southwestern Asia during the early Holocene and later spread to neighboring regions, including Europe, along multiple dispersal routes. Conspicuous uncertainties remain about the relative roles of migration, cultural diffusion, and admixture with local foragers in the early Neolithization of Europe. Here we present paleogenomic data for five Neolithic individuals from northern Greece and northwestern Turkey spanning the time and region of the earliest spread of farming into Europe. We use a novel approach to recalibrate raw reads and call genotypes from ancient DNA and observe striking genetic similarity both among Aegean early farmers and with those from across Europe. Our study demonstrates a direct genetic link between Mediterranean and Central European early farmers and those of Greece and Anatolia, extending the European Neolithic migratory chain all the way back to southwestern Asia.","author":[{"dropping-particle":"","family":"Hofmanová","given":"Zuzana","non-dropping-particle":"","parse-names":false,"suffix":""},{"dropping-particle":"","family":"Kreutzer","given":"Susanne","non-dropping-particle":"","parse-names":false,"suffix":""},{"dropping-particle":"","family":"Hellenthal","given":"Garrett","non-dropping-particle":"","parse-names":false,"suffix":""},{"dropping-particle":"","family":"Sell","given":"Christian","non-dropping-particle":"","parse-names":false,"suffix":""},{"dropping-particle":"","family":"Diekmann","given":"Yoan","non-dropping-particle":"","parse-names":false,"suffix":""},{"dropping-particle":"","family":"Díez-del-Molino","given":"David","non-dropping-particle":"","parse-names":false,"suffix":""},{"dropping-particle":"","family":"Dorp","given":"Lucy","non-dropping-particle":"van","parse-names":false,"suffix":""},{"dropping-particle":"","family":"López","given":"Saioa","non-dropping-particle":"","parse-names":false,"suffix":""},{"dropping-particle":"","family":"Kousathanas","given":"Athanasios","non-dropping-particle":"","parse-names":false,"suffix":""},{"dropping-particle":"","family":"Link","given":"Vivian","non-dropping-particle":"","parse-names":false,"suffix":""},{"dropping-particle":"","family":"Kirsanow","given":"Karola","non-dropping-particle":"","parse-names":false,"suffix":""},{"dropping-particle":"","family":"Cassidy","given":"Lara M.","non-dropping-particle":"","parse-names":false,"suffix":""},{"dropping-particle":"","family":"Martiniano","given":"Rui","non-dropping-particle":"","parse-names":false,"suffix":""},{"dropping-particle":"","family":"Strobel","given":"Melanie","non-dropping-particle":"","parse-names":false,"suffix":""},{"dropping-particle":"","family":"Scheu","given":"Amelie","non-dropping-particle":"","parse-names":false,"suffix":""},{"dropping-particle":"","family":"Kotsakis","given":"Kostas","non-dropping-particle":"","parse-names":false,"suffix":""},{"dropping-particle":"","family":"Halstead","given":"Paul","non-dropping-particle":"","parse-names":false,"suffix":""},{"dropping-particle":"","family":"Triantaphyllou","given":"Sevi","non-dropping-particle":"","parse-names":false,"suffix":""},{"dropping-particle":"","family":"Kyparissi-Apostolika","given":"Nina","non-dropping-particle":"","parse-names":false,"suffix":""},{"dropping-particle":"","family":"Urem-Kotsou","given":"Dushka","non-dropping-particle":"","parse-names":false,"suffix":""},{"dropping-particle":"","family":"Ziota","given":"Christina","non-dropping-particle":"","parse-names":false,"suffix":""},{"dropping-particle":"","family":"Adaktylou","given":"Fotini","non-dropping-particle":"","parse-names":false,"suffix":""},{"dropping-particle":"","family":"Gopalan","given":"Shyamalika","non-dropping-particle":"","parse-names":false,"suffix":""},{"dropping-particle":"","family":"Bobo","given":"Dean M.","non-dropping-particle":"","parse-names":false,"suffix":""},{"dropping-particle":"","family":"Winkelbach","given":"Laura","non-dropping-particle":"","parse-names":false,"suffix":""},{"dropping-particle":"","family":"Blöcher","given":"Jens","non-dropping-particle":"","parse-names":false,"suffix":""},{"dropping-particle":"","family":"Unterländer","given":"Martina","non-dropping-particle":"","parse-names":false,"suffix":""},{"dropping-particle":"","family":"Leuenberger","given":"Christoph","non-dropping-particle":"","parse-names":false,"suffix":""},{"dropping-particle":"","family":"Çilingiroğlu","given":"Çiler","non-dropping-particle":"","parse-names":false,"suffix":""},{"dropping-particle":"","family":"Horejs","given":"Barbara","non-dropping-particle":"","parse-names":false,"suffix":""},{"dropping-particle":"","family":"Gerritsen","given":"Fokke","non-dropping-particle":"","parse-names":false,"suffix":""},{"dropping-particle":"","family":"Shennan","given":"Stephen J.","non-dropping-particle":"","parse-names":false,"suffix":""},{"dropping-particle":"","family":"Bradley","given":"Daniel G.","non-dropping-particle":"","parse-names":false,"suffix":""},{"dropping-particle":"","family":"Currat","given":"Mathias","non-dropping-particle":"","parse-names":false,"suffix":""},{"dropping-particle":"","family":"Veeramah","given":"Krishna R.","non-dropping-particle":"","parse-names":false,"suffix":""},{"dropping-particle":"","family":"Wegmann","given":"Daniel","non-dropping-particle":"","parse-names":false,"suffix":""},{"dropping-particle":"","family":"Thomas","given":"Mark G.","non-dropping-particle":"","parse-names":false,"suffix":""},{"dropping-particle":"","family":"Papageorgopoulou","given":"Christina","non-dropping-particle":"","parse-names":false,"suffix":""},{"dropping-particle":"","family":"Burger","given":"Joachim","non-dropping-particle":"","parse-names":false,"suffix":""}],"container-title":"Proceedings of the National Academy of Sciences","id":"ITEM-1","issue":"25","issued":{"date-parts":[["2016","6","21"]]},"page":"6886-6891","title":"Early farmers from across Europe directly descended from Neolithic Aegeans","type":"article-journal","volume":"113"},"uris":["http://www.mendeley.com/documents/?uuid=b945c703-aff7-4b1b-91b7-380f0d502743"]}],"mendeley":{"formattedCitation":"&lt;sup&gt;8&lt;/sup&gt;","plainTextFormattedCitation":"8","previouslyFormattedCitation":"&lt;sup&gt;8&lt;/sup&gt;"},"properties":{"noteIndex":0},"schema":"https://github.com/citation-style-language/schema/raw/master/csl-citation.json"}</w:instrText>
      </w:r>
      <w:r w:rsidR="0002392F" w:rsidRPr="004A2B32">
        <w:rPr>
          <w:color w:val="000000" w:themeColor="text1"/>
        </w:rPr>
        <w:fldChar w:fldCharType="separate"/>
      </w:r>
      <w:r w:rsidR="00BE2180" w:rsidRPr="00BE2180">
        <w:rPr>
          <w:noProof/>
          <w:color w:val="000000" w:themeColor="text1"/>
          <w:vertAlign w:val="superscript"/>
        </w:rPr>
        <w:t>8</w:t>
      </w:r>
      <w:r w:rsidR="0002392F" w:rsidRPr="004A2B32">
        <w:rPr>
          <w:color w:val="000000" w:themeColor="text1"/>
        </w:rPr>
        <w:fldChar w:fldCharType="end"/>
      </w:r>
      <w:r w:rsidRPr="004A2B32">
        <w:rPr>
          <w:color w:val="000000" w:themeColor="text1"/>
        </w:rPr>
        <w:t>, SI 3). We used ContamMix</w:t>
      </w:r>
      <w:r w:rsidR="00B031D4" w:rsidRPr="004A2B32">
        <w:rPr>
          <w:color w:val="000000" w:themeColor="text1"/>
        </w:rPr>
        <w:fldChar w:fldCharType="begin" w:fldLock="1"/>
      </w:r>
      <w:r w:rsidR="00BE2180">
        <w:rPr>
          <w:color w:val="000000" w:themeColor="text1"/>
        </w:rPr>
        <w:instrText>ADDIN CSL_CITATION {"citationItems":[{"id":"ITEM-1","itemData":{"DOI":"10.1016/j.cub.2013.02.044","ISSN":"09609822","author":[{"dropping-particle":"","family":"Fu","given":"Qiaomei","non-dropping-particle":"","parse-names":false,"suffix":""},{"dropping-particle":"","family":"Mittnik","given":"Alissa","non-dropping-particle":"","parse-names":false,"suffix":""},{"dropping-particle":"","family":"Johnson","given":"Philip L.F.","non-dropping-particle":"","parse-names":false,"suffix":""},{"dropping-particle":"","family":"Bos","given":"Kirsten","non-dropping-particle":"","parse-names":false,"suffix":""},{"dropping-particle":"","family":"Lari","given":"Martina","non-dropping-particle":"","parse-names":false,"suffix":""},{"dropping-particle":"","family":"Bollongino","given":"Ruth","non-dropping-particle":"","parse-names":false,"suffix":""},{"dropping-particle":"","family":"Sun","given":"Chengkai","non-dropping-particle":"","parse-names":false,"suffix":""},{"dropping-particle":"","family":"Giemsch","given":"Liane","non-dropping-particle":"","parse-names":false,"suffix":""},{"dropping-particle":"","family":"Schmitz","given":"Ralf","non-dropping-particle":"","parse-names":false,"suffix":""},{"dropping-particle":"","family":"Burger","given":"Joachim","non-dropping-particle":"","parse-names":false,"suffix":""},{"dropping-particle":"","family":"Ronchitelli","given":"Anna Maria","non-dropping-particle":"","parse-names":false,"suffix":""},{"dropping-particle":"","family":"Martini","given":"Fabio","non-dropping-particle":"","parse-names":false,"suffix":""},{"dropping-particle":"","family":"Cremonesi","given":"Renata G.","non-dropping-particle":"","parse-names":false,"suffix":""},{"dropping-particle":"","family":"Svoboda","given":"Jiří","non-dropping-particle":"","parse-names":false,"suffix":""},{"dropping-particle":"","family":"Bauer","given":"Peter","non-dropping-particle":"","parse-names":false,"suffix":""},{"dropping-particle":"","family":"Caramelli","given":"David","non-dropping-particle":"","parse-names":false,"suffix":""},{"dropping-particle":"","family":"Castellano","given":"Sergi","non-dropping-particle":"","parse-names":false,"suffix":""},{"dropping-particle":"","family":"Reich","given":"David","non-dropping-particle":"","parse-names":false,"suffix":""},{"dropping-particle":"","family":"Pääbo","given":"Svante","non-dropping-particle":"","parse-names":false,"suffix":""},{"dropping-particle":"","family":"Krause","given":"Johannes","non-dropping-particle":"","parse-names":false,"suffix":""}],"container-title":"Current Biology","id":"ITEM-1","issue":"7","issued":{"date-parts":[["2013","4"]]},"page":"553-559","title":"A Revised Timescale for Human Evolution Based on Ancient Mitochondrial Genomes","type":"article-journal","volume":"23"},"uris":["http://www.mendeley.com/documents/?uuid=2903929c-ded6-43c7-a8fc-c3abec17c0c8"]}],"mendeley":{"formattedCitation":"&lt;sup&gt;99&lt;/sup&gt;","plainTextFormattedCitation":"99","previouslyFormattedCitation":"&lt;sup&gt;99&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99</w:t>
      </w:r>
      <w:r w:rsidR="00B031D4" w:rsidRPr="004A2B32">
        <w:rPr>
          <w:color w:val="000000" w:themeColor="text1"/>
        </w:rPr>
        <w:fldChar w:fldCharType="end"/>
      </w:r>
      <w:r w:rsidRPr="004A2B32">
        <w:rPr>
          <w:color w:val="000000" w:themeColor="text1"/>
        </w:rPr>
        <w:t xml:space="preserve"> to estimate contamination rates and display the authenticity of the dataset (Table S2). As a threshold for implementation of the data in subsequent population genetic analysis and modelling, we set the percentage of authentic data to 95% for each dataset. Additionally, each dataset per sample was filtered for deaminated reads (PMTtools</w:t>
      </w:r>
      <w:r w:rsidR="00B031D4" w:rsidRPr="004A2B32">
        <w:rPr>
          <w:color w:val="000000" w:themeColor="text1"/>
        </w:rPr>
        <w:fldChar w:fldCharType="begin" w:fldLock="1"/>
      </w:r>
      <w:r w:rsidR="00BE2180">
        <w:rPr>
          <w:color w:val="000000" w:themeColor="text1"/>
        </w:rPr>
        <w:instrText>ADDIN CSL_CITATION {"citationItems":[{"id":"ITEM-1","itemData":{"DOI":"10.1073/pnas.1318934111","ISSN":"0027-8424","author":[{"dropping-particle":"","family":"Skoglund","given":"Pontus","non-dropping-particle":"","parse-names":false,"suffix":""},{"dropping-particle":"","family":"Northoff","given":"Bernd H.","non-dropping-particle":"","parse-names":false,"suffix":""},{"dropping-particle":"V.","family":"Shunkov","given":"Michael","non-dropping-particle":"","parse-names":false,"suffix":""},{"dropping-particle":"","family":"Derevianko","given":"Anatoli P.","non-dropping-particle":"","parse-names":false,"suffix":""},{"dropping-particle":"","family":"Pääbo","given":"Svante","non-dropping-particle":"","parse-names":false,"suffix":""},{"dropping-particle":"","family":"Krause","given":"Johannes","non-dropping-particle":"","parse-names":false,"suffix":""},{"dropping-particle":"","family":"Jakobsson","given":"Mattias","non-dropping-particle":"","parse-names":false,"suffix":""}],"container-title":"Proceedings of the National Academy of Sciences","id":"ITEM-1","issue":"6","issued":{"date-parts":[["2014","2","11"]]},"page":"2229-2234","title":"Separating endogenous ancient DNA from modern day contamination in a Siberian Neandertal","type":"article-journal","volume":"111"},"uris":["http://www.mendeley.com/documents/?uuid=ec843b38-0e5d-4450-b76a-cb07f89411a7"]}],"mendeley":{"formattedCitation":"&lt;sup&gt;100&lt;/sup&gt;","plainTextFormattedCitation":"100","previouslyFormattedCitation":"&lt;sup&gt;100&lt;/sup&gt;"},"properties":{"noteIndex":0},"schema":"https://github.com/citation-style-language/schema/raw/master/csl-citation.json"}</w:instrText>
      </w:r>
      <w:r w:rsidR="00B031D4" w:rsidRPr="004A2B32">
        <w:rPr>
          <w:color w:val="000000" w:themeColor="text1"/>
        </w:rPr>
        <w:fldChar w:fldCharType="separate"/>
      </w:r>
      <w:r w:rsidR="00BE2180" w:rsidRPr="00BE2180">
        <w:rPr>
          <w:noProof/>
          <w:color w:val="000000" w:themeColor="text1"/>
          <w:vertAlign w:val="superscript"/>
        </w:rPr>
        <w:t>100</w:t>
      </w:r>
      <w:r w:rsidR="00B031D4" w:rsidRPr="004A2B32">
        <w:rPr>
          <w:color w:val="000000" w:themeColor="text1"/>
        </w:rPr>
        <w:fldChar w:fldCharType="end"/>
      </w:r>
      <w:r w:rsidR="0002392F" w:rsidRPr="004A2B32">
        <w:rPr>
          <w:color w:val="000000" w:themeColor="text1"/>
        </w:rPr>
        <w:t>)</w:t>
      </w:r>
      <w:r w:rsidR="000E3F90" w:rsidRPr="004A2B32">
        <w:rPr>
          <w:color w:val="000000" w:themeColor="text1"/>
        </w:rPr>
        <w:t xml:space="preserve">. </w:t>
      </w:r>
      <w:r w:rsidRPr="004A2B32">
        <w:rPr>
          <w:color w:val="000000" w:themeColor="text1"/>
        </w:rPr>
        <w:t>SNP Call and contamination estimates were drawn from the filtered datasets in order to confirm the mitochondrial DNA lineage and sample authenticity.</w:t>
      </w:r>
    </w:p>
    <w:p w14:paraId="0B62A7BF" w14:textId="4DE93A5B" w:rsidR="00922E2D" w:rsidRDefault="00922E2D">
      <w:pPr>
        <w:widowControl/>
        <w:spacing w:after="0" w:line="240" w:lineRule="auto"/>
        <w:rPr>
          <w:color w:val="000000" w:themeColor="text1"/>
          <w:sz w:val="24"/>
          <w:szCs w:val="24"/>
        </w:rPr>
      </w:pPr>
      <w:r>
        <w:rPr>
          <w:color w:val="000000" w:themeColor="text1"/>
          <w:sz w:val="24"/>
          <w:szCs w:val="24"/>
        </w:rPr>
        <w:br w:type="page"/>
      </w:r>
    </w:p>
    <w:p w14:paraId="694CB481" w14:textId="77777777" w:rsidR="00124673" w:rsidRPr="00721067" w:rsidRDefault="00124673" w:rsidP="00124673">
      <w:pPr>
        <w:pStyle w:val="2"/>
        <w:rPr>
          <w:b/>
          <w:bCs/>
          <w:i/>
          <w:iCs/>
          <w:color w:val="000000" w:themeColor="text1"/>
        </w:rPr>
      </w:pPr>
      <w:r w:rsidRPr="00721067">
        <w:rPr>
          <w:b/>
          <w:bCs/>
          <w:i/>
          <w:iCs/>
          <w:color w:val="000000" w:themeColor="text1"/>
        </w:rPr>
        <w:lastRenderedPageBreak/>
        <w:t>Supplementary Tables and Figures</w:t>
      </w:r>
    </w:p>
    <w:p w14:paraId="3EB5B3F9" w14:textId="1C8E4F7E" w:rsidR="00124673" w:rsidRPr="00E37D0F" w:rsidRDefault="00124673" w:rsidP="00124673">
      <w:pPr>
        <w:jc w:val="both"/>
        <w:rPr>
          <w:color w:val="000000" w:themeColor="text1"/>
        </w:rPr>
      </w:pPr>
      <w:r w:rsidRPr="00E37D0F">
        <w:rPr>
          <w:color w:val="000000" w:themeColor="text1"/>
        </w:rPr>
        <w:t>Table S1: All samples</w:t>
      </w:r>
      <w:r>
        <w:rPr>
          <w:color w:val="000000" w:themeColor="text1"/>
        </w:rPr>
        <w:t xml:space="preserve"> analyzed in this study</w:t>
      </w:r>
      <w:r w:rsidRPr="00E37D0F">
        <w:rPr>
          <w:color w:val="000000" w:themeColor="text1"/>
        </w:rPr>
        <w:t xml:space="preserve"> (archaeological site, provenance, chronology, radiocarbon dates, sample type, archaeological ID)</w:t>
      </w:r>
    </w:p>
    <w:p w14:paraId="5BC61BA4" w14:textId="4826A67A" w:rsidR="00124673" w:rsidRPr="004A2B32" w:rsidRDefault="00124673" w:rsidP="00124673">
      <w:pPr>
        <w:jc w:val="both"/>
        <w:rPr>
          <w:color w:val="000000" w:themeColor="text1"/>
        </w:rPr>
      </w:pPr>
      <w:r w:rsidRPr="004A2B32">
        <w:rPr>
          <w:color w:val="000000" w:themeColor="text1"/>
        </w:rPr>
        <w:t>Table S2: Screening results</w:t>
      </w:r>
      <w:r>
        <w:rPr>
          <w:color w:val="000000" w:themeColor="text1"/>
        </w:rPr>
        <w:t xml:space="preserve"> of all analyzed samples</w:t>
      </w:r>
      <w:r w:rsidRPr="004A2B32">
        <w:rPr>
          <w:color w:val="000000" w:themeColor="text1"/>
        </w:rPr>
        <w:t xml:space="preserve"> </w:t>
      </w:r>
    </w:p>
    <w:p w14:paraId="5A1F47A8" w14:textId="2438DE6B" w:rsidR="00124673" w:rsidRPr="004A2B32" w:rsidRDefault="00124673" w:rsidP="00124673">
      <w:pPr>
        <w:jc w:val="both"/>
        <w:rPr>
          <w:color w:val="000000" w:themeColor="text1"/>
        </w:rPr>
      </w:pPr>
      <w:r w:rsidRPr="004A2B32">
        <w:rPr>
          <w:color w:val="000000" w:themeColor="text1"/>
        </w:rPr>
        <w:t xml:space="preserve">Table S3: Reference dataset for </w:t>
      </w:r>
      <w:r>
        <w:rPr>
          <w:color w:val="000000" w:themeColor="text1"/>
        </w:rPr>
        <w:t xml:space="preserve">the </w:t>
      </w:r>
      <w:r w:rsidRPr="004A2B32">
        <w:rPr>
          <w:color w:val="000000" w:themeColor="text1"/>
        </w:rPr>
        <w:t xml:space="preserve">MDS </w:t>
      </w:r>
    </w:p>
    <w:p w14:paraId="7D0CD324" w14:textId="77777777" w:rsidR="00124673" w:rsidRPr="004A2B32" w:rsidRDefault="00124673" w:rsidP="00124673">
      <w:pPr>
        <w:jc w:val="both"/>
        <w:rPr>
          <w:color w:val="000000" w:themeColor="text1"/>
        </w:rPr>
      </w:pPr>
      <w:r w:rsidRPr="004A2B32">
        <w:rPr>
          <w:color w:val="000000" w:themeColor="text1"/>
        </w:rPr>
        <w:t xml:space="preserve">Table S4: Characteristics of the dataset used for the simulations  </w:t>
      </w:r>
    </w:p>
    <w:p w14:paraId="700D077B" w14:textId="77777777" w:rsidR="00124673" w:rsidRPr="004A2B32" w:rsidRDefault="00124673" w:rsidP="00124673">
      <w:pPr>
        <w:jc w:val="both"/>
        <w:rPr>
          <w:color w:val="000000" w:themeColor="text1"/>
        </w:rPr>
      </w:pPr>
      <w:r w:rsidRPr="004A2B32">
        <w:rPr>
          <w:color w:val="000000" w:themeColor="text1"/>
        </w:rPr>
        <w:t xml:space="preserve">Table S5: Empirical statistics used for the ABC estimation </w:t>
      </w:r>
    </w:p>
    <w:p w14:paraId="3EE5002E" w14:textId="5B7AB1E2" w:rsidR="00124673" w:rsidRPr="004A2B32" w:rsidRDefault="00124673" w:rsidP="00124673">
      <w:pPr>
        <w:jc w:val="both"/>
        <w:rPr>
          <w:color w:val="000000" w:themeColor="text1"/>
        </w:rPr>
      </w:pPr>
      <w:r w:rsidRPr="004A2B32">
        <w:rPr>
          <w:color w:val="000000" w:themeColor="text1"/>
        </w:rPr>
        <w:t xml:space="preserve">Table S6: </w:t>
      </w:r>
      <w:proofErr w:type="spellStart"/>
      <w:r w:rsidRPr="004A2B32">
        <w:rPr>
          <w:color w:val="000000" w:themeColor="text1"/>
        </w:rPr>
        <w:t>mtDNA</w:t>
      </w:r>
      <w:proofErr w:type="spellEnd"/>
      <w:r w:rsidRPr="004A2B32">
        <w:rPr>
          <w:color w:val="000000" w:themeColor="text1"/>
        </w:rPr>
        <w:t xml:space="preserve"> Haplogroups list</w:t>
      </w:r>
      <w:r>
        <w:rPr>
          <w:color w:val="000000" w:themeColor="text1"/>
        </w:rPr>
        <w:t xml:space="preserve"> of the newly sequenced samples from Greek Neolithic sites </w:t>
      </w:r>
    </w:p>
    <w:p w14:paraId="7244C058" w14:textId="77777777" w:rsidR="00124673" w:rsidRPr="004A2B32" w:rsidRDefault="00124673" w:rsidP="00124673">
      <w:pPr>
        <w:jc w:val="both"/>
        <w:rPr>
          <w:color w:val="000000" w:themeColor="text1"/>
        </w:rPr>
      </w:pPr>
      <w:r w:rsidRPr="004A2B32">
        <w:rPr>
          <w:color w:val="000000" w:themeColor="text1"/>
        </w:rPr>
        <w:t xml:space="preserve">Table S7: </w:t>
      </w:r>
      <w:proofErr w:type="spellStart"/>
      <w:r w:rsidRPr="002751F4">
        <w:rPr>
          <w:i/>
          <w:iCs/>
          <w:color w:val="000000" w:themeColor="text1"/>
        </w:rPr>
        <w:t>Fst</w:t>
      </w:r>
      <w:proofErr w:type="spellEnd"/>
      <w:r w:rsidRPr="004A2B32">
        <w:rPr>
          <w:color w:val="000000" w:themeColor="text1"/>
        </w:rPr>
        <w:t xml:space="preserve"> values </w:t>
      </w:r>
      <w:r>
        <w:rPr>
          <w:color w:val="000000" w:themeColor="text1"/>
        </w:rPr>
        <w:t>between Greek Neolithic sites</w:t>
      </w:r>
    </w:p>
    <w:p w14:paraId="5293F5CA" w14:textId="77777777" w:rsidR="00124673" w:rsidRPr="004A2B32" w:rsidRDefault="00124673" w:rsidP="00124673">
      <w:pPr>
        <w:jc w:val="both"/>
        <w:rPr>
          <w:color w:val="000000" w:themeColor="text1"/>
        </w:rPr>
      </w:pPr>
      <w:r w:rsidRPr="004A2B32">
        <w:rPr>
          <w:color w:val="000000" w:themeColor="text1"/>
        </w:rPr>
        <w:t xml:space="preserve">Table S8: </w:t>
      </w:r>
      <w:proofErr w:type="spellStart"/>
      <w:r w:rsidRPr="00317553">
        <w:rPr>
          <w:i/>
          <w:iCs/>
          <w:color w:val="000000" w:themeColor="text1"/>
        </w:rPr>
        <w:t>Fst</w:t>
      </w:r>
      <w:proofErr w:type="spellEnd"/>
      <w:r>
        <w:rPr>
          <w:color w:val="000000" w:themeColor="text1"/>
        </w:rPr>
        <w:t xml:space="preserve"> values used for the MDS plot between </w:t>
      </w:r>
      <w:r w:rsidRPr="004A2B32">
        <w:rPr>
          <w:color w:val="000000" w:themeColor="text1"/>
        </w:rPr>
        <w:t>newly sequenced Greek Neolithic samples and reference panel</w:t>
      </w:r>
    </w:p>
    <w:p w14:paraId="1149301C" w14:textId="77777777" w:rsidR="00124673" w:rsidRPr="004A2B32" w:rsidRDefault="00124673" w:rsidP="00124673">
      <w:pPr>
        <w:jc w:val="both"/>
        <w:rPr>
          <w:color w:val="000000" w:themeColor="text1"/>
        </w:rPr>
      </w:pPr>
      <w:r w:rsidRPr="004A2B32">
        <w:rPr>
          <w:color w:val="000000" w:themeColor="text1"/>
        </w:rPr>
        <w:t>Figure S1: Digital map of Europe used for the simulation</w:t>
      </w:r>
    </w:p>
    <w:p w14:paraId="3FC760F6" w14:textId="77777777" w:rsidR="00124673" w:rsidRPr="00AD336F" w:rsidRDefault="00124673" w:rsidP="00124673">
      <w:pPr>
        <w:widowControl/>
        <w:rPr>
          <w:rFonts w:ascii="Times New Roman" w:eastAsia="Times New Roman" w:hAnsi="Times New Roman" w:cs="Times New Roman"/>
          <w:sz w:val="24"/>
          <w:szCs w:val="24"/>
        </w:rPr>
      </w:pPr>
      <w:r w:rsidRPr="00AD336F">
        <w:rPr>
          <w:color w:val="000000" w:themeColor="text1"/>
        </w:rPr>
        <w:t xml:space="preserve">Figure S2: </w:t>
      </w:r>
      <w:r w:rsidRPr="00AD336F">
        <w:t>Parameter estimation cross-validation</w:t>
      </w:r>
    </w:p>
    <w:p w14:paraId="07709A24" w14:textId="3C5C9CC8" w:rsidR="00124673" w:rsidRDefault="00124673">
      <w:pPr>
        <w:widowControl/>
        <w:spacing w:after="0" w:line="240" w:lineRule="auto"/>
        <w:rPr>
          <w:color w:val="000000" w:themeColor="text1"/>
          <w:sz w:val="24"/>
          <w:szCs w:val="24"/>
        </w:rPr>
      </w:pPr>
    </w:p>
    <w:p w14:paraId="47F76D69" w14:textId="7A2D3D4B" w:rsidR="00124673" w:rsidRDefault="00124673">
      <w:pPr>
        <w:widowControl/>
        <w:spacing w:after="0" w:line="240" w:lineRule="auto"/>
        <w:rPr>
          <w:color w:val="000000" w:themeColor="text1"/>
          <w:sz w:val="24"/>
          <w:szCs w:val="24"/>
        </w:rPr>
      </w:pPr>
    </w:p>
    <w:p w14:paraId="34955285" w14:textId="5F8B7DEC" w:rsidR="00124673" w:rsidRDefault="00124673">
      <w:pPr>
        <w:widowControl/>
        <w:spacing w:after="0" w:line="240" w:lineRule="auto"/>
        <w:rPr>
          <w:color w:val="000000" w:themeColor="text1"/>
          <w:sz w:val="24"/>
          <w:szCs w:val="24"/>
        </w:rPr>
      </w:pPr>
    </w:p>
    <w:p w14:paraId="056ABD20" w14:textId="77777777" w:rsidR="00124673" w:rsidRDefault="00124673">
      <w:pPr>
        <w:widowControl/>
        <w:spacing w:after="0" w:line="240" w:lineRule="auto"/>
        <w:rPr>
          <w:color w:val="000000" w:themeColor="text1"/>
          <w:sz w:val="24"/>
          <w:szCs w:val="24"/>
        </w:rPr>
      </w:pPr>
    </w:p>
    <w:p w14:paraId="7F90990E" w14:textId="77777777" w:rsidR="00124673" w:rsidRDefault="00124673">
      <w:pPr>
        <w:widowControl/>
        <w:spacing w:after="0" w:line="240" w:lineRule="auto"/>
        <w:rPr>
          <w:color w:val="000000" w:themeColor="text1"/>
          <w:sz w:val="24"/>
          <w:szCs w:val="24"/>
        </w:rPr>
      </w:pPr>
    </w:p>
    <w:p w14:paraId="7316CFAD" w14:textId="7ABB7265" w:rsidR="00262E53" w:rsidRPr="00922E2D" w:rsidRDefault="00262E53" w:rsidP="00922E2D">
      <w:pPr>
        <w:widowControl/>
        <w:spacing w:after="0" w:line="240" w:lineRule="auto"/>
        <w:rPr>
          <w:color w:val="000000" w:themeColor="text1"/>
        </w:rPr>
      </w:pPr>
      <w:r w:rsidRPr="00262E53">
        <w:rPr>
          <w:noProof/>
          <w:color w:val="000000" w:themeColor="text1"/>
        </w:rPr>
        <w:lastRenderedPageBreak/>
        <w:drawing>
          <wp:inline distT="0" distB="0" distL="0" distR="0" wp14:anchorId="289E1414" wp14:editId="259B69A6">
            <wp:extent cx="5760720" cy="4062730"/>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4062730"/>
                    </a:xfrm>
                    <a:prstGeom prst="rect">
                      <a:avLst/>
                    </a:prstGeom>
                    <a:noFill/>
                    <a:ln>
                      <a:noFill/>
                    </a:ln>
                  </pic:spPr>
                </pic:pic>
              </a:graphicData>
            </a:graphic>
          </wp:inline>
        </w:drawing>
      </w:r>
    </w:p>
    <w:p w14:paraId="3DB61F16" w14:textId="77777777" w:rsidR="00A90CFD" w:rsidRDefault="00A90CFD" w:rsidP="00A90CFD">
      <w:pPr>
        <w:widowControl/>
        <w:spacing w:after="0"/>
        <w:rPr>
          <w:b/>
          <w:bCs/>
          <w:color w:val="000000" w:themeColor="text1"/>
          <w:sz w:val="20"/>
          <w:szCs w:val="20"/>
        </w:rPr>
      </w:pPr>
    </w:p>
    <w:p w14:paraId="23E92C44" w14:textId="15EDAC3F" w:rsidR="00262E53" w:rsidRPr="00262E53" w:rsidRDefault="00262E53" w:rsidP="00A90CFD">
      <w:pPr>
        <w:widowControl/>
        <w:spacing w:after="0"/>
        <w:rPr>
          <w:color w:val="000000" w:themeColor="text1"/>
          <w:sz w:val="20"/>
          <w:szCs w:val="20"/>
        </w:rPr>
      </w:pPr>
      <w:r w:rsidRPr="00262E53">
        <w:rPr>
          <w:b/>
          <w:bCs/>
          <w:color w:val="000000" w:themeColor="text1"/>
          <w:sz w:val="20"/>
          <w:szCs w:val="20"/>
        </w:rPr>
        <w:t>Figure S1:</w:t>
      </w:r>
      <w:r w:rsidRPr="00262E53">
        <w:rPr>
          <w:color w:val="000000" w:themeColor="text1"/>
          <w:sz w:val="20"/>
          <w:szCs w:val="20"/>
        </w:rPr>
        <w:t xml:space="preserve"> Digital map of Europe used for the simulation with SPLATCHE2. The dark grey square represents the </w:t>
      </w:r>
      <w:r w:rsidR="00D608C5">
        <w:rPr>
          <w:color w:val="000000" w:themeColor="text1"/>
          <w:sz w:val="20"/>
          <w:szCs w:val="20"/>
        </w:rPr>
        <w:t>c</w:t>
      </w:r>
      <w:r w:rsidRPr="00262E53">
        <w:rPr>
          <w:color w:val="000000" w:themeColor="text1"/>
          <w:sz w:val="20"/>
          <w:szCs w:val="20"/>
        </w:rPr>
        <w:t>entral European area with a longer cohabitation period between hunter-gatherers and farmers. White cells represent water; light grey cells are not used for the simulations (islands); P and N represent the point of departure for the population expansion in the Paleolithic and Neolithic layers, respectively.</w:t>
      </w:r>
    </w:p>
    <w:p w14:paraId="66F6DD24" w14:textId="0071A00A" w:rsidR="00922E2D" w:rsidRDefault="00922E2D" w:rsidP="00922E2D">
      <w:pPr>
        <w:widowControl/>
        <w:spacing w:after="0" w:line="240" w:lineRule="auto"/>
        <w:rPr>
          <w:color w:val="000000" w:themeColor="text1"/>
        </w:rPr>
      </w:pPr>
    </w:p>
    <w:p w14:paraId="643A3805" w14:textId="29969A5E" w:rsidR="00262E53" w:rsidRPr="00922E2D" w:rsidRDefault="009E79D0" w:rsidP="00922E2D">
      <w:pPr>
        <w:widowControl/>
        <w:spacing w:after="0" w:line="240" w:lineRule="auto"/>
        <w:rPr>
          <w:color w:val="000000" w:themeColor="text1"/>
        </w:rPr>
      </w:pPr>
      <w:r>
        <w:rPr>
          <w:noProof/>
        </w:rPr>
        <w:lastRenderedPageBreak/>
        <mc:AlternateContent>
          <mc:Choice Requires="wps">
            <w:drawing>
              <wp:anchor distT="0" distB="0" distL="114300" distR="114300" simplePos="0" relativeHeight="251664384" behindDoc="0" locked="0" layoutInCell="1" allowOverlap="1" wp14:anchorId="11ACCBD0" wp14:editId="4917FE93">
                <wp:simplePos x="0" y="0"/>
                <wp:positionH relativeFrom="column">
                  <wp:posOffset>440055</wp:posOffset>
                </wp:positionH>
                <wp:positionV relativeFrom="paragraph">
                  <wp:posOffset>5289974</wp:posOffset>
                </wp:positionV>
                <wp:extent cx="230293" cy="229870"/>
                <wp:effectExtent l="25400" t="25400" r="24130" b="24130"/>
                <wp:wrapNone/>
                <wp:docPr id="9" name="Πλαίσιο κειμένου 9"/>
                <wp:cNvGraphicFramePr/>
                <a:graphic xmlns:a="http://schemas.openxmlformats.org/drawingml/2006/main">
                  <a:graphicData uri="http://schemas.microsoft.com/office/word/2010/wordprocessingShape">
                    <wps:wsp>
                      <wps:cNvSpPr txBox="1"/>
                      <wps:spPr>
                        <a:xfrm>
                          <a:off x="0" y="0"/>
                          <a:ext cx="230293" cy="229870"/>
                        </a:xfrm>
                        <a:prstGeom prst="rect">
                          <a:avLst/>
                        </a:prstGeom>
                        <a:solidFill>
                          <a:schemeClr val="lt1"/>
                        </a:solidFill>
                        <a:ln w="6350">
                          <a:solidFill>
                            <a:prstClr val="black"/>
                          </a:solidFill>
                        </a:ln>
                      </wps:spPr>
                      <wps:txbx>
                        <w:txbxContent>
                          <w:p w14:paraId="5D1F9E6E" w14:textId="41E0178C" w:rsidR="009E79D0" w:rsidRPr="009E79D0" w:rsidRDefault="009E79D0" w:rsidP="009E79D0">
                            <w:pPr>
                              <w:rPr>
                                <w:lang w:val="de-DE"/>
                              </w:rPr>
                            </w:pPr>
                            <w:r>
                              <w:rPr>
                                <w:lang w:val="de-DE"/>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ACCBD0" id="_x0000_t202" coordsize="21600,21600" o:spt="202" path="m,l,21600r21600,l21600,xe">
                <v:stroke joinstyle="miter"/>
                <v:path gradientshapeok="t" o:connecttype="rect"/>
              </v:shapetype>
              <v:shape id="Πλαίσιο κειμένου 9" o:spid="_x0000_s1026" type="#_x0000_t202" style="position:absolute;margin-left:34.65pt;margin-top:416.55pt;width:18.15pt;height:18.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" fillcolor="white [3201]" strokeweight=".5pt">
                <v:textbox>
                  <w:txbxContent>
                    <w:p w14:paraId="5D1F9E6E" w14:textId="41E0178C" w:rsidR="009E79D0" w:rsidRPr="009E79D0" w:rsidRDefault="009E79D0" w:rsidP="009E79D0">
                      <w:pPr>
                        <w:rPr>
                          <w:lang w:val="de-DE"/>
                        </w:rPr>
                      </w:pPr>
                      <w:r>
                        <w:rPr>
                          <w:lang w:val="de-DE"/>
                        </w:rPr>
                        <w:t>c</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057338D7" wp14:editId="2E65E542">
                <wp:simplePos x="0" y="0"/>
                <wp:positionH relativeFrom="column">
                  <wp:posOffset>440267</wp:posOffset>
                </wp:positionH>
                <wp:positionV relativeFrom="paragraph">
                  <wp:posOffset>2702560</wp:posOffset>
                </wp:positionV>
                <wp:extent cx="230293" cy="229870"/>
                <wp:effectExtent l="25400" t="25400" r="24130" b="24130"/>
                <wp:wrapNone/>
                <wp:docPr id="8" name="Πλαίσιο κειμένου 8"/>
                <wp:cNvGraphicFramePr/>
                <a:graphic xmlns:a="http://schemas.openxmlformats.org/drawingml/2006/main">
                  <a:graphicData uri="http://schemas.microsoft.com/office/word/2010/wordprocessingShape">
                    <wps:wsp>
                      <wps:cNvSpPr txBox="1"/>
                      <wps:spPr>
                        <a:xfrm>
                          <a:off x="0" y="0"/>
                          <a:ext cx="230293" cy="229870"/>
                        </a:xfrm>
                        <a:prstGeom prst="rect">
                          <a:avLst/>
                        </a:prstGeom>
                        <a:solidFill>
                          <a:schemeClr val="lt1"/>
                        </a:solidFill>
                        <a:ln w="6350">
                          <a:solidFill>
                            <a:prstClr val="black"/>
                          </a:solidFill>
                        </a:ln>
                      </wps:spPr>
                      <wps:txbx>
                        <w:txbxContent>
                          <w:p w14:paraId="44018D40" w14:textId="55B1180B" w:rsidR="009E79D0" w:rsidRPr="009E79D0" w:rsidRDefault="009E79D0" w:rsidP="009E79D0">
                            <w:pPr>
                              <w:rPr>
                                <w:lang w:val="de-DE"/>
                              </w:rPr>
                            </w:pPr>
                            <w:r>
                              <w:rPr>
                                <w:lang w:val="de-DE"/>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7338D7" id="Πλαίσιο κειμένου 8" o:spid="_x0000_s1027" type="#_x0000_t202" style="position:absolute;margin-left:34.65pt;margin-top:212.8pt;width:18.15pt;height:1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" fillcolor="white [3201]" strokeweight=".5pt">
                <v:textbox>
                  <w:txbxContent>
                    <w:p w14:paraId="44018D40" w14:textId="55B1180B" w:rsidR="009E79D0" w:rsidRPr="009E79D0" w:rsidRDefault="009E79D0" w:rsidP="009E79D0">
                      <w:pPr>
                        <w:rPr>
                          <w:lang w:val="de-DE"/>
                        </w:rPr>
                      </w:pPr>
                      <w:r>
                        <w:rPr>
                          <w:lang w:val="de-DE"/>
                        </w:rPr>
                        <w:t>b</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2D3379A4" wp14:editId="76E7C2AA">
                <wp:simplePos x="0" y="0"/>
                <wp:positionH relativeFrom="column">
                  <wp:posOffset>440690</wp:posOffset>
                </wp:positionH>
                <wp:positionV relativeFrom="paragraph">
                  <wp:posOffset>88265</wp:posOffset>
                </wp:positionV>
                <wp:extent cx="230293" cy="229870"/>
                <wp:effectExtent l="25400" t="25400" r="24130" b="24130"/>
                <wp:wrapNone/>
                <wp:docPr id="7" name="Πλαίσιο κειμένου 7"/>
                <wp:cNvGraphicFramePr/>
                <a:graphic xmlns:a="http://schemas.openxmlformats.org/drawingml/2006/main">
                  <a:graphicData uri="http://schemas.microsoft.com/office/word/2010/wordprocessingShape">
                    <wps:wsp>
                      <wps:cNvSpPr txBox="1"/>
                      <wps:spPr>
                        <a:xfrm>
                          <a:off x="0" y="0"/>
                          <a:ext cx="230293" cy="229870"/>
                        </a:xfrm>
                        <a:prstGeom prst="rect">
                          <a:avLst/>
                        </a:prstGeom>
                        <a:solidFill>
                          <a:schemeClr val="lt1"/>
                        </a:solidFill>
                        <a:ln w="6350">
                          <a:solidFill>
                            <a:prstClr val="black"/>
                          </a:solidFill>
                        </a:ln>
                      </wps:spPr>
                      <wps:txbx>
                        <w:txbxContent>
                          <w:p w14:paraId="26BF8780" w14:textId="08ACE7A4" w:rsidR="009E79D0" w:rsidRPr="009E79D0" w:rsidRDefault="009E79D0">
                            <w:pPr>
                              <w:rPr>
                                <w:lang w:val="de-DE"/>
                              </w:rPr>
                            </w:pPr>
                            <w:r>
                              <w:rPr>
                                <w:lang w:val="de-DE"/>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3379A4" id="Πλαίσιο κειμένου 7" o:spid="_x0000_s1028" type="#_x0000_t202" style="position:absolute;margin-left:34.7pt;margin-top:6.95pt;width:18.15pt;height:1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" fillcolor="white [3201]" strokeweight=".5pt">
                <v:textbox>
                  <w:txbxContent>
                    <w:p w14:paraId="26BF8780" w14:textId="08ACE7A4" w:rsidR="009E79D0" w:rsidRPr="009E79D0" w:rsidRDefault="009E79D0">
                      <w:pPr>
                        <w:rPr>
                          <w:lang w:val="de-DE"/>
                        </w:rPr>
                      </w:pPr>
                      <w:r>
                        <w:rPr>
                          <w:lang w:val="de-DE"/>
                        </w:rPr>
                        <w:t>a</w:t>
                      </w:r>
                      <w:bookmarkStart w:id="32" w:name="_GoBack"/>
                      <w:bookmarkEnd w:id="32"/>
                    </w:p>
                  </w:txbxContent>
                </v:textbox>
              </v:shape>
            </w:pict>
          </mc:Fallback>
        </mc:AlternateContent>
      </w:r>
      <w:r w:rsidR="00262E53">
        <w:rPr>
          <w:noProof/>
        </w:rPr>
        <w:drawing>
          <wp:inline distT="0" distB="0" distL="0" distR="0" wp14:anchorId="10A06D29" wp14:editId="123D9FC3">
            <wp:extent cx="5194430" cy="7991475"/>
            <wp:effectExtent l="0" t="0" r="635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195237" cy="7992717"/>
                    </a:xfrm>
                    <a:prstGeom prst="rect">
                      <a:avLst/>
                    </a:prstGeom>
                  </pic:spPr>
                </pic:pic>
              </a:graphicData>
            </a:graphic>
          </wp:inline>
        </w:drawing>
      </w:r>
    </w:p>
    <w:p w14:paraId="2B85E4C5" w14:textId="01695489" w:rsidR="00262E53" w:rsidRDefault="00922E2D" w:rsidP="00A90CFD">
      <w:pPr>
        <w:widowControl/>
        <w:spacing w:after="0"/>
        <w:rPr>
          <w:color w:val="000000" w:themeColor="text1"/>
          <w:sz w:val="20"/>
          <w:szCs w:val="20"/>
        </w:rPr>
      </w:pPr>
      <w:r w:rsidRPr="00262E53">
        <w:rPr>
          <w:b/>
          <w:bCs/>
          <w:color w:val="000000" w:themeColor="text1"/>
          <w:sz w:val="20"/>
          <w:szCs w:val="20"/>
        </w:rPr>
        <w:t>Figure S2:</w:t>
      </w:r>
      <w:r w:rsidRPr="00262E53">
        <w:rPr>
          <w:color w:val="000000" w:themeColor="text1"/>
          <w:sz w:val="20"/>
          <w:szCs w:val="20"/>
        </w:rPr>
        <w:t xml:space="preserve"> Parameter estimation cross-validation. Those histograms represent the distributions of HDI and quantiles for the three parameters estimated with the simulation of the Danube Neolithic expansion: A) parameter γ, B) </w:t>
      </w:r>
      <w:r w:rsidR="009E79D0" w:rsidRPr="00262E53">
        <w:rPr>
          <w:color w:val="000000" w:themeColor="text1"/>
          <w:sz w:val="20"/>
          <w:szCs w:val="20"/>
        </w:rPr>
        <w:t>parameter K</w:t>
      </w:r>
      <w:r w:rsidR="009E79D0" w:rsidRPr="009E79D0">
        <w:rPr>
          <w:i/>
          <w:iCs/>
          <w:color w:val="000000" w:themeColor="text1"/>
          <w:sz w:val="20"/>
          <w:szCs w:val="20"/>
          <w:vertAlign w:val="subscript"/>
        </w:rPr>
        <w:t>FA</w:t>
      </w:r>
      <w:r w:rsidR="009E79D0">
        <w:rPr>
          <w:color w:val="000000" w:themeColor="text1"/>
          <w:sz w:val="20"/>
          <w:szCs w:val="20"/>
        </w:rPr>
        <w:t xml:space="preserve"> NEO </w:t>
      </w:r>
      <w:r w:rsidRPr="00262E53">
        <w:rPr>
          <w:color w:val="000000" w:themeColor="text1"/>
          <w:sz w:val="20"/>
          <w:szCs w:val="20"/>
        </w:rPr>
        <w:t>C</w:t>
      </w:r>
      <w:r w:rsidR="009E79D0">
        <w:rPr>
          <w:color w:val="000000" w:themeColor="text1"/>
          <w:sz w:val="20"/>
          <w:szCs w:val="20"/>
        </w:rPr>
        <w:t>)</w:t>
      </w:r>
      <w:r w:rsidR="009E79D0" w:rsidRPr="009E79D0">
        <w:rPr>
          <w:color w:val="000000" w:themeColor="text1"/>
          <w:sz w:val="20"/>
          <w:szCs w:val="20"/>
        </w:rPr>
        <w:t xml:space="preserve"> </w:t>
      </w:r>
      <w:r w:rsidR="009E79D0" w:rsidRPr="00262E53">
        <w:rPr>
          <w:color w:val="000000" w:themeColor="text1"/>
          <w:sz w:val="20"/>
          <w:szCs w:val="20"/>
        </w:rPr>
        <w:t xml:space="preserve">parameter </w:t>
      </w:r>
      <w:proofErr w:type="spellStart"/>
      <w:r w:rsidR="009E79D0" w:rsidRPr="00262E53">
        <w:rPr>
          <w:color w:val="000000" w:themeColor="text1"/>
          <w:sz w:val="20"/>
          <w:szCs w:val="20"/>
        </w:rPr>
        <w:t>M</w:t>
      </w:r>
      <w:r w:rsidR="009E79D0">
        <w:rPr>
          <w:color w:val="000000" w:themeColor="text1"/>
          <w:sz w:val="20"/>
          <w:szCs w:val="20"/>
        </w:rPr>
        <w:t>dec</w:t>
      </w:r>
      <w:proofErr w:type="spellEnd"/>
      <w:r w:rsidRPr="00262E53">
        <w:rPr>
          <w:color w:val="000000" w:themeColor="text1"/>
          <w:sz w:val="20"/>
          <w:szCs w:val="20"/>
        </w:rPr>
        <w:t>.</w:t>
      </w:r>
      <w:r w:rsidR="009E79D0">
        <w:rPr>
          <w:color w:val="000000" w:themeColor="text1"/>
          <w:sz w:val="20"/>
          <w:szCs w:val="20"/>
        </w:rPr>
        <w:t xml:space="preserve"> (</w:t>
      </w:r>
      <w:r w:rsidR="009E79D0" w:rsidRPr="0003297E">
        <w:rPr>
          <w:color w:val="000000" w:themeColor="text1"/>
          <w:sz w:val="20"/>
          <w:szCs w:val="20"/>
        </w:rPr>
        <w:t xml:space="preserve">γ = assimilation rate between </w:t>
      </w:r>
      <w:r w:rsidR="009E79D0" w:rsidRPr="0003297E">
        <w:rPr>
          <w:color w:val="000000" w:themeColor="text1"/>
          <w:sz w:val="20"/>
          <w:szCs w:val="20"/>
        </w:rPr>
        <w:lastRenderedPageBreak/>
        <w:t xml:space="preserve">hunter-gatherer and farmer layer; </w:t>
      </w:r>
      <w:proofErr w:type="spellStart"/>
      <w:r w:rsidR="009E79D0" w:rsidRPr="0003297E">
        <w:rPr>
          <w:color w:val="000000" w:themeColor="text1"/>
          <w:sz w:val="20"/>
          <w:szCs w:val="20"/>
        </w:rPr>
        <w:t>Mdec</w:t>
      </w:r>
      <w:proofErr w:type="spellEnd"/>
      <w:r w:rsidR="009E79D0" w:rsidRPr="0003297E">
        <w:rPr>
          <w:color w:val="000000" w:themeColor="text1"/>
          <w:sz w:val="20"/>
          <w:szCs w:val="20"/>
        </w:rPr>
        <w:t xml:space="preserve"> = factor of migration decreases after reaching carrying capacity in farmers; K</w:t>
      </w:r>
      <w:r w:rsidR="009E79D0" w:rsidRPr="009E79D0">
        <w:rPr>
          <w:color w:val="000000" w:themeColor="text1"/>
          <w:sz w:val="20"/>
          <w:szCs w:val="20"/>
          <w:vertAlign w:val="subscript"/>
        </w:rPr>
        <w:t>FA</w:t>
      </w:r>
      <w:r w:rsidR="009E79D0" w:rsidRPr="0003297E">
        <w:rPr>
          <w:color w:val="000000" w:themeColor="text1"/>
          <w:sz w:val="20"/>
          <w:szCs w:val="20"/>
        </w:rPr>
        <w:t xml:space="preserve"> = carrying capacity of the farmer demes. HDI = Highest Density Interval</w:t>
      </w:r>
      <w:r w:rsidR="009E79D0">
        <w:rPr>
          <w:color w:val="000000" w:themeColor="text1"/>
          <w:sz w:val="20"/>
          <w:szCs w:val="20"/>
        </w:rPr>
        <w:t>)</w:t>
      </w:r>
      <w:r w:rsidR="009E79D0" w:rsidRPr="0003297E">
        <w:rPr>
          <w:color w:val="000000" w:themeColor="text1"/>
          <w:sz w:val="20"/>
          <w:szCs w:val="20"/>
        </w:rPr>
        <w:t>.</w:t>
      </w:r>
    </w:p>
    <w:p w14:paraId="23A0ACBB" w14:textId="77777777" w:rsidR="009E79D0" w:rsidRPr="00262E53" w:rsidRDefault="009E79D0" w:rsidP="00A90CFD">
      <w:pPr>
        <w:widowControl/>
        <w:spacing w:after="0"/>
        <w:rPr>
          <w:color w:val="000000" w:themeColor="text1"/>
          <w:sz w:val="20"/>
          <w:szCs w:val="20"/>
        </w:rPr>
      </w:pPr>
    </w:p>
    <w:p w14:paraId="1EEBC6FB" w14:textId="77777777" w:rsidR="00922E2D" w:rsidRPr="007E49DC" w:rsidRDefault="00922E2D" w:rsidP="00922E2D">
      <w:pPr>
        <w:widowControl/>
        <w:spacing w:after="0" w:line="240" w:lineRule="auto"/>
        <w:rPr>
          <w:color w:val="000000" w:themeColor="text1"/>
          <w:sz w:val="24"/>
          <w:szCs w:val="24"/>
        </w:rPr>
      </w:pPr>
    </w:p>
    <w:p w14:paraId="6AA504B3" w14:textId="77777777" w:rsidR="00043A9E" w:rsidRPr="004A2B32" w:rsidRDefault="00043A9E" w:rsidP="00043A9E">
      <w:pPr>
        <w:jc w:val="both"/>
        <w:rPr>
          <w:b/>
          <w:bCs/>
          <w:color w:val="000000" w:themeColor="text1"/>
          <w:sz w:val="24"/>
          <w:szCs w:val="24"/>
        </w:rPr>
      </w:pPr>
      <w:r w:rsidRPr="004A2B32">
        <w:rPr>
          <w:b/>
          <w:bCs/>
          <w:color w:val="000000" w:themeColor="text1"/>
          <w:sz w:val="24"/>
          <w:szCs w:val="24"/>
        </w:rPr>
        <w:t>References</w:t>
      </w:r>
    </w:p>
    <w:p w14:paraId="6CCA82F8" w14:textId="5C7ED6B8" w:rsidR="00BE2180" w:rsidRPr="00BE2180" w:rsidRDefault="00043A9E" w:rsidP="00BE2180">
      <w:pPr>
        <w:autoSpaceDE w:val="0"/>
        <w:autoSpaceDN w:val="0"/>
        <w:adjustRightInd w:val="0"/>
        <w:spacing w:after="0"/>
        <w:ind w:left="640" w:hanging="640"/>
        <w:rPr>
          <w:noProof/>
          <w:szCs w:val="24"/>
        </w:rPr>
      </w:pPr>
      <w:r w:rsidRPr="004A2B32">
        <w:rPr>
          <w:color w:val="000000" w:themeColor="text1"/>
        </w:rPr>
        <w:fldChar w:fldCharType="begin" w:fldLock="1"/>
      </w:r>
      <w:r w:rsidRPr="004A2B32">
        <w:rPr>
          <w:color w:val="000000" w:themeColor="text1"/>
        </w:rPr>
        <w:instrText xml:space="preserve">ADDIN Mendeley Bibliography CSL_BIBLIOGRAPHY </w:instrText>
      </w:r>
      <w:r w:rsidRPr="004A2B32">
        <w:rPr>
          <w:color w:val="000000" w:themeColor="text1"/>
        </w:rPr>
        <w:fldChar w:fldCharType="separate"/>
      </w:r>
      <w:r w:rsidR="00BE2180" w:rsidRPr="00BE2180">
        <w:rPr>
          <w:noProof/>
          <w:szCs w:val="24"/>
        </w:rPr>
        <w:t>1.</w:t>
      </w:r>
      <w:r w:rsidR="00BE2180" w:rsidRPr="00BE2180">
        <w:rPr>
          <w:noProof/>
          <w:szCs w:val="24"/>
        </w:rPr>
        <w:tab/>
        <w:t xml:space="preserve">Jacobsen, T. W., Farrand, W. R., Cooper, F. A. &amp; Vitaliano, C. J. </w:t>
      </w:r>
      <w:r w:rsidR="00BE2180" w:rsidRPr="00BE2180">
        <w:rPr>
          <w:i/>
          <w:iCs/>
          <w:noProof/>
          <w:szCs w:val="24"/>
        </w:rPr>
        <w:t>Franchthi Cave and Paralia: maps, plans, and sections.</w:t>
      </w:r>
      <w:r w:rsidR="00BE2180" w:rsidRPr="00BE2180">
        <w:rPr>
          <w:noProof/>
          <w:szCs w:val="24"/>
        </w:rPr>
        <w:t xml:space="preserve"> (Indiana University Press, 1987).</w:t>
      </w:r>
    </w:p>
    <w:p w14:paraId="300F5BAE"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2.</w:t>
      </w:r>
      <w:r w:rsidRPr="00BE2180">
        <w:rPr>
          <w:noProof/>
          <w:szCs w:val="24"/>
        </w:rPr>
        <w:tab/>
        <w:t xml:space="preserve">Jacobsen, T. W. Excavations in the Franchthi Cave, 1969-1971. Part II. </w:t>
      </w:r>
      <w:r w:rsidRPr="00BE2180">
        <w:rPr>
          <w:i/>
          <w:iCs/>
          <w:noProof/>
          <w:szCs w:val="24"/>
        </w:rPr>
        <w:t>Hesperia</w:t>
      </w:r>
      <w:r w:rsidRPr="00BE2180">
        <w:rPr>
          <w:noProof/>
          <w:szCs w:val="24"/>
        </w:rPr>
        <w:t xml:space="preserve"> </w:t>
      </w:r>
      <w:r w:rsidRPr="00BE2180">
        <w:rPr>
          <w:b/>
          <w:bCs/>
          <w:noProof/>
          <w:szCs w:val="24"/>
        </w:rPr>
        <w:t>42</w:t>
      </w:r>
      <w:r w:rsidRPr="00BE2180">
        <w:rPr>
          <w:noProof/>
          <w:szCs w:val="24"/>
        </w:rPr>
        <w:t>, 253 (1973).</w:t>
      </w:r>
    </w:p>
    <w:p w14:paraId="583CF827"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3.</w:t>
      </w:r>
      <w:r w:rsidRPr="00BE2180">
        <w:rPr>
          <w:noProof/>
          <w:szCs w:val="24"/>
        </w:rPr>
        <w:tab/>
        <w:t xml:space="preserve">Asouti, E., Ntinou, M. &amp; Kabukcu, C. The impact of environmental change on Palaeolithic and Mesolithic plant use and the transition to agriculture at Franchthi Cave, Greece. </w:t>
      </w:r>
      <w:r w:rsidRPr="00BE2180">
        <w:rPr>
          <w:i/>
          <w:iCs/>
          <w:noProof/>
          <w:szCs w:val="24"/>
        </w:rPr>
        <w:t>PLoS One</w:t>
      </w:r>
      <w:r w:rsidRPr="00BE2180">
        <w:rPr>
          <w:noProof/>
          <w:szCs w:val="24"/>
        </w:rPr>
        <w:t xml:space="preserve"> </w:t>
      </w:r>
      <w:r w:rsidRPr="00BE2180">
        <w:rPr>
          <w:b/>
          <w:bCs/>
          <w:noProof/>
          <w:szCs w:val="24"/>
        </w:rPr>
        <w:t>13</w:t>
      </w:r>
      <w:r w:rsidRPr="00BE2180">
        <w:rPr>
          <w:noProof/>
          <w:szCs w:val="24"/>
        </w:rPr>
        <w:t>, e0207805 (2018).</w:t>
      </w:r>
    </w:p>
    <w:p w14:paraId="3608D71F"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4.</w:t>
      </w:r>
      <w:r w:rsidRPr="00BE2180">
        <w:rPr>
          <w:noProof/>
          <w:szCs w:val="24"/>
        </w:rPr>
        <w:tab/>
        <w:t xml:space="preserve">Perlès, C. </w:t>
      </w:r>
      <w:r w:rsidRPr="00BE2180">
        <w:rPr>
          <w:i/>
          <w:iCs/>
          <w:noProof/>
          <w:szCs w:val="24"/>
        </w:rPr>
        <w:t>The Early Neolithic in Greece: The first farming communities</w:t>
      </w:r>
      <w:r w:rsidRPr="00BE2180">
        <w:rPr>
          <w:noProof/>
          <w:szCs w:val="24"/>
        </w:rPr>
        <w:t>. (Cambridge World Archaeology, 2003).</w:t>
      </w:r>
    </w:p>
    <w:p w14:paraId="0C3189C5"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5.</w:t>
      </w:r>
      <w:r w:rsidRPr="00BE2180">
        <w:rPr>
          <w:noProof/>
          <w:szCs w:val="24"/>
        </w:rPr>
        <w:tab/>
        <w:t xml:space="preserve">Kyparissi-Apostolika, N. The Palaeolithic deposits of Theopetra Cave in Thessaly (Greece). in </w:t>
      </w:r>
      <w:r w:rsidRPr="00BE2180">
        <w:rPr>
          <w:i/>
          <w:iCs/>
          <w:noProof/>
          <w:szCs w:val="24"/>
        </w:rPr>
        <w:t>The Palaeolithic archaeology of Greece and adjacent areas: Proceedings of the ICOPAG Conference, Ioannina, September 1994</w:t>
      </w:r>
      <w:r w:rsidRPr="00BE2180">
        <w:rPr>
          <w:noProof/>
          <w:szCs w:val="24"/>
        </w:rPr>
        <w:t xml:space="preserve"> 232–239 (British School at Athens Studies, 1999).</w:t>
      </w:r>
    </w:p>
    <w:p w14:paraId="637F054F"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6.</w:t>
      </w:r>
      <w:r w:rsidRPr="00BE2180">
        <w:rPr>
          <w:noProof/>
          <w:szCs w:val="24"/>
        </w:rPr>
        <w:tab/>
        <w:t xml:space="preserve">Kyparissi-Apostolika, N. The Mesolithic/Neolithic transition in Greece as evidenced by the data at Theopetra cave in Thessaly. </w:t>
      </w:r>
      <w:r w:rsidRPr="00BE2180">
        <w:rPr>
          <w:i/>
          <w:iCs/>
          <w:noProof/>
          <w:szCs w:val="24"/>
        </w:rPr>
        <w:t>Doc. Praehist.</w:t>
      </w:r>
      <w:r w:rsidRPr="00BE2180">
        <w:rPr>
          <w:noProof/>
          <w:szCs w:val="24"/>
        </w:rPr>
        <w:t xml:space="preserve"> </w:t>
      </w:r>
      <w:r w:rsidRPr="00BE2180">
        <w:rPr>
          <w:b/>
          <w:bCs/>
          <w:noProof/>
          <w:szCs w:val="24"/>
        </w:rPr>
        <w:t>27</w:t>
      </w:r>
      <w:r w:rsidRPr="00BE2180">
        <w:rPr>
          <w:noProof/>
          <w:szCs w:val="24"/>
        </w:rPr>
        <w:t>, 133–140 (2000).</w:t>
      </w:r>
    </w:p>
    <w:p w14:paraId="1AFB9120"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7.</w:t>
      </w:r>
      <w:r w:rsidRPr="00BE2180">
        <w:rPr>
          <w:noProof/>
          <w:szCs w:val="24"/>
        </w:rPr>
        <w:tab/>
        <w:t xml:space="preserve">Valladas, H. </w:t>
      </w:r>
      <w:r w:rsidRPr="00BE2180">
        <w:rPr>
          <w:i/>
          <w:iCs/>
          <w:noProof/>
          <w:szCs w:val="24"/>
        </w:rPr>
        <w:t>et al.</w:t>
      </w:r>
      <w:r w:rsidRPr="00BE2180">
        <w:rPr>
          <w:noProof/>
          <w:szCs w:val="24"/>
        </w:rPr>
        <w:t xml:space="preserve"> TL age-estimates for the Middle Palaeolithic layers at Theopetra cave (Greece). </w:t>
      </w:r>
      <w:r w:rsidRPr="00BE2180">
        <w:rPr>
          <w:i/>
          <w:iCs/>
          <w:noProof/>
          <w:szCs w:val="24"/>
        </w:rPr>
        <w:t>Quat. Geochronol.</w:t>
      </w:r>
      <w:r w:rsidRPr="00BE2180">
        <w:rPr>
          <w:noProof/>
          <w:szCs w:val="24"/>
        </w:rPr>
        <w:t xml:space="preserve"> </w:t>
      </w:r>
      <w:r w:rsidRPr="00BE2180">
        <w:rPr>
          <w:b/>
          <w:bCs/>
          <w:noProof/>
          <w:szCs w:val="24"/>
        </w:rPr>
        <w:t>2</w:t>
      </w:r>
      <w:r w:rsidRPr="00BE2180">
        <w:rPr>
          <w:noProof/>
          <w:szCs w:val="24"/>
        </w:rPr>
        <w:t>, 303–308 (2007).</w:t>
      </w:r>
    </w:p>
    <w:p w14:paraId="3FFB41E8"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8.</w:t>
      </w:r>
      <w:r w:rsidRPr="00BE2180">
        <w:rPr>
          <w:noProof/>
          <w:szCs w:val="24"/>
        </w:rPr>
        <w:tab/>
        <w:t xml:space="preserve">Hofmanová, Z. </w:t>
      </w:r>
      <w:r w:rsidRPr="00BE2180">
        <w:rPr>
          <w:i/>
          <w:iCs/>
          <w:noProof/>
          <w:szCs w:val="24"/>
        </w:rPr>
        <w:t>et al.</w:t>
      </w:r>
      <w:r w:rsidRPr="00BE2180">
        <w:rPr>
          <w:noProof/>
          <w:szCs w:val="24"/>
        </w:rPr>
        <w:t xml:space="preserve"> Early farmers from across Europe directly descended from Neolithic Aegeans. </w:t>
      </w:r>
      <w:r w:rsidRPr="00BE2180">
        <w:rPr>
          <w:i/>
          <w:iCs/>
          <w:noProof/>
          <w:szCs w:val="24"/>
        </w:rPr>
        <w:t>Proc. Natl. Acad. Sci.</w:t>
      </w:r>
      <w:r w:rsidRPr="00BE2180">
        <w:rPr>
          <w:noProof/>
          <w:szCs w:val="24"/>
        </w:rPr>
        <w:t xml:space="preserve"> </w:t>
      </w:r>
      <w:r w:rsidRPr="00BE2180">
        <w:rPr>
          <w:b/>
          <w:bCs/>
          <w:noProof/>
          <w:szCs w:val="24"/>
        </w:rPr>
        <w:t>113</w:t>
      </w:r>
      <w:r w:rsidRPr="00BE2180">
        <w:rPr>
          <w:noProof/>
          <w:szCs w:val="24"/>
        </w:rPr>
        <w:t>, 6886–6891 (2016).</w:t>
      </w:r>
    </w:p>
    <w:p w14:paraId="251C2D7C"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9.</w:t>
      </w:r>
      <w:r w:rsidRPr="00BE2180">
        <w:rPr>
          <w:noProof/>
          <w:szCs w:val="24"/>
        </w:rPr>
        <w:tab/>
        <w:t xml:space="preserve">Sampson, A., Kaczanowska, M. &amp; Kozłowski, J. K. </w:t>
      </w:r>
      <w:r w:rsidRPr="00BE2180">
        <w:rPr>
          <w:i/>
          <w:iCs/>
          <w:noProof/>
          <w:szCs w:val="24"/>
        </w:rPr>
        <w:t>Τhe prehistory of the island of Kythnos and the Mesolithic settlement at Maroulas</w:t>
      </w:r>
      <w:r w:rsidRPr="00BE2180">
        <w:rPr>
          <w:noProof/>
          <w:szCs w:val="24"/>
        </w:rPr>
        <w:t>. (Polish Academy of Sciences and Arts and University of the Aegean, 2010).</w:t>
      </w:r>
    </w:p>
    <w:p w14:paraId="4509BD79"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10.</w:t>
      </w:r>
      <w:r w:rsidRPr="00BE2180">
        <w:rPr>
          <w:noProof/>
          <w:szCs w:val="24"/>
        </w:rPr>
        <w:tab/>
        <w:t xml:space="preserve">Karamitrou-Mentessidi, G. Mavropiyi 2005. Lignite mines and Antiquities. in </w:t>
      </w:r>
      <w:r w:rsidRPr="00BE2180">
        <w:rPr>
          <w:i/>
          <w:iCs/>
          <w:noProof/>
          <w:szCs w:val="24"/>
        </w:rPr>
        <w:t>AEMTh 19</w:t>
      </w:r>
      <w:r w:rsidRPr="00BE2180">
        <w:rPr>
          <w:noProof/>
          <w:szCs w:val="24"/>
        </w:rPr>
        <w:t xml:space="preserve"> (eds. Adam-Veleni, P. &amp; Tsakalou, K.) 511–539 (Ministry of Culture, 2005).</w:t>
      </w:r>
    </w:p>
    <w:p w14:paraId="21B6931D"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11.</w:t>
      </w:r>
      <w:r w:rsidRPr="00BE2180">
        <w:rPr>
          <w:noProof/>
          <w:szCs w:val="24"/>
        </w:rPr>
        <w:tab/>
        <w:t xml:space="preserve">Karamitrou-Mentessidi, G. About prehistoric sites in western Macedonia: prefectures of Kozani and Grevena. in </w:t>
      </w:r>
      <w:r w:rsidRPr="00BE2180">
        <w:rPr>
          <w:i/>
          <w:iCs/>
          <w:noProof/>
          <w:szCs w:val="24"/>
        </w:rPr>
        <w:t>A century of research in prehistoric Macedonia 1912-2012</w:t>
      </w:r>
      <w:r w:rsidRPr="00BE2180">
        <w:rPr>
          <w:noProof/>
          <w:szCs w:val="24"/>
        </w:rPr>
        <w:t xml:space="preserve"> (eds. Stephani, E., Merousis, N. &amp; Dimoula, A.) 223–250 (2014).</w:t>
      </w:r>
    </w:p>
    <w:p w14:paraId="7436964D"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12.</w:t>
      </w:r>
      <w:r w:rsidRPr="00BE2180">
        <w:rPr>
          <w:noProof/>
          <w:szCs w:val="24"/>
        </w:rPr>
        <w:tab/>
        <w:t xml:space="preserve">Karamitrou-Mentessidi, G. L΄ Eforeia Proistorikon kai Klassikon Archaiotiton (Mavropigi, Fillotsairi site). </w:t>
      </w:r>
      <w:r w:rsidRPr="00BE2180">
        <w:rPr>
          <w:i/>
          <w:iCs/>
          <w:noProof/>
          <w:szCs w:val="24"/>
        </w:rPr>
        <w:t>Archaiologikon Delt.</w:t>
      </w:r>
      <w:r w:rsidRPr="00BE2180">
        <w:rPr>
          <w:noProof/>
          <w:szCs w:val="24"/>
        </w:rPr>
        <w:t xml:space="preserve"> </w:t>
      </w:r>
      <w:r w:rsidRPr="00BE2180">
        <w:rPr>
          <w:b/>
          <w:bCs/>
          <w:noProof/>
          <w:szCs w:val="24"/>
        </w:rPr>
        <w:t>60</w:t>
      </w:r>
      <w:r w:rsidRPr="00BE2180">
        <w:rPr>
          <w:noProof/>
          <w:szCs w:val="24"/>
        </w:rPr>
        <w:t>, 763-816 (771–782) (2005).</w:t>
      </w:r>
    </w:p>
    <w:p w14:paraId="6D30EED9"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13.</w:t>
      </w:r>
      <w:r w:rsidRPr="00BE2180">
        <w:rPr>
          <w:noProof/>
          <w:szCs w:val="24"/>
        </w:rPr>
        <w:tab/>
        <w:t xml:space="preserve">Karamitrou-Mentessidi, G. </w:t>
      </w:r>
      <w:r w:rsidRPr="00BE2180">
        <w:rPr>
          <w:i/>
          <w:iCs/>
          <w:noProof/>
          <w:szCs w:val="24"/>
        </w:rPr>
        <w:t>et al.</w:t>
      </w:r>
      <w:r w:rsidRPr="00BE2180">
        <w:rPr>
          <w:noProof/>
          <w:szCs w:val="24"/>
        </w:rPr>
        <w:t xml:space="preserve"> New evidence on the beginning of farming in Greece: The Early Neolithic settlement of Mavropigi in western Macedonia (Greece). </w:t>
      </w:r>
      <w:r w:rsidRPr="00BE2180">
        <w:rPr>
          <w:i/>
          <w:iCs/>
          <w:noProof/>
          <w:szCs w:val="24"/>
        </w:rPr>
        <w:t>Antiquity</w:t>
      </w:r>
      <w:r w:rsidRPr="00BE2180">
        <w:rPr>
          <w:noProof/>
          <w:szCs w:val="24"/>
        </w:rPr>
        <w:t xml:space="preserve"> </w:t>
      </w:r>
      <w:r w:rsidRPr="00BE2180">
        <w:rPr>
          <w:b/>
          <w:bCs/>
          <w:noProof/>
          <w:szCs w:val="24"/>
        </w:rPr>
        <w:t>87</w:t>
      </w:r>
      <w:r w:rsidRPr="00BE2180">
        <w:rPr>
          <w:noProof/>
          <w:szCs w:val="24"/>
        </w:rPr>
        <w:t>, (2013).</w:t>
      </w:r>
    </w:p>
    <w:p w14:paraId="0947E3CF"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lastRenderedPageBreak/>
        <w:t>14.</w:t>
      </w:r>
      <w:r w:rsidRPr="00BE2180">
        <w:rPr>
          <w:noProof/>
          <w:szCs w:val="24"/>
        </w:rPr>
        <w:tab/>
        <w:t xml:space="preserve">Karamitrou-Mentessidi, G. Aiani and the Prefecture of Kozani: ten years of survey. in </w:t>
      </w:r>
      <w:r w:rsidRPr="00BE2180">
        <w:rPr>
          <w:i/>
          <w:iCs/>
          <w:noProof/>
          <w:szCs w:val="24"/>
        </w:rPr>
        <w:t>AEMTH 20 years</w:t>
      </w:r>
      <w:r w:rsidRPr="00BE2180">
        <w:rPr>
          <w:noProof/>
          <w:szCs w:val="24"/>
        </w:rPr>
        <w:t xml:space="preserve"> (eds. Adam-Veleni, P. &amp; Tzanavari, K.) 105–126 (Ministry of Culture, 2009).</w:t>
      </w:r>
    </w:p>
    <w:p w14:paraId="25FB421C"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15.</w:t>
      </w:r>
      <w:r w:rsidRPr="00BE2180">
        <w:rPr>
          <w:noProof/>
          <w:szCs w:val="24"/>
        </w:rPr>
        <w:tab/>
        <w:t xml:space="preserve">Karamitrou-Mentessidi, G. Prehistoric settlements of Kitrini Limni. in </w:t>
      </w:r>
      <w:r w:rsidRPr="00BE2180">
        <w:rPr>
          <w:i/>
          <w:iCs/>
          <w:noProof/>
          <w:szCs w:val="24"/>
        </w:rPr>
        <w:t>Amitos: Honorary volume for Prof. Manolis Andronikos</w:t>
      </w:r>
      <w:r w:rsidRPr="00BE2180">
        <w:rPr>
          <w:noProof/>
          <w:szCs w:val="24"/>
        </w:rPr>
        <w:t xml:space="preserve"> 391–416 (1986).</w:t>
      </w:r>
    </w:p>
    <w:p w14:paraId="3323F1B5"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16.</w:t>
      </w:r>
      <w:r w:rsidRPr="00BE2180">
        <w:rPr>
          <w:noProof/>
          <w:szCs w:val="24"/>
        </w:rPr>
        <w:tab/>
        <w:t xml:space="preserve">Karamitrou-Mentessidi, G., Efstratiou, N., Kaczanowska, M. &amp; Kozłowski, J. Early Neolithic Settlement of Mavropigi in Western Greek Macedonia. </w:t>
      </w:r>
      <w:r w:rsidRPr="00BE2180">
        <w:rPr>
          <w:i/>
          <w:iCs/>
          <w:noProof/>
          <w:szCs w:val="24"/>
        </w:rPr>
        <w:t>Eurasian Prehistory</w:t>
      </w:r>
      <w:r w:rsidRPr="00BE2180">
        <w:rPr>
          <w:noProof/>
          <w:szCs w:val="24"/>
        </w:rPr>
        <w:t xml:space="preserve"> </w:t>
      </w:r>
      <w:r w:rsidRPr="00BE2180">
        <w:rPr>
          <w:b/>
          <w:bCs/>
          <w:noProof/>
          <w:szCs w:val="24"/>
        </w:rPr>
        <w:t>12</w:t>
      </w:r>
      <w:r w:rsidRPr="00BE2180">
        <w:rPr>
          <w:noProof/>
          <w:szCs w:val="24"/>
        </w:rPr>
        <w:t>, 47–116 (2015).</w:t>
      </w:r>
    </w:p>
    <w:p w14:paraId="04FC75D0"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17.</w:t>
      </w:r>
      <w:r w:rsidRPr="00BE2180">
        <w:rPr>
          <w:noProof/>
          <w:szCs w:val="24"/>
        </w:rPr>
        <w:tab/>
        <w:t xml:space="preserve">Bonga, L. Pioneering potters: Early Neolithic ceramics from Mavropigi-Fillotsairi, Western Macedonia. in </w:t>
      </w:r>
      <w:r w:rsidRPr="00BE2180">
        <w:rPr>
          <w:i/>
          <w:iCs/>
          <w:noProof/>
          <w:szCs w:val="24"/>
        </w:rPr>
        <w:t>Athens University Review of Archaeology</w:t>
      </w:r>
      <w:r w:rsidRPr="00BE2180">
        <w:rPr>
          <w:noProof/>
          <w:szCs w:val="24"/>
        </w:rPr>
        <w:t xml:space="preserve"> 9–62 (2020).</w:t>
      </w:r>
    </w:p>
    <w:p w14:paraId="644063DC"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18.</w:t>
      </w:r>
      <w:r w:rsidRPr="00BE2180">
        <w:rPr>
          <w:noProof/>
          <w:szCs w:val="24"/>
        </w:rPr>
        <w:tab/>
        <w:t xml:space="preserve">Bonga, L. Early ceramic styles and technologies in the Aegean and the Balkans: </w:t>
      </w:r>
      <w:r w:rsidRPr="00BE2180">
        <w:rPr>
          <w:i/>
          <w:iCs/>
          <w:noProof/>
          <w:szCs w:val="24"/>
        </w:rPr>
        <w:t>Doc. Praehist.</w:t>
      </w:r>
      <w:r w:rsidRPr="00BE2180">
        <w:rPr>
          <w:noProof/>
          <w:szCs w:val="24"/>
        </w:rPr>
        <w:t xml:space="preserve"> </w:t>
      </w:r>
      <w:r w:rsidRPr="00BE2180">
        <w:rPr>
          <w:b/>
          <w:bCs/>
          <w:noProof/>
          <w:szCs w:val="24"/>
        </w:rPr>
        <w:t>46</w:t>
      </w:r>
      <w:r w:rsidRPr="00BE2180">
        <w:rPr>
          <w:noProof/>
          <w:szCs w:val="24"/>
        </w:rPr>
        <w:t>, 158–172 (2019).</w:t>
      </w:r>
    </w:p>
    <w:p w14:paraId="1543CAB6"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19.</w:t>
      </w:r>
      <w:r w:rsidRPr="00BE2180">
        <w:rPr>
          <w:noProof/>
          <w:szCs w:val="24"/>
        </w:rPr>
        <w:tab/>
        <w:t xml:space="preserve">Bonga, L. A. Thoughts on the Preliminary Study of Early Neolithic Decorated Pottery from the Central Origma at Mavropigi-Filotsairi. in </w:t>
      </w:r>
      <w:r w:rsidRPr="00BE2180">
        <w:rPr>
          <w:i/>
          <w:iCs/>
          <w:noProof/>
          <w:szCs w:val="24"/>
        </w:rPr>
        <w:t>Communities, Landscapes, and Interaction in Neolithic Greece: proceedings of the international conference, Rethymno 29-30 May, 2015</w:t>
      </w:r>
      <w:r w:rsidRPr="00BE2180">
        <w:rPr>
          <w:noProof/>
          <w:szCs w:val="24"/>
        </w:rPr>
        <w:t xml:space="preserve"> (eds. Sarris, A., Kalogiropoulou, E., Kalayci, T. &amp; Karimali, L.) 374–387 (International Monographs in Prehistory, Archaeological Series 20, 2017). doi:10.2307/j.ctvw049k3.31.</w:t>
      </w:r>
    </w:p>
    <w:p w14:paraId="64C46F26"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20.</w:t>
      </w:r>
      <w:r w:rsidRPr="00BE2180">
        <w:rPr>
          <w:noProof/>
          <w:szCs w:val="24"/>
        </w:rPr>
        <w:tab/>
        <w:t xml:space="preserve">Kaczanowska, M. &amp; Kozłowski, J. Early Neolithic Settlement of Mavropigi in Western Greek Macedonia. </w:t>
      </w:r>
      <w:r w:rsidRPr="00BE2180">
        <w:rPr>
          <w:i/>
          <w:iCs/>
          <w:noProof/>
          <w:szCs w:val="24"/>
        </w:rPr>
        <w:t>Eurasian Prehistory</w:t>
      </w:r>
      <w:r w:rsidRPr="00BE2180">
        <w:rPr>
          <w:noProof/>
          <w:szCs w:val="24"/>
        </w:rPr>
        <w:t xml:space="preserve"> </w:t>
      </w:r>
      <w:r w:rsidRPr="00BE2180">
        <w:rPr>
          <w:b/>
          <w:bCs/>
          <w:noProof/>
          <w:szCs w:val="24"/>
        </w:rPr>
        <w:t>12</w:t>
      </w:r>
      <w:r w:rsidRPr="00BE2180">
        <w:rPr>
          <w:noProof/>
          <w:szCs w:val="24"/>
        </w:rPr>
        <w:t>, 71–116 (2015).</w:t>
      </w:r>
    </w:p>
    <w:p w14:paraId="5EE8E623"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21.</w:t>
      </w:r>
      <w:r w:rsidRPr="00BE2180">
        <w:rPr>
          <w:noProof/>
          <w:szCs w:val="24"/>
        </w:rPr>
        <w:tab/>
        <w:t xml:space="preserve">Ninou, I., Chondrou, D., Kasapidou, G., Karamitrou-Mentessidi, G. &amp; Valamoti, S.-M. Does a mortar make a house…? Early Neolithic grinding and pounding stone tools from Greece: Mavropigi-Fillotsairi of Kozani (West Macedonia). in </w:t>
      </w:r>
      <w:r w:rsidRPr="00BE2180">
        <w:rPr>
          <w:i/>
          <w:iCs/>
          <w:noProof/>
          <w:szCs w:val="24"/>
        </w:rPr>
        <w:t>Early Neolithic of Europe, 6-8 November</w:t>
      </w:r>
      <w:r w:rsidRPr="00BE2180">
        <w:rPr>
          <w:noProof/>
          <w:szCs w:val="24"/>
        </w:rPr>
        <w:t xml:space="preserve"> in press (CSIC and Maritim Museum of Barcelona, 2019).</w:t>
      </w:r>
    </w:p>
    <w:p w14:paraId="27D1A4AF"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22.</w:t>
      </w:r>
      <w:r w:rsidRPr="00BE2180">
        <w:rPr>
          <w:noProof/>
          <w:szCs w:val="24"/>
        </w:rPr>
        <w:tab/>
        <w:t>Michalopoulou, S. Early Neolithic in Western Macedonia, Greece: the contribution of the zooarchaeological study from the sites Fyllotsairi -Mavropigi and Portes - Ksirolimni. (University of Athens, 2017).</w:t>
      </w:r>
    </w:p>
    <w:p w14:paraId="30A78A7E"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23.</w:t>
      </w:r>
      <w:r w:rsidRPr="00BE2180">
        <w:rPr>
          <w:noProof/>
          <w:szCs w:val="24"/>
        </w:rPr>
        <w:tab/>
        <w:t xml:space="preserve">Karamitrou-Mentessidi, G. Aiani. A coroplastic workshop of the Archaic era. in </w:t>
      </w:r>
      <w:r w:rsidRPr="00BE2180">
        <w:rPr>
          <w:i/>
          <w:iCs/>
          <w:noProof/>
          <w:szCs w:val="24"/>
        </w:rPr>
        <w:t>Figurines. A microcosmos of clay</w:t>
      </w:r>
      <w:r w:rsidRPr="00BE2180">
        <w:rPr>
          <w:noProof/>
          <w:szCs w:val="24"/>
        </w:rPr>
        <w:t xml:space="preserve"> 64–67 (2017).</w:t>
      </w:r>
    </w:p>
    <w:p w14:paraId="2678D11A"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24.</w:t>
      </w:r>
      <w:r w:rsidRPr="00BE2180">
        <w:rPr>
          <w:noProof/>
          <w:szCs w:val="24"/>
        </w:rPr>
        <w:tab/>
        <w:t xml:space="preserve">Starnini, E. The figurines from the Early Neolithic settlement of Mavropigi (Western Macedonia-Greece) and their significance in the neolithization process of Greece. </w:t>
      </w:r>
      <w:r w:rsidRPr="00BE2180">
        <w:rPr>
          <w:i/>
          <w:iCs/>
          <w:noProof/>
          <w:szCs w:val="24"/>
        </w:rPr>
        <w:t>Eurasian Prehistory</w:t>
      </w:r>
      <w:r w:rsidRPr="00BE2180">
        <w:rPr>
          <w:noProof/>
          <w:szCs w:val="24"/>
        </w:rPr>
        <w:t xml:space="preserve"> </w:t>
      </w:r>
      <w:r w:rsidRPr="00BE2180">
        <w:rPr>
          <w:b/>
          <w:bCs/>
          <w:noProof/>
          <w:szCs w:val="24"/>
        </w:rPr>
        <w:t>14</w:t>
      </w:r>
      <w:r w:rsidRPr="00BE2180">
        <w:rPr>
          <w:noProof/>
          <w:szCs w:val="24"/>
        </w:rPr>
        <w:t>, 55–152 (2018).</w:t>
      </w:r>
    </w:p>
    <w:p w14:paraId="03FA974F"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25.</w:t>
      </w:r>
      <w:r w:rsidRPr="00BE2180">
        <w:rPr>
          <w:noProof/>
          <w:szCs w:val="24"/>
        </w:rPr>
        <w:tab/>
        <w:t xml:space="preserve">Cucchi, T. </w:t>
      </w:r>
      <w:r w:rsidRPr="00BE2180">
        <w:rPr>
          <w:i/>
          <w:iCs/>
          <w:noProof/>
          <w:szCs w:val="24"/>
        </w:rPr>
        <w:t>et al.</w:t>
      </w:r>
      <w:r w:rsidRPr="00BE2180">
        <w:rPr>
          <w:noProof/>
          <w:szCs w:val="24"/>
        </w:rPr>
        <w:t xml:space="preserve"> Tracking the Near Eastern origins and European dispersal of the western house mouse. </w:t>
      </w:r>
      <w:r w:rsidRPr="00BE2180">
        <w:rPr>
          <w:i/>
          <w:iCs/>
          <w:noProof/>
          <w:szCs w:val="24"/>
        </w:rPr>
        <w:t>Sci. Rep.</w:t>
      </w:r>
      <w:r w:rsidRPr="00BE2180">
        <w:rPr>
          <w:noProof/>
          <w:szCs w:val="24"/>
        </w:rPr>
        <w:t xml:space="preserve"> </w:t>
      </w:r>
      <w:r w:rsidRPr="00BE2180">
        <w:rPr>
          <w:b/>
          <w:bCs/>
          <w:noProof/>
          <w:szCs w:val="24"/>
        </w:rPr>
        <w:t>10</w:t>
      </w:r>
      <w:r w:rsidRPr="00BE2180">
        <w:rPr>
          <w:noProof/>
          <w:szCs w:val="24"/>
        </w:rPr>
        <w:t>, 8276 (2020).</w:t>
      </w:r>
    </w:p>
    <w:p w14:paraId="3F8B6267"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26.</w:t>
      </w:r>
      <w:r w:rsidRPr="00BE2180">
        <w:rPr>
          <w:noProof/>
          <w:szCs w:val="24"/>
        </w:rPr>
        <w:tab/>
        <w:t xml:space="preserve">Papathanasiou, A. &amp; Richards, M. P. Anthropologika kataloipa apo tis proimes theseis Mavropigis, Ksirolimnis kai Pontokomis tis Archaioteris Neolithikis sti Ditiki Makedonia. </w:t>
      </w:r>
      <w:r w:rsidRPr="00BE2180">
        <w:rPr>
          <w:noProof/>
          <w:szCs w:val="24"/>
        </w:rPr>
        <w:lastRenderedPageBreak/>
        <w:t xml:space="preserve">in </w:t>
      </w:r>
      <w:r w:rsidRPr="00BE2180">
        <w:rPr>
          <w:i/>
          <w:iCs/>
          <w:noProof/>
          <w:szCs w:val="24"/>
        </w:rPr>
        <w:t>AEAM 1</w:t>
      </w:r>
      <w:r w:rsidRPr="00BE2180">
        <w:rPr>
          <w:noProof/>
          <w:szCs w:val="24"/>
        </w:rPr>
        <w:t xml:space="preserve"> 257–274 (2009).</w:t>
      </w:r>
    </w:p>
    <w:p w14:paraId="614AE5CE"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27.</w:t>
      </w:r>
      <w:r w:rsidRPr="00BE2180">
        <w:rPr>
          <w:noProof/>
          <w:szCs w:val="24"/>
        </w:rPr>
        <w:tab/>
        <w:t xml:space="preserve">Valamoti, S. M. Seeds for the dead ? Archaeobotanical remains from Mavropigi near Kozani, site Fyllotsairi. in </w:t>
      </w:r>
      <w:r w:rsidRPr="00BE2180">
        <w:rPr>
          <w:i/>
          <w:iCs/>
          <w:noProof/>
          <w:szCs w:val="24"/>
        </w:rPr>
        <w:t>AEAM 1</w:t>
      </w:r>
      <w:r w:rsidRPr="00BE2180">
        <w:rPr>
          <w:noProof/>
          <w:szCs w:val="24"/>
        </w:rPr>
        <w:t xml:space="preserve"> 245–256 (2009).</w:t>
      </w:r>
    </w:p>
    <w:p w14:paraId="115EE841"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28.</w:t>
      </w:r>
      <w:r w:rsidRPr="00BE2180">
        <w:rPr>
          <w:noProof/>
          <w:szCs w:val="24"/>
        </w:rPr>
        <w:tab/>
        <w:t>Anastasiou, E. The Paleoparasitology of Eastern Mediterranean and Adjacent Regions: Understanding Intestinal Diseases Through Time. (University of Cambridge, 2013).</w:t>
      </w:r>
    </w:p>
    <w:p w14:paraId="0100C5FB"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29.</w:t>
      </w:r>
      <w:r w:rsidRPr="00BE2180">
        <w:rPr>
          <w:noProof/>
          <w:szCs w:val="24"/>
        </w:rPr>
        <w:tab/>
        <w:t xml:space="preserve">Papageorgopoulou, C. Ancient DNA: applications, perspectives, limitations. in </w:t>
      </w:r>
      <w:r w:rsidRPr="00BE2180">
        <w:rPr>
          <w:i/>
          <w:iCs/>
          <w:noProof/>
          <w:szCs w:val="24"/>
        </w:rPr>
        <w:t>100 Years Research in prehistoric Macedonia 1912-2012</w:t>
      </w:r>
      <w:r w:rsidRPr="00BE2180">
        <w:rPr>
          <w:noProof/>
          <w:szCs w:val="24"/>
        </w:rPr>
        <w:t xml:space="preserve"> 477–491 (2014).</w:t>
      </w:r>
    </w:p>
    <w:p w14:paraId="15B7E2C9"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30.</w:t>
      </w:r>
      <w:r w:rsidRPr="00BE2180">
        <w:rPr>
          <w:noProof/>
          <w:szCs w:val="24"/>
        </w:rPr>
        <w:tab/>
        <w:t xml:space="preserve">Maniatis, Y. Radiocarbon dating of the major cultural phases in prehistoric Macedonia: Recent developments. in </w:t>
      </w:r>
      <w:r w:rsidRPr="00BE2180">
        <w:rPr>
          <w:i/>
          <w:iCs/>
          <w:noProof/>
          <w:szCs w:val="24"/>
        </w:rPr>
        <w:t>A century of research in prehistoric Macedonia 1912-2012 Research in prehistoric Macedonia 1912-2012</w:t>
      </w:r>
      <w:r w:rsidRPr="00BE2180">
        <w:rPr>
          <w:noProof/>
          <w:szCs w:val="24"/>
        </w:rPr>
        <w:t xml:space="preserve"> (eds. Stefani, E., Merousis, N. &amp; Dimoula, A.) 205–222 (2014).</w:t>
      </w:r>
    </w:p>
    <w:p w14:paraId="4A840021"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31.</w:t>
      </w:r>
      <w:r w:rsidRPr="00BE2180">
        <w:rPr>
          <w:noProof/>
          <w:szCs w:val="24"/>
        </w:rPr>
        <w:tab/>
        <w:t xml:space="preserve">Douka, K., Efstratiou, N., Moundrea-Agrafioti, Α. &amp; Karamitrou-Mentessidi, G. Dating the Early Neolithic of mainland of Greece, with a focus on Thessaly and Macedonia. in </w:t>
      </w:r>
      <w:r w:rsidRPr="00BE2180">
        <w:rPr>
          <w:i/>
          <w:iCs/>
          <w:noProof/>
          <w:szCs w:val="24"/>
        </w:rPr>
        <w:t>Early Neolithic of Europe, 6-8 November</w:t>
      </w:r>
      <w:r w:rsidRPr="00BE2180">
        <w:rPr>
          <w:noProof/>
          <w:szCs w:val="24"/>
        </w:rPr>
        <w:t xml:space="preserve"> (CSIC and Maritim Museum of Barcelona, 2019).</w:t>
      </w:r>
    </w:p>
    <w:p w14:paraId="4505BF6D"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32.</w:t>
      </w:r>
      <w:r w:rsidRPr="00BE2180">
        <w:rPr>
          <w:noProof/>
          <w:szCs w:val="24"/>
        </w:rPr>
        <w:tab/>
        <w:t xml:space="preserve">Karamitrou-Mentessidi, G. </w:t>
      </w:r>
      <w:r w:rsidRPr="00BE2180">
        <w:rPr>
          <w:i/>
          <w:iCs/>
          <w:noProof/>
          <w:szCs w:val="24"/>
        </w:rPr>
        <w:t>et al.</w:t>
      </w:r>
      <w:r w:rsidRPr="00BE2180">
        <w:rPr>
          <w:noProof/>
          <w:szCs w:val="24"/>
        </w:rPr>
        <w:t xml:space="preserve"> New evidence on the beginning of farming in Greece: the Early Neolithic settlement of Mavropigi in western Macedonia (Greece). </w:t>
      </w:r>
      <w:r w:rsidRPr="00BE2180">
        <w:rPr>
          <w:i/>
          <w:iCs/>
          <w:noProof/>
          <w:szCs w:val="24"/>
        </w:rPr>
        <w:t>Antiquity</w:t>
      </w:r>
      <w:r w:rsidRPr="00BE2180">
        <w:rPr>
          <w:noProof/>
          <w:szCs w:val="24"/>
        </w:rPr>
        <w:t xml:space="preserve"> </w:t>
      </w:r>
      <w:r w:rsidRPr="00BE2180">
        <w:rPr>
          <w:b/>
          <w:bCs/>
          <w:noProof/>
          <w:szCs w:val="24"/>
        </w:rPr>
        <w:t>87</w:t>
      </w:r>
      <w:r w:rsidRPr="00BE2180">
        <w:rPr>
          <w:noProof/>
          <w:szCs w:val="24"/>
        </w:rPr>
        <w:t>, 1–4 (2013).</w:t>
      </w:r>
    </w:p>
    <w:p w14:paraId="088D9B0F"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33.</w:t>
      </w:r>
      <w:r w:rsidRPr="00BE2180">
        <w:rPr>
          <w:noProof/>
          <w:szCs w:val="24"/>
        </w:rPr>
        <w:tab/>
        <w:t>Karamitrou-Mentessidi, G. Voion-Notia Orestis: archaeologiki ereuna kai historiki topographia. in 104, 108, 212–215 (1999).</w:t>
      </w:r>
    </w:p>
    <w:p w14:paraId="3B82357D"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34.</w:t>
      </w:r>
      <w:r w:rsidRPr="00BE2180">
        <w:rPr>
          <w:noProof/>
          <w:szCs w:val="24"/>
        </w:rPr>
        <w:tab/>
        <w:t xml:space="preserve">Karamitrou-Mentessidi, G. Xirolimni. in </w:t>
      </w:r>
      <w:r w:rsidRPr="00BE2180">
        <w:rPr>
          <w:i/>
          <w:iCs/>
          <w:noProof/>
          <w:szCs w:val="24"/>
        </w:rPr>
        <w:t>Archaeologikon Deltion</w:t>
      </w:r>
      <w:r w:rsidRPr="00BE2180">
        <w:rPr>
          <w:noProof/>
          <w:szCs w:val="24"/>
        </w:rPr>
        <w:t xml:space="preserve"> vol. 48 380–381 (Ministry of Culture, 1993).</w:t>
      </w:r>
    </w:p>
    <w:p w14:paraId="0D4AC83E"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35.</w:t>
      </w:r>
      <w:r w:rsidRPr="00BE2180">
        <w:rPr>
          <w:noProof/>
          <w:szCs w:val="24"/>
        </w:rPr>
        <w:tab/>
        <w:t xml:space="preserve">Karamitrou-Mentessidi, G. Xirolimni-Thesi Porta. in </w:t>
      </w:r>
      <w:r w:rsidRPr="00BE2180">
        <w:rPr>
          <w:i/>
          <w:iCs/>
          <w:noProof/>
          <w:szCs w:val="24"/>
        </w:rPr>
        <w:t>Archaeologikon Deltion</w:t>
      </w:r>
      <w:r w:rsidRPr="00BE2180">
        <w:rPr>
          <w:noProof/>
          <w:szCs w:val="24"/>
        </w:rPr>
        <w:t xml:space="preserve"> 671–673 (Ministry of Culture, 1998).</w:t>
      </w:r>
    </w:p>
    <w:p w14:paraId="08F09F1C"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36.</w:t>
      </w:r>
      <w:r w:rsidRPr="00BE2180">
        <w:rPr>
          <w:noProof/>
          <w:szCs w:val="24"/>
        </w:rPr>
        <w:tab/>
        <w:t xml:space="preserve">Karamitrou-Mentessidi, G. Xirolimni Kozanis 1998. in </w:t>
      </w:r>
      <w:r w:rsidRPr="00BE2180">
        <w:rPr>
          <w:i/>
          <w:iCs/>
          <w:noProof/>
          <w:szCs w:val="24"/>
        </w:rPr>
        <w:t>AEMTh 12</w:t>
      </w:r>
      <w:r w:rsidRPr="00BE2180">
        <w:rPr>
          <w:noProof/>
          <w:szCs w:val="24"/>
        </w:rPr>
        <w:t xml:space="preserve"> (ed. Adam-Veleni, P.) 465–480 (Ministry of Culture, 1998).</w:t>
      </w:r>
    </w:p>
    <w:p w14:paraId="1214AB93"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37.</w:t>
      </w:r>
      <w:r w:rsidRPr="00BE2180">
        <w:rPr>
          <w:noProof/>
          <w:szCs w:val="24"/>
        </w:rPr>
        <w:tab/>
        <w:t xml:space="preserve">Karamitrou-Mentessidi, G. Xirolimni. in </w:t>
      </w:r>
      <w:r w:rsidRPr="00BE2180">
        <w:rPr>
          <w:i/>
          <w:iCs/>
          <w:noProof/>
          <w:szCs w:val="24"/>
        </w:rPr>
        <w:t>Archaeologikon Deltion</w:t>
      </w:r>
      <w:r w:rsidRPr="00BE2180">
        <w:rPr>
          <w:noProof/>
          <w:szCs w:val="24"/>
        </w:rPr>
        <w:t xml:space="preserve"> vol. 54 629–632 (Ministry of Culture, 1999).</w:t>
      </w:r>
    </w:p>
    <w:p w14:paraId="3E06D4EF"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38.</w:t>
      </w:r>
      <w:r w:rsidRPr="00BE2180">
        <w:rPr>
          <w:noProof/>
          <w:szCs w:val="24"/>
        </w:rPr>
        <w:tab/>
        <w:t xml:space="preserve">Karamitrou-Mentessidi, G. Xirolimni. in </w:t>
      </w:r>
      <w:r w:rsidRPr="00BE2180">
        <w:rPr>
          <w:i/>
          <w:iCs/>
          <w:noProof/>
          <w:szCs w:val="24"/>
        </w:rPr>
        <w:t>Archaeologikon Deltion</w:t>
      </w:r>
      <w:r w:rsidRPr="00BE2180">
        <w:rPr>
          <w:noProof/>
          <w:szCs w:val="24"/>
        </w:rPr>
        <w:t xml:space="preserve"> vol. 55 794–796 (Ministry of Culture, 2000).</w:t>
      </w:r>
    </w:p>
    <w:p w14:paraId="2723A6F3"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39.</w:t>
      </w:r>
      <w:r w:rsidRPr="00BE2180">
        <w:rPr>
          <w:noProof/>
          <w:szCs w:val="24"/>
        </w:rPr>
        <w:tab/>
        <w:t xml:space="preserve">Karamitrou-Mentessidi, G. Prefecture of Kozani. </w:t>
      </w:r>
      <w:r w:rsidRPr="00BE2180">
        <w:rPr>
          <w:i/>
          <w:iCs/>
          <w:noProof/>
          <w:szCs w:val="24"/>
        </w:rPr>
        <w:t>Archaeologikon Deltion</w:t>
      </w:r>
      <w:r w:rsidRPr="00BE2180">
        <w:rPr>
          <w:noProof/>
          <w:szCs w:val="24"/>
        </w:rPr>
        <w:t xml:space="preserve"> vols 56–59 379 (2001).</w:t>
      </w:r>
    </w:p>
    <w:p w14:paraId="1DC86EC1"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40.</w:t>
      </w:r>
      <w:r w:rsidRPr="00BE2180">
        <w:rPr>
          <w:noProof/>
          <w:szCs w:val="24"/>
        </w:rPr>
        <w:tab/>
        <w:t xml:space="preserve">Karamitrou-Mentessidi, G. O Nomos Kozanis stin Proistoriki, Archaici-Classiki, Hellenistiki kai Romaiki Epochi. in </w:t>
      </w:r>
      <w:r w:rsidRPr="00BE2180">
        <w:rPr>
          <w:i/>
          <w:iCs/>
          <w:noProof/>
          <w:szCs w:val="24"/>
        </w:rPr>
        <w:t>Kozani kai Grevena, O Choros kai oi Anthropoi</w:t>
      </w:r>
      <w:r w:rsidRPr="00BE2180">
        <w:rPr>
          <w:noProof/>
          <w:szCs w:val="24"/>
        </w:rPr>
        <w:t xml:space="preserve"> 249–256, 270–282 (2004).</w:t>
      </w:r>
    </w:p>
    <w:p w14:paraId="2D4D979D"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lastRenderedPageBreak/>
        <w:t>41.</w:t>
      </w:r>
      <w:r w:rsidRPr="00BE2180">
        <w:rPr>
          <w:noProof/>
          <w:szCs w:val="24"/>
        </w:rPr>
        <w:tab/>
        <w:t xml:space="preserve">Karamitrou-Mentessidi, G. Prefecture of Kozani 2000: Excavations on roads and by the wayside. in </w:t>
      </w:r>
      <w:r w:rsidRPr="00BE2180">
        <w:rPr>
          <w:i/>
          <w:iCs/>
          <w:noProof/>
          <w:szCs w:val="24"/>
        </w:rPr>
        <w:t>AEMTh 14</w:t>
      </w:r>
      <w:r w:rsidRPr="00BE2180">
        <w:rPr>
          <w:noProof/>
          <w:szCs w:val="24"/>
        </w:rPr>
        <w:t xml:space="preserve"> (ed. Adam-Veleni, P.) 607–640 (Ministry of Culture, 2000).</w:t>
      </w:r>
    </w:p>
    <w:p w14:paraId="14BE300A"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42.</w:t>
      </w:r>
      <w:r w:rsidRPr="00BE2180">
        <w:rPr>
          <w:noProof/>
          <w:szCs w:val="24"/>
        </w:rPr>
        <w:tab/>
        <w:t xml:space="preserve">Besios, M. &amp; Adaktylou, F. The Neolithic settlement at “Revenia” Korinou (in Greek). in </w:t>
      </w:r>
      <w:r w:rsidRPr="00BE2180">
        <w:rPr>
          <w:i/>
          <w:iCs/>
          <w:noProof/>
          <w:szCs w:val="24"/>
        </w:rPr>
        <w:t>AEMTh 18</w:t>
      </w:r>
      <w:r w:rsidRPr="00BE2180">
        <w:rPr>
          <w:noProof/>
          <w:szCs w:val="24"/>
        </w:rPr>
        <w:t xml:space="preserve"> (eds. Adam-Veleni, P. &amp; Tzanavari, K.) 357–366 (Ministry of Culture, 2006).</w:t>
      </w:r>
    </w:p>
    <w:p w14:paraId="5F45A67B"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43.</w:t>
      </w:r>
      <w:r w:rsidRPr="00BE2180">
        <w:rPr>
          <w:noProof/>
          <w:szCs w:val="24"/>
        </w:rPr>
        <w:tab/>
        <w:t>Adaktylou, F. The Neolithic settlement at Revenia, Korinos, Pieria (in Greek) (Vol. I &amp; II). (Aristotle University of Thessaloniki, 2017).</w:t>
      </w:r>
    </w:p>
    <w:p w14:paraId="0E109507"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44.</w:t>
      </w:r>
      <w:r w:rsidRPr="00BE2180">
        <w:rPr>
          <w:noProof/>
          <w:szCs w:val="24"/>
        </w:rPr>
        <w:tab/>
        <w:t xml:space="preserve">Urem-Kotsou, D., Papaioannou, A., Papadakou, T., Saridaki, N. &amp; Intze, Z. Pottery and stylistic boundaries. Early and middle neolithic pottery in Macedonia. in </w:t>
      </w:r>
      <w:r w:rsidRPr="00BE2180">
        <w:rPr>
          <w:i/>
          <w:iCs/>
          <w:noProof/>
          <w:szCs w:val="24"/>
        </w:rPr>
        <w:t>A century of research in prehistoric Macedonia 1912-2012</w:t>
      </w:r>
      <w:r w:rsidRPr="00BE2180">
        <w:rPr>
          <w:noProof/>
          <w:szCs w:val="24"/>
        </w:rPr>
        <w:t xml:space="preserve"> (eds. Stefani, E., Merousis, N. &amp; Dimoula, A.) 505–517 (2014).</w:t>
      </w:r>
    </w:p>
    <w:p w14:paraId="2D31E6F1"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45.</w:t>
      </w:r>
      <w:r w:rsidRPr="00BE2180">
        <w:rPr>
          <w:noProof/>
          <w:szCs w:val="24"/>
        </w:rPr>
        <w:tab/>
        <w:t xml:space="preserve">Urem-Kotsou, D. </w:t>
      </w:r>
      <w:r w:rsidRPr="00BE2180">
        <w:rPr>
          <w:i/>
          <w:iCs/>
          <w:noProof/>
          <w:szCs w:val="24"/>
        </w:rPr>
        <w:t>et al.</w:t>
      </w:r>
      <w:r w:rsidRPr="00BE2180">
        <w:rPr>
          <w:noProof/>
          <w:szCs w:val="24"/>
        </w:rPr>
        <w:t xml:space="preserve"> Patterns in Contemporaneous Ceramic Traditions. in </w:t>
      </w:r>
      <w:r w:rsidRPr="00BE2180">
        <w:rPr>
          <w:i/>
          <w:iCs/>
          <w:noProof/>
          <w:szCs w:val="24"/>
        </w:rPr>
        <w:t>Communities, Landscapes, and Interaction in Neolithic Greece</w:t>
      </w:r>
      <w:r w:rsidRPr="00BE2180">
        <w:rPr>
          <w:noProof/>
          <w:szCs w:val="24"/>
        </w:rPr>
        <w:t xml:space="preserve"> 324–338 (Berghahn Books, 2017). doi:10.2307/j.ctvw049k3.28.</w:t>
      </w:r>
    </w:p>
    <w:p w14:paraId="6E756445"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46.</w:t>
      </w:r>
      <w:r w:rsidRPr="00BE2180">
        <w:rPr>
          <w:noProof/>
          <w:szCs w:val="24"/>
        </w:rPr>
        <w:tab/>
        <w:t xml:space="preserve">Triantaphyllou, S. &amp; Adaktylou, F. The manipulation of the deceased during the earlier phases of the Neolithic period in Macedonia: first remarks from Revenia, Korinos, northern Pieria (in Greek). in </w:t>
      </w:r>
      <w:r w:rsidRPr="00BE2180">
        <w:rPr>
          <w:i/>
          <w:iCs/>
          <w:noProof/>
          <w:szCs w:val="24"/>
        </w:rPr>
        <w:t>AEMTh 28</w:t>
      </w:r>
      <w:r w:rsidRPr="00BE2180">
        <w:rPr>
          <w:noProof/>
          <w:szCs w:val="24"/>
        </w:rPr>
        <w:t xml:space="preserve"> (eds. Adam-Veleni, P., Arvanitaki, A. &amp; Zografou, E.) 215–222 (Ministry of Culture, 2019).</w:t>
      </w:r>
    </w:p>
    <w:p w14:paraId="2894982A"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47.</w:t>
      </w:r>
      <w:r w:rsidRPr="00BE2180">
        <w:rPr>
          <w:noProof/>
          <w:szCs w:val="24"/>
        </w:rPr>
        <w:tab/>
        <w:t xml:space="preserve">Kotzamani, G. From gathering to cultivation: an archaeobotanical investigation of the early stages of plant exploitation and the beginnings of agriculture in Greece (Theopetra cave, Schisto cave, Sidari, Revenia) (in Greek). </w:t>
      </w:r>
      <w:r w:rsidRPr="00BE2180">
        <w:rPr>
          <w:i/>
          <w:iCs/>
          <w:noProof/>
          <w:szCs w:val="24"/>
        </w:rPr>
        <w:t>PhD Thesis</w:t>
      </w:r>
      <w:r w:rsidRPr="00BE2180">
        <w:rPr>
          <w:noProof/>
          <w:szCs w:val="24"/>
        </w:rPr>
        <w:t xml:space="preserve"> (Aristotle University of Thessaloniki, 2009).</w:t>
      </w:r>
    </w:p>
    <w:p w14:paraId="679E48B7"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48.</w:t>
      </w:r>
      <w:r w:rsidRPr="00BE2180">
        <w:rPr>
          <w:noProof/>
          <w:szCs w:val="24"/>
        </w:rPr>
        <w:tab/>
        <w:t xml:space="preserve">Isaakidou, V., Halstead, P. &amp; Adaktylou, F. Animal carcass processing, cooking and consumption at Early Neolithic Revenia-Korinou, northern Greece. </w:t>
      </w:r>
      <w:r w:rsidRPr="00BE2180">
        <w:rPr>
          <w:i/>
          <w:iCs/>
          <w:noProof/>
          <w:szCs w:val="24"/>
        </w:rPr>
        <w:t>Quat. Int.</w:t>
      </w:r>
      <w:r w:rsidRPr="00BE2180">
        <w:rPr>
          <w:noProof/>
          <w:szCs w:val="24"/>
        </w:rPr>
        <w:t xml:space="preserve"> </w:t>
      </w:r>
      <w:r w:rsidRPr="00BE2180">
        <w:rPr>
          <w:b/>
          <w:bCs/>
          <w:noProof/>
          <w:szCs w:val="24"/>
        </w:rPr>
        <w:t>496</w:t>
      </w:r>
      <w:r w:rsidRPr="00BE2180">
        <w:rPr>
          <w:noProof/>
          <w:szCs w:val="24"/>
        </w:rPr>
        <w:t>, 108–126 (2018).</w:t>
      </w:r>
    </w:p>
    <w:p w14:paraId="3E587CEE"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49.</w:t>
      </w:r>
      <w:r w:rsidRPr="00BE2180">
        <w:rPr>
          <w:noProof/>
          <w:szCs w:val="24"/>
        </w:rPr>
        <w:tab/>
        <w:t xml:space="preserve">Dogiama, L. Casting a Wide Network: Preliminary Results from the Early Neolithic Chipped Stone Assemblages from Revenia, Pieria (Greece). in </w:t>
      </w:r>
      <w:r w:rsidRPr="00BE2180">
        <w:rPr>
          <w:i/>
          <w:iCs/>
          <w:noProof/>
          <w:szCs w:val="24"/>
        </w:rPr>
        <w:t>Communities, Landscapes, and Interaction in Neolithic Greece. Proceedings of the International Conference. Rethymno 29-30 May, 2015</w:t>
      </w:r>
      <w:r w:rsidRPr="00BE2180">
        <w:rPr>
          <w:noProof/>
          <w:szCs w:val="24"/>
        </w:rPr>
        <w:t xml:space="preserve"> (eds. Sarris, A., Kalogiropoulou, E., Kalayci, Y. &amp; Karimali, L.) 446–462 (International Monographs in Prehistory. Archaeological Series 20, 2017).</w:t>
      </w:r>
    </w:p>
    <w:p w14:paraId="63BD983E"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50.</w:t>
      </w:r>
      <w:r w:rsidRPr="00BE2180">
        <w:rPr>
          <w:noProof/>
          <w:szCs w:val="24"/>
        </w:rPr>
        <w:tab/>
        <w:t xml:space="preserve">Maniatis, Y. &amp; Adaktylou, F. Revenia-Korinos: one of the earliest neolithic settlements in north Greece as evidenced by radiocarbon dating. </w:t>
      </w:r>
      <w:r w:rsidRPr="00BE2180">
        <w:rPr>
          <w:i/>
          <w:iCs/>
          <w:noProof/>
          <w:szCs w:val="24"/>
        </w:rPr>
        <w:t>Radiocarbon</w:t>
      </w:r>
      <w:r w:rsidRPr="00BE2180">
        <w:rPr>
          <w:noProof/>
          <w:szCs w:val="24"/>
        </w:rPr>
        <w:t xml:space="preserve"> </w:t>
      </w:r>
      <w:r w:rsidRPr="00BE2180">
        <w:rPr>
          <w:b/>
          <w:bCs/>
          <w:noProof/>
          <w:szCs w:val="24"/>
        </w:rPr>
        <w:t>63</w:t>
      </w:r>
      <w:r w:rsidRPr="00BE2180">
        <w:rPr>
          <w:noProof/>
          <w:szCs w:val="24"/>
        </w:rPr>
        <w:t>, 1025–1051 (2021).</w:t>
      </w:r>
    </w:p>
    <w:p w14:paraId="7B865DEF"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51.</w:t>
      </w:r>
      <w:r w:rsidRPr="00BE2180">
        <w:rPr>
          <w:noProof/>
          <w:szCs w:val="24"/>
        </w:rPr>
        <w:tab/>
        <w:t xml:space="preserve">Ghilardi, M. </w:t>
      </w:r>
      <w:r w:rsidRPr="00BE2180">
        <w:rPr>
          <w:i/>
          <w:iCs/>
          <w:noProof/>
          <w:szCs w:val="24"/>
        </w:rPr>
        <w:t>et al.</w:t>
      </w:r>
      <w:r w:rsidRPr="00BE2180">
        <w:rPr>
          <w:noProof/>
          <w:szCs w:val="24"/>
        </w:rPr>
        <w:t xml:space="preserve"> Human occupation and geomorphological evolution of the Thessaloniki Plain (Greece) since mid Holocene. </w:t>
      </w:r>
      <w:r w:rsidRPr="00BE2180">
        <w:rPr>
          <w:i/>
          <w:iCs/>
          <w:noProof/>
          <w:szCs w:val="24"/>
        </w:rPr>
        <w:t>J. Archaeol. Sci.</w:t>
      </w:r>
      <w:r w:rsidRPr="00BE2180">
        <w:rPr>
          <w:noProof/>
          <w:szCs w:val="24"/>
        </w:rPr>
        <w:t xml:space="preserve"> </w:t>
      </w:r>
      <w:r w:rsidRPr="00BE2180">
        <w:rPr>
          <w:b/>
          <w:bCs/>
          <w:noProof/>
          <w:szCs w:val="24"/>
        </w:rPr>
        <w:t>35</w:t>
      </w:r>
      <w:r w:rsidRPr="00BE2180">
        <w:rPr>
          <w:noProof/>
          <w:szCs w:val="24"/>
        </w:rPr>
        <w:t xml:space="preserve">, 111–125 </w:t>
      </w:r>
      <w:r w:rsidRPr="00BE2180">
        <w:rPr>
          <w:noProof/>
          <w:szCs w:val="24"/>
        </w:rPr>
        <w:lastRenderedPageBreak/>
        <w:t>(2008).</w:t>
      </w:r>
    </w:p>
    <w:p w14:paraId="6CCE8ABD"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52.</w:t>
      </w:r>
      <w:r w:rsidRPr="00BE2180">
        <w:rPr>
          <w:noProof/>
          <w:szCs w:val="24"/>
        </w:rPr>
        <w:tab/>
        <w:t xml:space="preserve">van Zeist, W. &amp; Bottema, S. </w:t>
      </w:r>
      <w:r w:rsidRPr="00BE2180">
        <w:rPr>
          <w:i/>
          <w:iCs/>
          <w:noProof/>
          <w:szCs w:val="24"/>
        </w:rPr>
        <w:t>PALYNOLOGICAL INVESTIGATIONS IN WESTERN IRAN</w:t>
      </w:r>
      <w:r w:rsidRPr="00BE2180">
        <w:rPr>
          <w:noProof/>
          <w:szCs w:val="24"/>
        </w:rPr>
        <w:t>. (1971).</w:t>
      </w:r>
    </w:p>
    <w:p w14:paraId="4AAD6AAC"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53.</w:t>
      </w:r>
      <w:r w:rsidRPr="00BE2180">
        <w:rPr>
          <w:noProof/>
          <w:szCs w:val="24"/>
        </w:rPr>
        <w:tab/>
        <w:t xml:space="preserve">Higgs, E. S. Fauna. in </w:t>
      </w:r>
      <w:r w:rsidRPr="00BE2180">
        <w:rPr>
          <w:i/>
          <w:iCs/>
          <w:noProof/>
          <w:szCs w:val="24"/>
        </w:rPr>
        <w:t>Excavations at the Early Neolithic site at Nea Nikomedeia, Greek Macedonia</w:t>
      </w:r>
      <w:r w:rsidRPr="00BE2180">
        <w:rPr>
          <w:noProof/>
          <w:szCs w:val="24"/>
        </w:rPr>
        <w:t xml:space="preserve"> 271–274 (Proceedings of the Prehistoric Society 28, 1962).</w:t>
      </w:r>
    </w:p>
    <w:p w14:paraId="79E2259E" w14:textId="77777777" w:rsidR="00BE2180" w:rsidRPr="00BE2180" w:rsidRDefault="00BE2180" w:rsidP="00BE2180">
      <w:pPr>
        <w:autoSpaceDE w:val="0"/>
        <w:autoSpaceDN w:val="0"/>
        <w:adjustRightInd w:val="0"/>
        <w:spacing w:after="0"/>
        <w:ind w:left="640" w:hanging="640"/>
        <w:rPr>
          <w:noProof/>
          <w:szCs w:val="24"/>
        </w:rPr>
      </w:pPr>
      <w:r w:rsidRPr="00986DF8">
        <w:rPr>
          <w:noProof/>
          <w:szCs w:val="24"/>
          <w:lang w:val="de-DE"/>
        </w:rPr>
        <w:t>54.</w:t>
      </w:r>
      <w:r w:rsidRPr="00986DF8">
        <w:rPr>
          <w:noProof/>
          <w:szCs w:val="24"/>
          <w:lang w:val="de-DE"/>
        </w:rPr>
        <w:tab/>
        <w:t xml:space="preserve">Rodden, R. J. </w:t>
      </w:r>
      <w:r w:rsidRPr="00986DF8">
        <w:rPr>
          <w:i/>
          <w:iCs/>
          <w:noProof/>
          <w:szCs w:val="24"/>
          <w:lang w:val="de-DE"/>
        </w:rPr>
        <w:t>et al.</w:t>
      </w:r>
      <w:r w:rsidRPr="00986DF8">
        <w:rPr>
          <w:noProof/>
          <w:szCs w:val="24"/>
          <w:lang w:val="de-DE"/>
        </w:rPr>
        <w:t xml:space="preserve"> </w:t>
      </w:r>
      <w:r w:rsidRPr="00BE2180">
        <w:rPr>
          <w:noProof/>
          <w:szCs w:val="24"/>
        </w:rPr>
        <w:t xml:space="preserve">Excavations at the Early Neolithic Site at Nea Nikomedeia, Greek Macedonia (1961 season). </w:t>
      </w:r>
      <w:r w:rsidRPr="00BE2180">
        <w:rPr>
          <w:i/>
          <w:iCs/>
          <w:noProof/>
          <w:szCs w:val="24"/>
        </w:rPr>
        <w:t>Proc. Prehist. Soc.</w:t>
      </w:r>
      <w:r w:rsidRPr="00BE2180">
        <w:rPr>
          <w:noProof/>
          <w:szCs w:val="24"/>
        </w:rPr>
        <w:t xml:space="preserve"> </w:t>
      </w:r>
      <w:r w:rsidRPr="00BE2180">
        <w:rPr>
          <w:b/>
          <w:bCs/>
          <w:noProof/>
          <w:szCs w:val="24"/>
        </w:rPr>
        <w:t>28</w:t>
      </w:r>
      <w:r w:rsidRPr="00BE2180">
        <w:rPr>
          <w:noProof/>
          <w:szCs w:val="24"/>
        </w:rPr>
        <w:t>, 267–288 (1962).</w:t>
      </w:r>
    </w:p>
    <w:p w14:paraId="73CA1622"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55.</w:t>
      </w:r>
      <w:r w:rsidRPr="00BE2180">
        <w:rPr>
          <w:noProof/>
          <w:szCs w:val="24"/>
        </w:rPr>
        <w:tab/>
        <w:t xml:space="preserve">Rodden, R. J. Recent discoveries from prehistoric Macedonia: an interim report. </w:t>
      </w:r>
      <w:r w:rsidRPr="00BE2180">
        <w:rPr>
          <w:i/>
          <w:iCs/>
          <w:noProof/>
          <w:szCs w:val="24"/>
        </w:rPr>
        <w:t>Balk. Stud.</w:t>
      </w:r>
      <w:r w:rsidRPr="00BE2180">
        <w:rPr>
          <w:noProof/>
          <w:szCs w:val="24"/>
        </w:rPr>
        <w:t xml:space="preserve"> </w:t>
      </w:r>
      <w:r w:rsidRPr="00BE2180">
        <w:rPr>
          <w:b/>
          <w:bCs/>
          <w:noProof/>
          <w:szCs w:val="24"/>
        </w:rPr>
        <w:t>5</w:t>
      </w:r>
      <w:r w:rsidRPr="00BE2180">
        <w:rPr>
          <w:noProof/>
          <w:szCs w:val="24"/>
        </w:rPr>
        <w:t>, 109–124 (1964).</w:t>
      </w:r>
    </w:p>
    <w:p w14:paraId="2ABFFA62"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56.</w:t>
      </w:r>
      <w:r w:rsidRPr="00BE2180">
        <w:rPr>
          <w:noProof/>
          <w:szCs w:val="24"/>
        </w:rPr>
        <w:tab/>
        <w:t xml:space="preserve">Marchi, N. </w:t>
      </w:r>
      <w:r w:rsidRPr="00BE2180">
        <w:rPr>
          <w:i/>
          <w:iCs/>
          <w:noProof/>
          <w:szCs w:val="24"/>
        </w:rPr>
        <w:t>et al.</w:t>
      </w:r>
      <w:r w:rsidRPr="00BE2180">
        <w:rPr>
          <w:noProof/>
          <w:szCs w:val="24"/>
        </w:rPr>
        <w:t xml:space="preserve"> The genomic origins of the world’s first farmers. </w:t>
      </w:r>
      <w:r w:rsidRPr="00BE2180">
        <w:rPr>
          <w:i/>
          <w:iCs/>
          <w:noProof/>
          <w:szCs w:val="24"/>
        </w:rPr>
        <w:t>Cell</w:t>
      </w:r>
      <w:r w:rsidRPr="00BE2180">
        <w:rPr>
          <w:noProof/>
          <w:szCs w:val="24"/>
        </w:rPr>
        <w:t xml:space="preserve"> </w:t>
      </w:r>
      <w:r w:rsidRPr="00BE2180">
        <w:rPr>
          <w:b/>
          <w:bCs/>
          <w:noProof/>
          <w:szCs w:val="24"/>
        </w:rPr>
        <w:t>185</w:t>
      </w:r>
      <w:r w:rsidRPr="00BE2180">
        <w:rPr>
          <w:noProof/>
          <w:szCs w:val="24"/>
        </w:rPr>
        <w:t>, 1842-1859.e18 (2022).</w:t>
      </w:r>
    </w:p>
    <w:p w14:paraId="21F547F6"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57.</w:t>
      </w:r>
      <w:r w:rsidRPr="00BE2180">
        <w:rPr>
          <w:noProof/>
          <w:szCs w:val="24"/>
        </w:rPr>
        <w:tab/>
        <w:t xml:space="preserve">Maniatis, Y. Results of the radiocarbon samples from the Neolithic settlement of Stavroupoli Thessaloniki. in </w:t>
      </w:r>
      <w:r w:rsidRPr="00BE2180">
        <w:rPr>
          <w:i/>
          <w:iCs/>
          <w:noProof/>
          <w:szCs w:val="24"/>
        </w:rPr>
        <w:t>Rescue excavations at the Neolithic site of Stavroupoli Thessaloniki</w:t>
      </w:r>
      <w:r w:rsidRPr="00BE2180">
        <w:rPr>
          <w:noProof/>
          <w:szCs w:val="24"/>
        </w:rPr>
        <w:t xml:space="preserve"> 847 (2002).</w:t>
      </w:r>
    </w:p>
    <w:p w14:paraId="59D67159"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58.</w:t>
      </w:r>
      <w:r w:rsidRPr="00BE2180">
        <w:rPr>
          <w:noProof/>
          <w:szCs w:val="24"/>
        </w:rPr>
        <w:tab/>
        <w:t xml:space="preserve">Kotsos, S. &amp; Urem-Kotsou, D. Filling in the Neolithic landscape of central Macedonia, Greece. </w:t>
      </w:r>
      <w:r w:rsidRPr="00BE2180">
        <w:rPr>
          <w:i/>
          <w:iCs/>
          <w:noProof/>
          <w:szCs w:val="24"/>
        </w:rPr>
        <w:t>Homage to Milutin Garasanin</w:t>
      </w:r>
      <w:r w:rsidRPr="00BE2180">
        <w:rPr>
          <w:noProof/>
          <w:szCs w:val="24"/>
        </w:rPr>
        <w:t xml:space="preserve"> 193–207 (2006).</w:t>
      </w:r>
    </w:p>
    <w:p w14:paraId="12C73A07"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59.</w:t>
      </w:r>
      <w:r w:rsidRPr="00BE2180">
        <w:rPr>
          <w:noProof/>
          <w:szCs w:val="24"/>
        </w:rPr>
        <w:tab/>
        <w:t xml:space="preserve">Dushka, U.-K. &amp; Kotsos, S. Settling Neolithic Central Macedonia, Northern Greece. in </w:t>
      </w:r>
      <w:r w:rsidRPr="00BE2180">
        <w:rPr>
          <w:i/>
          <w:iCs/>
          <w:noProof/>
          <w:szCs w:val="24"/>
        </w:rPr>
        <w:t>Making Spaces into Places. The North Aegean, the Balkans and Western Anatolia in the Neolithic</w:t>
      </w:r>
      <w:r w:rsidRPr="00BE2180">
        <w:rPr>
          <w:noProof/>
          <w:szCs w:val="24"/>
        </w:rPr>
        <w:t xml:space="preserve"> 87–104 (BAR Publishing, 2020).</w:t>
      </w:r>
    </w:p>
    <w:p w14:paraId="0009D818"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60.</w:t>
      </w:r>
      <w:r w:rsidRPr="00BE2180">
        <w:rPr>
          <w:noProof/>
          <w:szCs w:val="24"/>
        </w:rPr>
        <w:tab/>
        <w:t xml:space="preserve">Lymperaki, M., Urem-Kotsou, D., Kotsos, S. &amp; Kotsakis, K. Household Scales: What Cooking Pots Can Tell Us About Households in the Late Neolithic Stavroupoli (Northern Greece). </w:t>
      </w:r>
      <w:r w:rsidRPr="00BE2180">
        <w:rPr>
          <w:i/>
          <w:iCs/>
          <w:noProof/>
          <w:szCs w:val="24"/>
        </w:rPr>
        <w:t>Open Archaeol.</w:t>
      </w:r>
      <w:r w:rsidRPr="00BE2180">
        <w:rPr>
          <w:noProof/>
          <w:szCs w:val="24"/>
        </w:rPr>
        <w:t xml:space="preserve"> </w:t>
      </w:r>
      <w:r w:rsidRPr="00BE2180">
        <w:rPr>
          <w:b/>
          <w:bCs/>
          <w:noProof/>
          <w:szCs w:val="24"/>
        </w:rPr>
        <w:t>2</w:t>
      </w:r>
      <w:r w:rsidRPr="00BE2180">
        <w:rPr>
          <w:noProof/>
          <w:szCs w:val="24"/>
        </w:rPr>
        <w:t>, 238–245 (2016).</w:t>
      </w:r>
    </w:p>
    <w:p w14:paraId="14B3B104"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61.</w:t>
      </w:r>
      <w:r w:rsidRPr="00BE2180">
        <w:rPr>
          <w:noProof/>
          <w:szCs w:val="24"/>
        </w:rPr>
        <w:tab/>
        <w:t xml:space="preserve">Grammenos, D. B. &amp; Kotsos, S. Rescue excavations at the Neolithic site of Stavroupoli Thessaloniki. </w:t>
      </w:r>
      <w:r w:rsidRPr="00BE2180">
        <w:rPr>
          <w:i/>
          <w:iCs/>
          <w:noProof/>
          <w:szCs w:val="24"/>
        </w:rPr>
        <w:t>Thessaloniki Archaeol. Inst. North. Greece</w:t>
      </w:r>
      <w:r w:rsidRPr="00BE2180">
        <w:rPr>
          <w:noProof/>
          <w:szCs w:val="24"/>
        </w:rPr>
        <w:t xml:space="preserve"> </w:t>
      </w:r>
      <w:r w:rsidRPr="00BE2180">
        <w:rPr>
          <w:b/>
          <w:bCs/>
          <w:noProof/>
          <w:szCs w:val="24"/>
        </w:rPr>
        <w:t>2</w:t>
      </w:r>
      <w:r w:rsidRPr="00BE2180">
        <w:rPr>
          <w:noProof/>
          <w:szCs w:val="24"/>
        </w:rPr>
        <w:t>, (2002).</w:t>
      </w:r>
    </w:p>
    <w:p w14:paraId="4C9AA4F2"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62.</w:t>
      </w:r>
      <w:r w:rsidRPr="00BE2180">
        <w:rPr>
          <w:noProof/>
          <w:szCs w:val="24"/>
        </w:rPr>
        <w:tab/>
        <w:t xml:space="preserve">Urem-Kotsou, D. &amp; Gioura, E. The pottery from new excavations. in </w:t>
      </w:r>
      <w:r w:rsidRPr="00BE2180">
        <w:rPr>
          <w:i/>
          <w:iCs/>
          <w:noProof/>
          <w:szCs w:val="24"/>
        </w:rPr>
        <w:t>Rescue Excavations at Neolithic Settlement of Stavroupoli, Thessaloniki, Part II (1998-2003)</w:t>
      </w:r>
      <w:r w:rsidRPr="00BE2180">
        <w:rPr>
          <w:noProof/>
          <w:szCs w:val="24"/>
        </w:rPr>
        <w:t xml:space="preserve"> (eds. Grammenos, D. B. &amp; Kotsos, S.) 219–303 (Archaeolological Institute of Northern Greece 6, 2004).</w:t>
      </w:r>
    </w:p>
    <w:p w14:paraId="63B6ABC7"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63.</w:t>
      </w:r>
      <w:r w:rsidRPr="00BE2180">
        <w:rPr>
          <w:noProof/>
          <w:szCs w:val="24"/>
        </w:rPr>
        <w:tab/>
        <w:t xml:space="preserve">Alisøy, H. A. Consumption of ground stone tools at Stavroupoli. in </w:t>
      </w:r>
      <w:r w:rsidRPr="00BE2180">
        <w:rPr>
          <w:i/>
          <w:iCs/>
          <w:noProof/>
          <w:szCs w:val="24"/>
        </w:rPr>
        <w:t>Rescue Excavations at Neolithic Settlement of Stavroupoli, Thessaloniki</w:t>
      </w:r>
      <w:r w:rsidRPr="00BE2180">
        <w:rPr>
          <w:noProof/>
          <w:szCs w:val="24"/>
        </w:rPr>
        <w:t xml:space="preserve"> (eds. Grammenos, D. B. &amp; Kotsos, S.) 561–608 (Archaeolological Institute of Northern Greece 6, 2002).</w:t>
      </w:r>
    </w:p>
    <w:p w14:paraId="71E8CD14"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64.</w:t>
      </w:r>
      <w:r w:rsidRPr="00BE2180">
        <w:rPr>
          <w:noProof/>
          <w:szCs w:val="24"/>
        </w:rPr>
        <w:tab/>
        <w:t xml:space="preserve">Skourtopoulou, K. Chipped stone tools from the settlement of Stavroupoli. in </w:t>
      </w:r>
      <w:r w:rsidRPr="00BE2180">
        <w:rPr>
          <w:i/>
          <w:iCs/>
          <w:noProof/>
          <w:szCs w:val="24"/>
        </w:rPr>
        <w:t>Rescue Excavations at Neolithic Settlement of Stavroupoli, Thessaloniki</w:t>
      </w:r>
      <w:r w:rsidRPr="00BE2180">
        <w:rPr>
          <w:noProof/>
          <w:szCs w:val="24"/>
        </w:rPr>
        <w:t xml:space="preserve"> (eds. Grammenos, D. B. &amp; Kotsos, S.) 537–559 (Archaeolological Institute of Northern Greece 6, 2002).</w:t>
      </w:r>
    </w:p>
    <w:p w14:paraId="0B1065AA"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65.</w:t>
      </w:r>
      <w:r w:rsidRPr="00BE2180">
        <w:rPr>
          <w:noProof/>
          <w:szCs w:val="24"/>
        </w:rPr>
        <w:tab/>
        <w:t xml:space="preserve">Skourtopoulou, K. I lithotechnia tou apokrousmenou lithou ston oikismo tis Stavroupolis. in </w:t>
      </w:r>
      <w:r w:rsidRPr="00BE2180">
        <w:rPr>
          <w:i/>
          <w:iCs/>
          <w:noProof/>
          <w:szCs w:val="24"/>
        </w:rPr>
        <w:t xml:space="preserve">Sostikes Anaskafes sto Neolithiko Oikismo Stavroupolis </w:t>
      </w:r>
      <w:r w:rsidRPr="00BE2180">
        <w:rPr>
          <w:i/>
          <w:iCs/>
          <w:noProof/>
          <w:szCs w:val="24"/>
        </w:rPr>
        <w:lastRenderedPageBreak/>
        <w:t>Thessalonikis, Part II</w:t>
      </w:r>
      <w:r w:rsidRPr="00BE2180">
        <w:rPr>
          <w:noProof/>
          <w:szCs w:val="24"/>
        </w:rPr>
        <w:t xml:space="preserve"> 361–476 (2004).</w:t>
      </w:r>
    </w:p>
    <w:p w14:paraId="0F18E5BB"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66.</w:t>
      </w:r>
      <w:r w:rsidRPr="00BE2180">
        <w:rPr>
          <w:noProof/>
          <w:szCs w:val="24"/>
        </w:rPr>
        <w:tab/>
        <w:t xml:space="preserve">Hatzoudi. Preliminary study of bone artifacts. in </w:t>
      </w:r>
      <w:r w:rsidRPr="00BE2180">
        <w:rPr>
          <w:i/>
          <w:iCs/>
          <w:noProof/>
          <w:szCs w:val="24"/>
        </w:rPr>
        <w:t>Rescue Excavations at Neolithic Settlement of Stavroupoli, Thessaloniki</w:t>
      </w:r>
      <w:r w:rsidRPr="00BE2180">
        <w:rPr>
          <w:noProof/>
          <w:szCs w:val="24"/>
        </w:rPr>
        <w:t xml:space="preserve"> (eds. Grammenos, D. B. &amp; Kotsos, S.) 609–626 (Archaeolological Institute of Northern Greece 6, 2002).</w:t>
      </w:r>
    </w:p>
    <w:p w14:paraId="4931E889"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67.</w:t>
      </w:r>
      <w:r w:rsidRPr="00BE2180">
        <w:rPr>
          <w:noProof/>
          <w:szCs w:val="24"/>
        </w:rPr>
        <w:tab/>
        <w:t xml:space="preserve">Christidou, R. Note on the bone artefacts from Stavroupoli. in </w:t>
      </w:r>
      <w:r w:rsidRPr="00BE2180">
        <w:rPr>
          <w:i/>
          <w:iCs/>
          <w:noProof/>
          <w:szCs w:val="24"/>
        </w:rPr>
        <w:t>Rescue Excavations at Neolithic Settlement of Stavroupoli, Thessaloniki</w:t>
      </w:r>
      <w:r w:rsidRPr="00BE2180">
        <w:rPr>
          <w:noProof/>
          <w:szCs w:val="24"/>
        </w:rPr>
        <w:t xml:space="preserve"> 477–488 (Archaeolological Institute of Northern Greece 6, 2002).</w:t>
      </w:r>
    </w:p>
    <w:p w14:paraId="1AB2B30D"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68.</w:t>
      </w:r>
      <w:r w:rsidRPr="00BE2180">
        <w:rPr>
          <w:noProof/>
          <w:szCs w:val="24"/>
        </w:rPr>
        <w:tab/>
        <w:t xml:space="preserve">Efstratiou, N. </w:t>
      </w:r>
      <w:r w:rsidRPr="00BE2180">
        <w:rPr>
          <w:i/>
          <w:iCs/>
          <w:noProof/>
          <w:szCs w:val="24"/>
        </w:rPr>
        <w:t>et al.</w:t>
      </w:r>
      <w:r w:rsidRPr="00BE2180">
        <w:rPr>
          <w:noProof/>
          <w:szCs w:val="24"/>
        </w:rPr>
        <w:t xml:space="preserve"> Excavations at the Neolithic settlement of Makri, Thrace, Greece (1988-1996). A preliminary report. in </w:t>
      </w:r>
      <w:r w:rsidRPr="00BE2180">
        <w:rPr>
          <w:i/>
          <w:iCs/>
          <w:noProof/>
          <w:szCs w:val="24"/>
        </w:rPr>
        <w:t>Saguntum 31</w:t>
      </w:r>
      <w:r w:rsidRPr="00BE2180">
        <w:rPr>
          <w:noProof/>
          <w:szCs w:val="24"/>
        </w:rPr>
        <w:t xml:space="preserve"> 11–62 (1998).</w:t>
      </w:r>
    </w:p>
    <w:p w14:paraId="548BC70C"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69.</w:t>
      </w:r>
      <w:r w:rsidRPr="00BE2180">
        <w:rPr>
          <w:noProof/>
          <w:szCs w:val="24"/>
        </w:rPr>
        <w:tab/>
        <w:t xml:space="preserve">Urem-Kotsou, D. &amp; Efstratiou, N. I symvoli tis keramikis tipologias tis Makris sti meleti tisproistorikis ekseliksis sti Thraki. in </w:t>
      </w:r>
      <w:r w:rsidRPr="00BE2180">
        <w:rPr>
          <w:i/>
          <w:iCs/>
          <w:noProof/>
          <w:szCs w:val="24"/>
        </w:rPr>
        <w:t>Archaeologiko Ergo sti Makedonia kai Thraki 7</w:t>
      </w:r>
      <w:r w:rsidRPr="00BE2180">
        <w:rPr>
          <w:noProof/>
          <w:szCs w:val="24"/>
        </w:rPr>
        <w:t xml:space="preserve"> 619–625 (1993).</w:t>
      </w:r>
    </w:p>
    <w:p w14:paraId="11600296"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70.</w:t>
      </w:r>
      <w:r w:rsidRPr="00BE2180">
        <w:rPr>
          <w:noProof/>
          <w:szCs w:val="24"/>
        </w:rPr>
        <w:tab/>
        <w:t xml:space="preserve">Karkanas, P. &amp; Efstratiou, N. Floor sequences in Neolithic Makri, Greece: micromorphology reveals cycles of renovation. </w:t>
      </w:r>
      <w:r w:rsidRPr="00BE2180">
        <w:rPr>
          <w:i/>
          <w:iCs/>
          <w:noProof/>
          <w:szCs w:val="24"/>
        </w:rPr>
        <w:t>Antiquity</w:t>
      </w:r>
      <w:r w:rsidRPr="00BE2180">
        <w:rPr>
          <w:noProof/>
          <w:szCs w:val="24"/>
        </w:rPr>
        <w:t xml:space="preserve"> </w:t>
      </w:r>
      <w:r w:rsidRPr="00BE2180">
        <w:rPr>
          <w:b/>
          <w:bCs/>
          <w:noProof/>
          <w:szCs w:val="24"/>
        </w:rPr>
        <w:t>83</w:t>
      </w:r>
      <w:r w:rsidRPr="00BE2180">
        <w:rPr>
          <w:noProof/>
          <w:szCs w:val="24"/>
        </w:rPr>
        <w:t>, 955–957 (2009).</w:t>
      </w:r>
    </w:p>
    <w:p w14:paraId="2B4FE532"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71.</w:t>
      </w:r>
      <w:r w:rsidRPr="00BE2180">
        <w:rPr>
          <w:noProof/>
          <w:szCs w:val="24"/>
        </w:rPr>
        <w:tab/>
        <w:t>Hondroyianni-Metoki, A. Non domestic use of space in the Neolithic settlements. The example of Toumba Kremastis Koiladas. (Αριστοτέλειο Πανεπιστήμιο Θεσσαλονίκης (ΑΠΘ), 2009). doi:10.12681/eadd/19949.</w:t>
      </w:r>
    </w:p>
    <w:p w14:paraId="33188B8D"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72.</w:t>
      </w:r>
      <w:r w:rsidRPr="00BE2180">
        <w:rPr>
          <w:noProof/>
          <w:szCs w:val="24"/>
        </w:rPr>
        <w:tab/>
        <w:t xml:space="preserve">Hondroyianni-Metoki, A. Egnatia odos, anaskafi stin proistoriki thesi ‘Toumba Kremastis Koiladas’-Nomou Kozanis. in </w:t>
      </w:r>
      <w:r w:rsidRPr="00BE2180">
        <w:rPr>
          <w:i/>
          <w:iCs/>
          <w:noProof/>
          <w:szCs w:val="24"/>
        </w:rPr>
        <w:t>AEMTh 13</w:t>
      </w:r>
      <w:r w:rsidRPr="00BE2180">
        <w:rPr>
          <w:noProof/>
          <w:szCs w:val="24"/>
        </w:rPr>
        <w:t xml:space="preserve"> (ed. Adam-Veleni, P.) 399–414 (Ministry of Culture, 2001).</w:t>
      </w:r>
    </w:p>
    <w:p w14:paraId="4FAE78A3"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73.</w:t>
      </w:r>
      <w:r w:rsidRPr="00BE2180">
        <w:rPr>
          <w:noProof/>
          <w:szCs w:val="24"/>
        </w:rPr>
        <w:tab/>
        <w:t xml:space="preserve">Pappa, M., Halstead, P., Kotsakis, K. &amp; Urem-Kotsou, D. Evidence for large-scale feasting at Late Neolithic Makriyalos. in </w:t>
      </w:r>
      <w:r w:rsidRPr="00BE2180">
        <w:rPr>
          <w:i/>
          <w:iCs/>
          <w:noProof/>
          <w:szCs w:val="24"/>
        </w:rPr>
        <w:t>Food, Cuisine and Society in Prehistoric Greece</w:t>
      </w:r>
      <w:r w:rsidRPr="00BE2180">
        <w:rPr>
          <w:noProof/>
          <w:szCs w:val="24"/>
        </w:rPr>
        <w:t xml:space="preserve"> 16–44 (2004).</w:t>
      </w:r>
    </w:p>
    <w:p w14:paraId="7356EBF0"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74.</w:t>
      </w:r>
      <w:r w:rsidRPr="00BE2180">
        <w:rPr>
          <w:noProof/>
          <w:szCs w:val="24"/>
        </w:rPr>
        <w:tab/>
        <w:t xml:space="preserve">Pappa, M. &amp; Besios, M. The Neolithic settlement at Makriyalos, Northern Greece: preliminary report on the 1993–1995 excavations. </w:t>
      </w:r>
      <w:r w:rsidRPr="00BE2180">
        <w:rPr>
          <w:i/>
          <w:iCs/>
          <w:noProof/>
          <w:szCs w:val="24"/>
        </w:rPr>
        <w:t>J. F. Archaeol.</w:t>
      </w:r>
      <w:r w:rsidRPr="00BE2180">
        <w:rPr>
          <w:noProof/>
          <w:szCs w:val="24"/>
        </w:rPr>
        <w:t xml:space="preserve"> </w:t>
      </w:r>
      <w:r w:rsidRPr="00BE2180">
        <w:rPr>
          <w:b/>
          <w:bCs/>
          <w:noProof/>
          <w:szCs w:val="24"/>
        </w:rPr>
        <w:t>26</w:t>
      </w:r>
      <w:r w:rsidRPr="00BE2180">
        <w:rPr>
          <w:noProof/>
          <w:szCs w:val="24"/>
        </w:rPr>
        <w:t>, 177–195 (1999).</w:t>
      </w:r>
    </w:p>
    <w:p w14:paraId="68A65783"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75.</w:t>
      </w:r>
      <w:r w:rsidRPr="00BE2180">
        <w:rPr>
          <w:noProof/>
          <w:szCs w:val="24"/>
        </w:rPr>
        <w:tab/>
        <w:t xml:space="preserve">Pappa, M. </w:t>
      </w:r>
      <w:r w:rsidRPr="00BE2180">
        <w:rPr>
          <w:i/>
          <w:iCs/>
          <w:noProof/>
          <w:szCs w:val="24"/>
        </w:rPr>
        <w:t>DETh,Thermi, Makrygialos. The organization of communal and domestic space in the Neolithic settlements of Central Macedonia</w:t>
      </w:r>
      <w:r w:rsidRPr="00BE2180">
        <w:rPr>
          <w:noProof/>
          <w:szCs w:val="24"/>
        </w:rPr>
        <w:t>. (Ziti, 2020).</w:t>
      </w:r>
    </w:p>
    <w:p w14:paraId="50782A36"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76.</w:t>
      </w:r>
      <w:r w:rsidRPr="00BE2180">
        <w:rPr>
          <w:noProof/>
          <w:szCs w:val="24"/>
        </w:rPr>
        <w:tab/>
        <w:t xml:space="preserve">Maniatis, Y. &amp; Pappa, M. Radiocarbon Dating of the Neolithic Settlement at Makriyalos, Pieria, North Greece. </w:t>
      </w:r>
      <w:r w:rsidRPr="00BE2180">
        <w:rPr>
          <w:i/>
          <w:iCs/>
          <w:noProof/>
          <w:szCs w:val="24"/>
        </w:rPr>
        <w:t>Radiocarbon</w:t>
      </w:r>
      <w:r w:rsidRPr="00BE2180">
        <w:rPr>
          <w:noProof/>
          <w:szCs w:val="24"/>
        </w:rPr>
        <w:t xml:space="preserve"> </w:t>
      </w:r>
      <w:r w:rsidRPr="00BE2180">
        <w:rPr>
          <w:b/>
          <w:bCs/>
          <w:noProof/>
          <w:szCs w:val="24"/>
        </w:rPr>
        <w:t>62</w:t>
      </w:r>
      <w:r w:rsidRPr="00BE2180">
        <w:rPr>
          <w:noProof/>
          <w:szCs w:val="24"/>
        </w:rPr>
        <w:t>, 467–483 (2020).</w:t>
      </w:r>
    </w:p>
    <w:p w14:paraId="2CF8297E"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77.</w:t>
      </w:r>
      <w:r w:rsidRPr="00BE2180">
        <w:rPr>
          <w:noProof/>
          <w:szCs w:val="24"/>
        </w:rPr>
        <w:tab/>
        <w:t xml:space="preserve">Maniatis, Y., Kotsakis, K. &amp; Halstead, P. New AMS dates of the earliest Neolithic in Macedonia (Greece). in </w:t>
      </w:r>
      <w:r w:rsidRPr="00BE2180">
        <w:rPr>
          <w:i/>
          <w:iCs/>
          <w:noProof/>
          <w:szCs w:val="24"/>
        </w:rPr>
        <w:t>AEMTh 25</w:t>
      </w:r>
      <w:r w:rsidRPr="00BE2180">
        <w:rPr>
          <w:noProof/>
          <w:szCs w:val="24"/>
        </w:rPr>
        <w:t xml:space="preserve"> (eds. Adam-Veleni, P. &amp; Tsakalou, K.) 149–156 (Ministry of Culture, 2011).</w:t>
      </w:r>
    </w:p>
    <w:p w14:paraId="475C9260"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78.</w:t>
      </w:r>
      <w:r w:rsidRPr="00BE2180">
        <w:rPr>
          <w:noProof/>
          <w:szCs w:val="24"/>
        </w:rPr>
        <w:tab/>
        <w:t xml:space="preserve">Kotsakis, K. &amp; Halstead, P. Anaskafi sta neolithika Paliambela Kolindrou. in </w:t>
      </w:r>
      <w:r w:rsidRPr="00BE2180">
        <w:rPr>
          <w:i/>
          <w:iCs/>
          <w:noProof/>
          <w:szCs w:val="24"/>
        </w:rPr>
        <w:t>AEMTh 16</w:t>
      </w:r>
      <w:r w:rsidRPr="00BE2180">
        <w:rPr>
          <w:noProof/>
          <w:szCs w:val="24"/>
        </w:rPr>
        <w:t xml:space="preserve"> (ed. Adam-Veleni, P.) 407–415 (Ministry of Culture, 2004).</w:t>
      </w:r>
    </w:p>
    <w:p w14:paraId="45685147"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79.</w:t>
      </w:r>
      <w:r w:rsidRPr="00BE2180">
        <w:rPr>
          <w:noProof/>
          <w:szCs w:val="24"/>
        </w:rPr>
        <w:tab/>
        <w:t>Halstead, P. &amp; Kotsakis, K. Paliambela in Archaeological Reports for 2001-2002. 80 (2002).</w:t>
      </w:r>
    </w:p>
    <w:p w14:paraId="4E02F9EB"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lastRenderedPageBreak/>
        <w:t>80.</w:t>
      </w:r>
      <w:r w:rsidRPr="00BE2180">
        <w:rPr>
          <w:noProof/>
          <w:szCs w:val="24"/>
        </w:rPr>
        <w:tab/>
        <w:t>Halstead, P. &amp; Kotsakis, K. Paliambela in Archaeological Reports for 2002-2003. 46–66 (2003).</w:t>
      </w:r>
    </w:p>
    <w:p w14:paraId="633A8024"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81.</w:t>
      </w:r>
      <w:r w:rsidRPr="00BE2180">
        <w:rPr>
          <w:noProof/>
          <w:szCs w:val="24"/>
        </w:rPr>
        <w:tab/>
        <w:t xml:space="preserve">Triantaphyllou, S. Living with the Dead: a Re-consideration of Mortuary Practices in the Greek Neolithic. in </w:t>
      </w:r>
      <w:r w:rsidRPr="00BE2180">
        <w:rPr>
          <w:i/>
          <w:iCs/>
          <w:noProof/>
          <w:szCs w:val="24"/>
        </w:rPr>
        <w:t>Escaping the Labyrinth: The Cretan Neolithic in Context</w:t>
      </w:r>
      <w:r w:rsidRPr="00BE2180">
        <w:rPr>
          <w:noProof/>
          <w:szCs w:val="24"/>
        </w:rPr>
        <w:t xml:space="preserve"> (eds. Isaakidou, V. &amp; Tomkins, P.) 139–157 (Oxbow Monographs, 2008).</w:t>
      </w:r>
    </w:p>
    <w:p w14:paraId="5652C1C3"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82.</w:t>
      </w:r>
      <w:r w:rsidRPr="00BE2180">
        <w:rPr>
          <w:noProof/>
          <w:szCs w:val="24"/>
        </w:rPr>
        <w:tab/>
        <w:t xml:space="preserve">Ziota, C. The neolithic settlemment of “Kleitos I” and the new updates for prehistoric research. in </w:t>
      </w:r>
      <w:r w:rsidRPr="00BE2180">
        <w:rPr>
          <w:i/>
          <w:iCs/>
          <w:noProof/>
          <w:szCs w:val="24"/>
        </w:rPr>
        <w:t>AEΑΜ</w:t>
      </w:r>
      <w:r w:rsidRPr="00BE2180">
        <w:rPr>
          <w:noProof/>
          <w:szCs w:val="24"/>
        </w:rPr>
        <w:t xml:space="preserve"> (ed. Karamitrou-Mentessidi, G.) 214–230 (2009).</w:t>
      </w:r>
    </w:p>
    <w:p w14:paraId="3FE04A21"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83.</w:t>
      </w:r>
      <w:r w:rsidRPr="00BE2180">
        <w:rPr>
          <w:noProof/>
          <w:szCs w:val="24"/>
        </w:rPr>
        <w:tab/>
        <w:t xml:space="preserve">Sampson, A. Late Neolithic remains at Tharrounia Euboea: a model for the seasonal use of settlements and caves. </w:t>
      </w:r>
      <w:r w:rsidRPr="00BE2180">
        <w:rPr>
          <w:i/>
          <w:iCs/>
          <w:noProof/>
          <w:szCs w:val="24"/>
        </w:rPr>
        <w:t>BSA</w:t>
      </w:r>
      <w:r w:rsidRPr="00BE2180">
        <w:rPr>
          <w:noProof/>
          <w:szCs w:val="24"/>
        </w:rPr>
        <w:t xml:space="preserve"> </w:t>
      </w:r>
      <w:r w:rsidRPr="00BE2180">
        <w:rPr>
          <w:b/>
          <w:bCs/>
          <w:noProof/>
          <w:szCs w:val="24"/>
        </w:rPr>
        <w:t>87</w:t>
      </w:r>
      <w:r w:rsidRPr="00BE2180">
        <w:rPr>
          <w:noProof/>
          <w:szCs w:val="24"/>
        </w:rPr>
        <w:t>, 61–101 (1992).</w:t>
      </w:r>
    </w:p>
    <w:p w14:paraId="1A88AA3C"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84.</w:t>
      </w:r>
      <w:r w:rsidRPr="00BE2180">
        <w:rPr>
          <w:noProof/>
          <w:szCs w:val="24"/>
        </w:rPr>
        <w:tab/>
        <w:t xml:space="preserve">Sampson, A. Proistorikon spileon Skotini para ta Tharrounia Euboeas. </w:t>
      </w:r>
      <w:r w:rsidRPr="00BE2180">
        <w:rPr>
          <w:i/>
          <w:iCs/>
          <w:noProof/>
          <w:szCs w:val="24"/>
        </w:rPr>
        <w:t>AAA IX</w:t>
      </w:r>
      <w:r w:rsidRPr="00BE2180">
        <w:rPr>
          <w:noProof/>
          <w:szCs w:val="24"/>
        </w:rPr>
        <w:t xml:space="preserve"> 44 (1977).</w:t>
      </w:r>
    </w:p>
    <w:p w14:paraId="07F775E6" w14:textId="77777777" w:rsidR="00BE2180" w:rsidRPr="00986DF8" w:rsidRDefault="00BE2180" w:rsidP="00BE2180">
      <w:pPr>
        <w:autoSpaceDE w:val="0"/>
        <w:autoSpaceDN w:val="0"/>
        <w:adjustRightInd w:val="0"/>
        <w:spacing w:after="0"/>
        <w:ind w:left="640" w:hanging="640"/>
        <w:rPr>
          <w:noProof/>
          <w:szCs w:val="24"/>
          <w:lang w:val="de-DE"/>
        </w:rPr>
      </w:pPr>
      <w:r w:rsidRPr="00BE2180">
        <w:rPr>
          <w:noProof/>
          <w:szCs w:val="24"/>
        </w:rPr>
        <w:t>85.</w:t>
      </w:r>
      <w:r w:rsidRPr="00BE2180">
        <w:rPr>
          <w:noProof/>
          <w:szCs w:val="24"/>
        </w:rPr>
        <w:tab/>
        <w:t xml:space="preserve">Sampson, A. </w:t>
      </w:r>
      <w:r w:rsidRPr="00BE2180">
        <w:rPr>
          <w:i/>
          <w:iCs/>
          <w:noProof/>
          <w:szCs w:val="24"/>
        </w:rPr>
        <w:t>Scoteini Tharrounion. To spilaio, o oikismos kai to nekrotapheio</w:t>
      </w:r>
      <w:r w:rsidRPr="00BE2180">
        <w:rPr>
          <w:noProof/>
          <w:szCs w:val="24"/>
        </w:rPr>
        <w:t xml:space="preserve">. </w:t>
      </w:r>
      <w:r w:rsidRPr="00986DF8">
        <w:rPr>
          <w:noProof/>
          <w:szCs w:val="24"/>
          <w:lang w:val="de-DE"/>
        </w:rPr>
        <w:t>(Hellenic Ministry of Culture, 1993).</w:t>
      </w:r>
    </w:p>
    <w:p w14:paraId="3B72B193" w14:textId="77777777" w:rsidR="00BE2180" w:rsidRPr="00BE2180" w:rsidRDefault="00BE2180" w:rsidP="00BE2180">
      <w:pPr>
        <w:autoSpaceDE w:val="0"/>
        <w:autoSpaceDN w:val="0"/>
        <w:adjustRightInd w:val="0"/>
        <w:spacing w:after="0"/>
        <w:ind w:left="640" w:hanging="640"/>
        <w:rPr>
          <w:noProof/>
          <w:szCs w:val="24"/>
        </w:rPr>
      </w:pPr>
      <w:r w:rsidRPr="00986DF8">
        <w:rPr>
          <w:noProof/>
          <w:szCs w:val="24"/>
          <w:lang w:val="de-DE"/>
        </w:rPr>
        <w:t>86.</w:t>
      </w:r>
      <w:r w:rsidRPr="00986DF8">
        <w:rPr>
          <w:noProof/>
          <w:szCs w:val="24"/>
          <w:lang w:val="de-DE"/>
        </w:rPr>
        <w:tab/>
        <w:t xml:space="preserve">Theocharis, D. Nea Makri. Eine grossen neolithische Siedlung in der Nahe von Marathon. </w:t>
      </w:r>
      <w:r w:rsidRPr="00BE2180">
        <w:rPr>
          <w:i/>
          <w:iCs/>
          <w:noProof/>
          <w:szCs w:val="24"/>
        </w:rPr>
        <w:t>Athen Mitteilungen</w:t>
      </w:r>
      <w:r w:rsidRPr="00BE2180">
        <w:rPr>
          <w:noProof/>
          <w:szCs w:val="24"/>
        </w:rPr>
        <w:t xml:space="preserve"> </w:t>
      </w:r>
      <w:r w:rsidRPr="00BE2180">
        <w:rPr>
          <w:b/>
          <w:bCs/>
          <w:noProof/>
          <w:szCs w:val="24"/>
        </w:rPr>
        <w:t>71</w:t>
      </w:r>
      <w:r w:rsidRPr="00BE2180">
        <w:rPr>
          <w:noProof/>
          <w:szCs w:val="24"/>
        </w:rPr>
        <w:t>, 1–29 (1956).</w:t>
      </w:r>
    </w:p>
    <w:p w14:paraId="3A133702"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87.</w:t>
      </w:r>
      <w:r w:rsidRPr="00BE2180">
        <w:rPr>
          <w:noProof/>
          <w:szCs w:val="24"/>
        </w:rPr>
        <w:tab/>
        <w:t xml:space="preserve">Coleman, J. </w:t>
      </w:r>
      <w:r w:rsidRPr="00BE2180">
        <w:rPr>
          <w:i/>
          <w:iCs/>
          <w:noProof/>
          <w:szCs w:val="24"/>
        </w:rPr>
        <w:t>Keos I: Kephala. A Late Neolithic settlement and cemetery</w:t>
      </w:r>
      <w:r w:rsidRPr="00BE2180">
        <w:rPr>
          <w:noProof/>
          <w:szCs w:val="24"/>
        </w:rPr>
        <w:t>. (Princeton University Press, 1977).</w:t>
      </w:r>
    </w:p>
    <w:p w14:paraId="0E322311"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88.</w:t>
      </w:r>
      <w:r w:rsidRPr="00BE2180">
        <w:rPr>
          <w:noProof/>
          <w:szCs w:val="24"/>
        </w:rPr>
        <w:tab/>
        <w:t>Sampson, A. I neolithiki katoikisi sto Giali tis Nisirou. (1988).</w:t>
      </w:r>
    </w:p>
    <w:p w14:paraId="347806C3"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89.</w:t>
      </w:r>
      <w:r w:rsidRPr="00BE2180">
        <w:rPr>
          <w:noProof/>
          <w:szCs w:val="24"/>
        </w:rPr>
        <w:tab/>
        <w:t>Sampson, A. I Neolithiki periodos sta Dodekanisa. (1987).</w:t>
      </w:r>
    </w:p>
    <w:p w14:paraId="7BA83A88"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90.</w:t>
      </w:r>
      <w:r w:rsidRPr="00BE2180">
        <w:rPr>
          <w:noProof/>
          <w:szCs w:val="24"/>
        </w:rPr>
        <w:tab/>
        <w:t xml:space="preserve">Stravopodi, E. An anthropological assessment of the human findings from the cave and the cemetery. in </w:t>
      </w:r>
      <w:r w:rsidRPr="00BE2180">
        <w:rPr>
          <w:i/>
          <w:iCs/>
          <w:noProof/>
          <w:szCs w:val="24"/>
        </w:rPr>
        <w:t>Scoteini Tharrounion. To spileo, o oikismos kai to nekrotapheio</w:t>
      </w:r>
      <w:r w:rsidRPr="00BE2180">
        <w:rPr>
          <w:noProof/>
          <w:szCs w:val="24"/>
        </w:rPr>
        <w:t xml:space="preserve"> (Hellenic Ministry of Culture, 1993).</w:t>
      </w:r>
    </w:p>
    <w:p w14:paraId="7FDA6F7C" w14:textId="77777777" w:rsidR="00BE2180" w:rsidRPr="00986DF8" w:rsidRDefault="00BE2180" w:rsidP="00BE2180">
      <w:pPr>
        <w:autoSpaceDE w:val="0"/>
        <w:autoSpaceDN w:val="0"/>
        <w:adjustRightInd w:val="0"/>
        <w:spacing w:after="0"/>
        <w:ind w:left="640" w:hanging="640"/>
        <w:rPr>
          <w:noProof/>
          <w:szCs w:val="24"/>
          <w:lang w:val="de-DE"/>
        </w:rPr>
      </w:pPr>
      <w:r w:rsidRPr="00986DF8">
        <w:rPr>
          <w:noProof/>
          <w:szCs w:val="24"/>
          <w:lang w:val="de-DE"/>
        </w:rPr>
        <w:t>91.</w:t>
      </w:r>
      <w:r w:rsidRPr="00986DF8">
        <w:rPr>
          <w:noProof/>
          <w:szCs w:val="24"/>
          <w:lang w:val="de-DE"/>
        </w:rPr>
        <w:tab/>
        <w:t xml:space="preserve">Nieszery, N. </w:t>
      </w:r>
      <w:r w:rsidRPr="00986DF8">
        <w:rPr>
          <w:i/>
          <w:iCs/>
          <w:noProof/>
          <w:szCs w:val="24"/>
          <w:lang w:val="de-DE"/>
        </w:rPr>
        <w:t>Linearbandkeramische Gräberfelder in Bayern</w:t>
      </w:r>
      <w:r w:rsidRPr="00986DF8">
        <w:rPr>
          <w:noProof/>
          <w:szCs w:val="24"/>
          <w:lang w:val="de-DE"/>
        </w:rPr>
        <w:t>. (verlag Marie Leidorf, 1995).</w:t>
      </w:r>
    </w:p>
    <w:p w14:paraId="79F3E074" w14:textId="77777777" w:rsidR="00BE2180" w:rsidRPr="00BE2180" w:rsidRDefault="00BE2180" w:rsidP="00BE2180">
      <w:pPr>
        <w:autoSpaceDE w:val="0"/>
        <w:autoSpaceDN w:val="0"/>
        <w:adjustRightInd w:val="0"/>
        <w:spacing w:after="0"/>
        <w:ind w:left="640" w:hanging="640"/>
        <w:rPr>
          <w:noProof/>
          <w:szCs w:val="24"/>
        </w:rPr>
      </w:pPr>
      <w:r w:rsidRPr="00986DF8">
        <w:rPr>
          <w:noProof/>
          <w:szCs w:val="24"/>
          <w:lang w:val="de-DE"/>
        </w:rPr>
        <w:t>92.</w:t>
      </w:r>
      <w:r w:rsidRPr="00986DF8">
        <w:rPr>
          <w:noProof/>
          <w:szCs w:val="24"/>
          <w:lang w:val="de-DE"/>
        </w:rPr>
        <w:tab/>
        <w:t xml:space="preserve">Dietrich, H. &amp; Kociumaka, C. Jungsteinzeitliche Befunde aus Steinheim: Stadt und Landkreis Dillingen ad Donau, Schwaben. </w:t>
      </w:r>
      <w:r w:rsidRPr="00BE2180">
        <w:rPr>
          <w:i/>
          <w:iCs/>
          <w:noProof/>
          <w:szCs w:val="24"/>
        </w:rPr>
        <w:t>Das Archäologische Jahr Bayern</w:t>
      </w:r>
      <w:r w:rsidRPr="00BE2180">
        <w:rPr>
          <w:noProof/>
          <w:szCs w:val="24"/>
        </w:rPr>
        <w:t xml:space="preserve"> 32–35 (2001).</w:t>
      </w:r>
    </w:p>
    <w:p w14:paraId="1BF6BE73" w14:textId="77777777" w:rsidR="00BE2180" w:rsidRPr="00986DF8" w:rsidRDefault="00BE2180" w:rsidP="00BE2180">
      <w:pPr>
        <w:autoSpaceDE w:val="0"/>
        <w:autoSpaceDN w:val="0"/>
        <w:adjustRightInd w:val="0"/>
        <w:spacing w:after="0"/>
        <w:ind w:left="640" w:hanging="640"/>
        <w:rPr>
          <w:noProof/>
          <w:szCs w:val="24"/>
          <w:lang w:val="de-DE"/>
        </w:rPr>
      </w:pPr>
      <w:r w:rsidRPr="00BE2180">
        <w:rPr>
          <w:noProof/>
          <w:szCs w:val="24"/>
        </w:rPr>
        <w:t>93.</w:t>
      </w:r>
      <w:r w:rsidRPr="00BE2180">
        <w:rPr>
          <w:noProof/>
          <w:szCs w:val="24"/>
        </w:rPr>
        <w:tab/>
        <w:t xml:space="preserve">Marchi, N. </w:t>
      </w:r>
      <w:r w:rsidRPr="00BE2180">
        <w:rPr>
          <w:i/>
          <w:iCs/>
          <w:noProof/>
          <w:szCs w:val="24"/>
        </w:rPr>
        <w:t>et al.</w:t>
      </w:r>
      <w:r w:rsidRPr="00BE2180">
        <w:rPr>
          <w:noProof/>
          <w:szCs w:val="24"/>
        </w:rPr>
        <w:t xml:space="preserve"> The genomic origins of the world’s first farmers. </w:t>
      </w:r>
      <w:r w:rsidRPr="00986DF8">
        <w:rPr>
          <w:i/>
          <w:iCs/>
          <w:noProof/>
          <w:szCs w:val="24"/>
          <w:lang w:val="de-DE"/>
        </w:rPr>
        <w:t>Cell</w:t>
      </w:r>
      <w:r w:rsidRPr="00986DF8">
        <w:rPr>
          <w:noProof/>
          <w:szCs w:val="24"/>
          <w:lang w:val="de-DE"/>
        </w:rPr>
        <w:t xml:space="preserve"> </w:t>
      </w:r>
      <w:r w:rsidRPr="00986DF8">
        <w:rPr>
          <w:b/>
          <w:bCs/>
          <w:noProof/>
          <w:szCs w:val="24"/>
          <w:lang w:val="de-DE"/>
        </w:rPr>
        <w:t>185</w:t>
      </w:r>
      <w:r w:rsidRPr="00986DF8">
        <w:rPr>
          <w:noProof/>
          <w:szCs w:val="24"/>
          <w:lang w:val="de-DE"/>
        </w:rPr>
        <w:t>, 1842-1859.e18 (2022).</w:t>
      </w:r>
    </w:p>
    <w:p w14:paraId="63F50270" w14:textId="77777777" w:rsidR="00BE2180" w:rsidRPr="00986DF8" w:rsidRDefault="00BE2180" w:rsidP="00BE2180">
      <w:pPr>
        <w:autoSpaceDE w:val="0"/>
        <w:autoSpaceDN w:val="0"/>
        <w:adjustRightInd w:val="0"/>
        <w:spacing w:after="0"/>
        <w:ind w:left="640" w:hanging="640"/>
        <w:rPr>
          <w:noProof/>
          <w:szCs w:val="24"/>
          <w:lang w:val="de-DE"/>
        </w:rPr>
      </w:pPr>
      <w:r w:rsidRPr="00986DF8">
        <w:rPr>
          <w:noProof/>
          <w:szCs w:val="24"/>
          <w:lang w:val="de-DE"/>
        </w:rPr>
        <w:t>94.</w:t>
      </w:r>
      <w:r w:rsidRPr="00986DF8">
        <w:rPr>
          <w:noProof/>
          <w:szCs w:val="24"/>
          <w:lang w:val="de-DE"/>
        </w:rPr>
        <w:tab/>
        <w:t xml:space="preserve">Pechtl, J. Verorten in Raum, Zeit und Umwelt. Ein Forschungsprojekt zur ersten bäuerlichen Kultur in Bayerisch-Schwaben. </w:t>
      </w:r>
      <w:r w:rsidRPr="00986DF8">
        <w:rPr>
          <w:i/>
          <w:iCs/>
          <w:noProof/>
          <w:szCs w:val="24"/>
          <w:lang w:val="de-DE"/>
        </w:rPr>
        <w:t>Denkmalpfl. Informationen</w:t>
      </w:r>
      <w:r w:rsidRPr="00986DF8">
        <w:rPr>
          <w:noProof/>
          <w:szCs w:val="24"/>
          <w:lang w:val="de-DE"/>
        </w:rPr>
        <w:t xml:space="preserve"> </w:t>
      </w:r>
      <w:r w:rsidRPr="00986DF8">
        <w:rPr>
          <w:b/>
          <w:bCs/>
          <w:noProof/>
          <w:szCs w:val="24"/>
          <w:lang w:val="de-DE"/>
        </w:rPr>
        <w:t>161</w:t>
      </w:r>
      <w:r w:rsidRPr="00986DF8">
        <w:rPr>
          <w:noProof/>
          <w:szCs w:val="24"/>
          <w:lang w:val="de-DE"/>
        </w:rPr>
        <w:t>, 14–17 (2015).</w:t>
      </w:r>
    </w:p>
    <w:p w14:paraId="496B7986" w14:textId="77777777" w:rsidR="00BE2180" w:rsidRPr="00BE2180" w:rsidRDefault="00BE2180" w:rsidP="00BE2180">
      <w:pPr>
        <w:autoSpaceDE w:val="0"/>
        <w:autoSpaceDN w:val="0"/>
        <w:adjustRightInd w:val="0"/>
        <w:spacing w:after="0"/>
        <w:ind w:left="640" w:hanging="640"/>
        <w:rPr>
          <w:noProof/>
          <w:szCs w:val="24"/>
        </w:rPr>
      </w:pPr>
      <w:r w:rsidRPr="00986DF8">
        <w:rPr>
          <w:noProof/>
          <w:szCs w:val="24"/>
          <w:lang w:val="de-DE"/>
        </w:rPr>
        <w:t>95.</w:t>
      </w:r>
      <w:r w:rsidRPr="00986DF8">
        <w:rPr>
          <w:noProof/>
          <w:szCs w:val="24"/>
          <w:lang w:val="de-DE"/>
        </w:rPr>
        <w:tab/>
        <w:t xml:space="preserve">Brink-Kloke, H. Das linienbandkeramische Gräberfeld von Essenbach-Ammerbreite. </w:t>
      </w:r>
      <w:r w:rsidRPr="00BE2180">
        <w:rPr>
          <w:i/>
          <w:iCs/>
          <w:noProof/>
          <w:szCs w:val="24"/>
        </w:rPr>
        <w:t>Germania</w:t>
      </w:r>
      <w:r w:rsidRPr="00BE2180">
        <w:rPr>
          <w:noProof/>
          <w:szCs w:val="24"/>
        </w:rPr>
        <w:t xml:space="preserve"> </w:t>
      </w:r>
      <w:r w:rsidRPr="00BE2180">
        <w:rPr>
          <w:b/>
          <w:bCs/>
          <w:noProof/>
          <w:szCs w:val="24"/>
        </w:rPr>
        <w:t>68</w:t>
      </w:r>
      <w:r w:rsidRPr="00BE2180">
        <w:rPr>
          <w:noProof/>
          <w:szCs w:val="24"/>
        </w:rPr>
        <w:t>, 427–481 (1990).</w:t>
      </w:r>
    </w:p>
    <w:p w14:paraId="3B21E6AB"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96.</w:t>
      </w:r>
      <w:r w:rsidRPr="00BE2180">
        <w:rPr>
          <w:noProof/>
          <w:szCs w:val="24"/>
        </w:rPr>
        <w:tab/>
        <w:t xml:space="preserve">Scheu, A. </w:t>
      </w:r>
      <w:r w:rsidRPr="00BE2180">
        <w:rPr>
          <w:i/>
          <w:iCs/>
          <w:noProof/>
          <w:szCs w:val="24"/>
        </w:rPr>
        <w:t>et al.</w:t>
      </w:r>
      <w:r w:rsidRPr="00BE2180">
        <w:rPr>
          <w:noProof/>
          <w:szCs w:val="24"/>
        </w:rPr>
        <w:t xml:space="preserve"> The genetic prehistory of domesticated cattle from their origin to the spread across Europe. </w:t>
      </w:r>
      <w:r w:rsidRPr="00BE2180">
        <w:rPr>
          <w:i/>
          <w:iCs/>
          <w:noProof/>
          <w:szCs w:val="24"/>
        </w:rPr>
        <w:t>BMC Genet.</w:t>
      </w:r>
      <w:r w:rsidRPr="00BE2180">
        <w:rPr>
          <w:noProof/>
          <w:szCs w:val="24"/>
        </w:rPr>
        <w:t xml:space="preserve"> </w:t>
      </w:r>
      <w:r w:rsidRPr="00BE2180">
        <w:rPr>
          <w:b/>
          <w:bCs/>
          <w:noProof/>
          <w:szCs w:val="24"/>
        </w:rPr>
        <w:t>16</w:t>
      </w:r>
      <w:r w:rsidRPr="00BE2180">
        <w:rPr>
          <w:noProof/>
          <w:szCs w:val="24"/>
        </w:rPr>
        <w:t>, 54 (2015).</w:t>
      </w:r>
    </w:p>
    <w:p w14:paraId="1E9AF18F"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lastRenderedPageBreak/>
        <w:t>97.</w:t>
      </w:r>
      <w:r w:rsidRPr="00BE2180">
        <w:rPr>
          <w:noProof/>
          <w:szCs w:val="24"/>
        </w:rPr>
        <w:tab/>
        <w:t xml:space="preserve">Unterländer, M. </w:t>
      </w:r>
      <w:r w:rsidRPr="00BE2180">
        <w:rPr>
          <w:i/>
          <w:iCs/>
          <w:noProof/>
          <w:szCs w:val="24"/>
        </w:rPr>
        <w:t>et al.</w:t>
      </w:r>
      <w:r w:rsidRPr="00BE2180">
        <w:rPr>
          <w:noProof/>
          <w:szCs w:val="24"/>
        </w:rPr>
        <w:t xml:space="preserve"> Ancestry and demography and descendants of Iron Age nomads of the Eurasian Steppe. </w:t>
      </w:r>
      <w:r w:rsidRPr="00BE2180">
        <w:rPr>
          <w:i/>
          <w:iCs/>
          <w:noProof/>
          <w:szCs w:val="24"/>
        </w:rPr>
        <w:t>Nat. Commun.</w:t>
      </w:r>
      <w:r w:rsidRPr="00BE2180">
        <w:rPr>
          <w:noProof/>
          <w:szCs w:val="24"/>
        </w:rPr>
        <w:t xml:space="preserve"> </w:t>
      </w:r>
      <w:r w:rsidRPr="00BE2180">
        <w:rPr>
          <w:b/>
          <w:bCs/>
          <w:noProof/>
          <w:szCs w:val="24"/>
        </w:rPr>
        <w:t>8</w:t>
      </w:r>
      <w:r w:rsidRPr="00BE2180">
        <w:rPr>
          <w:noProof/>
          <w:szCs w:val="24"/>
        </w:rPr>
        <w:t>, 14615 (2017).</w:t>
      </w:r>
    </w:p>
    <w:p w14:paraId="3931C0B5"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98.</w:t>
      </w:r>
      <w:r w:rsidRPr="00BE2180">
        <w:rPr>
          <w:noProof/>
          <w:szCs w:val="24"/>
        </w:rPr>
        <w:tab/>
        <w:t xml:space="preserve">Kircher, M., Sawyer, S. &amp; Meyer, M. Double indexing overcomes inaccuracies in multiplex sequencing on the Illumina platform. </w:t>
      </w:r>
      <w:r w:rsidRPr="00BE2180">
        <w:rPr>
          <w:i/>
          <w:iCs/>
          <w:noProof/>
          <w:szCs w:val="24"/>
        </w:rPr>
        <w:t>Nucleic Acids Res.</w:t>
      </w:r>
      <w:r w:rsidRPr="00BE2180">
        <w:rPr>
          <w:noProof/>
          <w:szCs w:val="24"/>
        </w:rPr>
        <w:t xml:space="preserve"> </w:t>
      </w:r>
      <w:r w:rsidRPr="00BE2180">
        <w:rPr>
          <w:b/>
          <w:bCs/>
          <w:noProof/>
          <w:szCs w:val="24"/>
        </w:rPr>
        <w:t>40</w:t>
      </w:r>
      <w:r w:rsidRPr="00BE2180">
        <w:rPr>
          <w:noProof/>
          <w:szCs w:val="24"/>
        </w:rPr>
        <w:t>, e3–e3 (2012).</w:t>
      </w:r>
    </w:p>
    <w:p w14:paraId="44BABDB7" w14:textId="77777777" w:rsidR="00BE2180" w:rsidRPr="00BE2180" w:rsidRDefault="00BE2180" w:rsidP="00BE2180">
      <w:pPr>
        <w:autoSpaceDE w:val="0"/>
        <w:autoSpaceDN w:val="0"/>
        <w:adjustRightInd w:val="0"/>
        <w:spacing w:after="0"/>
        <w:ind w:left="640" w:hanging="640"/>
        <w:rPr>
          <w:noProof/>
          <w:szCs w:val="24"/>
        </w:rPr>
      </w:pPr>
      <w:r w:rsidRPr="00BE2180">
        <w:rPr>
          <w:noProof/>
          <w:szCs w:val="24"/>
        </w:rPr>
        <w:t>99.</w:t>
      </w:r>
      <w:r w:rsidRPr="00BE2180">
        <w:rPr>
          <w:noProof/>
          <w:szCs w:val="24"/>
        </w:rPr>
        <w:tab/>
        <w:t xml:space="preserve">Fu, Q. </w:t>
      </w:r>
      <w:r w:rsidRPr="00BE2180">
        <w:rPr>
          <w:i/>
          <w:iCs/>
          <w:noProof/>
          <w:szCs w:val="24"/>
        </w:rPr>
        <w:t>et al.</w:t>
      </w:r>
      <w:r w:rsidRPr="00BE2180">
        <w:rPr>
          <w:noProof/>
          <w:szCs w:val="24"/>
        </w:rPr>
        <w:t xml:space="preserve"> A Revised Timescale for Human Evolution Based on Ancient Mitochondrial Genomes. </w:t>
      </w:r>
      <w:r w:rsidRPr="00BE2180">
        <w:rPr>
          <w:i/>
          <w:iCs/>
          <w:noProof/>
          <w:szCs w:val="24"/>
        </w:rPr>
        <w:t>Curr. Biol.</w:t>
      </w:r>
      <w:r w:rsidRPr="00BE2180">
        <w:rPr>
          <w:noProof/>
          <w:szCs w:val="24"/>
        </w:rPr>
        <w:t xml:space="preserve"> </w:t>
      </w:r>
      <w:r w:rsidRPr="00BE2180">
        <w:rPr>
          <w:b/>
          <w:bCs/>
          <w:noProof/>
          <w:szCs w:val="24"/>
        </w:rPr>
        <w:t>23</w:t>
      </w:r>
      <w:r w:rsidRPr="00BE2180">
        <w:rPr>
          <w:noProof/>
          <w:szCs w:val="24"/>
        </w:rPr>
        <w:t>, 553–559 (2013).</w:t>
      </w:r>
    </w:p>
    <w:p w14:paraId="4B0CE6C7" w14:textId="77777777" w:rsidR="00BE2180" w:rsidRPr="00BE2180" w:rsidRDefault="00BE2180" w:rsidP="00BE2180">
      <w:pPr>
        <w:autoSpaceDE w:val="0"/>
        <w:autoSpaceDN w:val="0"/>
        <w:adjustRightInd w:val="0"/>
        <w:spacing w:after="0"/>
        <w:ind w:left="640" w:hanging="640"/>
        <w:rPr>
          <w:noProof/>
        </w:rPr>
      </w:pPr>
      <w:r w:rsidRPr="00BE2180">
        <w:rPr>
          <w:noProof/>
          <w:szCs w:val="24"/>
        </w:rPr>
        <w:t>100.</w:t>
      </w:r>
      <w:r w:rsidRPr="00BE2180">
        <w:rPr>
          <w:noProof/>
          <w:szCs w:val="24"/>
        </w:rPr>
        <w:tab/>
        <w:t xml:space="preserve">Skoglund, P. </w:t>
      </w:r>
      <w:r w:rsidRPr="00BE2180">
        <w:rPr>
          <w:i/>
          <w:iCs/>
          <w:noProof/>
          <w:szCs w:val="24"/>
        </w:rPr>
        <w:t>et al.</w:t>
      </w:r>
      <w:r w:rsidRPr="00BE2180">
        <w:rPr>
          <w:noProof/>
          <w:szCs w:val="24"/>
        </w:rPr>
        <w:t xml:space="preserve"> Separating endogenous ancient DNA from modern day contamination in a Siberian Neandertal. </w:t>
      </w:r>
      <w:r w:rsidRPr="00BE2180">
        <w:rPr>
          <w:i/>
          <w:iCs/>
          <w:noProof/>
          <w:szCs w:val="24"/>
        </w:rPr>
        <w:t>Proc. Natl. Acad. Sci.</w:t>
      </w:r>
      <w:r w:rsidRPr="00BE2180">
        <w:rPr>
          <w:noProof/>
          <w:szCs w:val="24"/>
        </w:rPr>
        <w:t xml:space="preserve"> </w:t>
      </w:r>
      <w:r w:rsidRPr="00BE2180">
        <w:rPr>
          <w:b/>
          <w:bCs/>
          <w:noProof/>
          <w:szCs w:val="24"/>
        </w:rPr>
        <w:t>111</w:t>
      </w:r>
      <w:r w:rsidRPr="00BE2180">
        <w:rPr>
          <w:noProof/>
          <w:szCs w:val="24"/>
        </w:rPr>
        <w:t>, 2229–2234 (2014).</w:t>
      </w:r>
    </w:p>
    <w:p w14:paraId="5FB4A366" w14:textId="6F2F7E7A" w:rsidR="00194C56" w:rsidRPr="004A2B32" w:rsidRDefault="00043A9E" w:rsidP="00043A9E">
      <w:pPr>
        <w:autoSpaceDE w:val="0"/>
        <w:autoSpaceDN w:val="0"/>
        <w:adjustRightInd w:val="0"/>
        <w:spacing w:after="0"/>
        <w:rPr>
          <w:color w:val="000000" w:themeColor="text1"/>
        </w:rPr>
      </w:pPr>
      <w:r w:rsidRPr="004A2B32">
        <w:rPr>
          <w:color w:val="000000" w:themeColor="text1"/>
        </w:rPr>
        <w:fldChar w:fldCharType="end"/>
      </w:r>
    </w:p>
    <w:sectPr w:rsidR="00194C56" w:rsidRPr="004A2B32" w:rsidSect="00922E2D">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1134" w:left="1418" w:header="0" w:footer="720" w:gutter="0"/>
      <w:pgNumType w:start="1" w:chapStyle="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DAA84F" w14:textId="77777777" w:rsidR="00691F61" w:rsidRDefault="00691F61">
      <w:pPr>
        <w:spacing w:after="0" w:line="240" w:lineRule="auto"/>
      </w:pPr>
      <w:r>
        <w:separator/>
      </w:r>
    </w:p>
  </w:endnote>
  <w:endnote w:type="continuationSeparator" w:id="0">
    <w:p w14:paraId="28B071AC" w14:textId="77777777" w:rsidR="00691F61" w:rsidRDefault="00691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 w:name="Georgia">
    <w:panose1 w:val="02040502050405020303"/>
    <w:charset w:val="00"/>
    <w:family w:val="roman"/>
    <w:pitch w:val="variable"/>
    <w:sig w:usb0="00000003" w:usb1="00000000" w:usb2="00000000" w:usb3="00000000" w:csb0="00000001" w:csb1="00000000"/>
  </w:font>
  <w:font w:name="Tahoma">
    <w:panose1 w:val="020B060403050404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D92C2" w14:textId="498F751F" w:rsidR="007D7768" w:rsidRDefault="007D7768" w:rsidP="00F56EEA">
    <w:pPr>
      <w:pStyle w:val="a8"/>
      <w:framePr w:wrap="none" w:vAnchor="text" w:hAnchor="margin" w:xAlign="right" w:y="1"/>
      <w:rPr>
        <w:rStyle w:val="aa"/>
        <w:rFonts w:cs="Arial"/>
      </w:rPr>
    </w:pPr>
    <w:r>
      <w:rPr>
        <w:rStyle w:val="aa"/>
        <w:rFonts w:cs="Arial"/>
      </w:rPr>
      <w:fldChar w:fldCharType="begin"/>
    </w:r>
    <w:r>
      <w:rPr>
        <w:rStyle w:val="aa"/>
        <w:rFonts w:cs="Arial"/>
      </w:rPr>
      <w:instrText xml:space="preserve">PAGE  </w:instrText>
    </w:r>
    <w:r>
      <w:rPr>
        <w:rStyle w:val="aa"/>
        <w:rFonts w:cs="Arial"/>
      </w:rPr>
      <w:fldChar w:fldCharType="separate"/>
    </w:r>
    <w:r w:rsidR="00C30F41">
      <w:rPr>
        <w:rStyle w:val="aa"/>
        <w:rFonts w:cs="Arial"/>
        <w:noProof/>
      </w:rPr>
      <w:t>15</w:t>
    </w:r>
    <w:r>
      <w:rPr>
        <w:rStyle w:val="aa"/>
        <w:rFonts w:cs="Arial"/>
      </w:rPr>
      <w:fldChar w:fldCharType="end"/>
    </w:r>
  </w:p>
  <w:p w14:paraId="6613C815" w14:textId="77777777" w:rsidR="007D7768" w:rsidRDefault="007D7768" w:rsidP="00F56EEA">
    <w:pPr>
      <w:pStyle w:val="a8"/>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8650364"/>
      <w:docPartObj>
        <w:docPartGallery w:val="Page Numbers (Bottom of Page)"/>
        <w:docPartUnique/>
      </w:docPartObj>
    </w:sdtPr>
    <w:sdtContent>
      <w:p w14:paraId="2A98F972" w14:textId="0E13724A" w:rsidR="00043A9E" w:rsidRDefault="00043A9E">
        <w:pPr>
          <w:pStyle w:val="a8"/>
          <w:jc w:val="right"/>
        </w:pPr>
        <w:r>
          <w:fldChar w:fldCharType="begin"/>
        </w:r>
        <w:r>
          <w:instrText>PAGE   \* MERGEFORMAT</w:instrText>
        </w:r>
        <w:r>
          <w:fldChar w:fldCharType="separate"/>
        </w:r>
        <w:r>
          <w:rPr>
            <w:lang w:val="el-GR"/>
          </w:rPr>
          <w:t>2</w:t>
        </w:r>
        <w:r>
          <w:fldChar w:fldCharType="end"/>
        </w:r>
      </w:p>
    </w:sdtContent>
  </w:sdt>
  <w:p w14:paraId="4AD60613" w14:textId="77777777" w:rsidR="007D7768" w:rsidRDefault="007D7768" w:rsidP="00F56EEA">
    <w:pPr>
      <w:ind w:right="360"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EE7EB" w14:textId="77777777" w:rsidR="00EF04E0" w:rsidRDefault="00EF04E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74365" w14:textId="77777777" w:rsidR="00691F61" w:rsidRDefault="00691F61">
      <w:pPr>
        <w:spacing w:after="0" w:line="240" w:lineRule="auto"/>
      </w:pPr>
      <w:r>
        <w:separator/>
      </w:r>
    </w:p>
  </w:footnote>
  <w:footnote w:type="continuationSeparator" w:id="0">
    <w:p w14:paraId="1BF36DAF" w14:textId="77777777" w:rsidR="00691F61" w:rsidRDefault="00691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78CE6" w14:textId="77777777" w:rsidR="00EF04E0" w:rsidRDefault="00EF04E0">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0A148" w14:textId="77777777" w:rsidR="00EF04E0" w:rsidRDefault="00EF04E0">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4C75A" w14:textId="77777777" w:rsidR="00EF04E0" w:rsidRDefault="00EF04E0">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C0AF4"/>
    <w:multiLevelType w:val="multilevel"/>
    <w:tmpl w:val="BD96D0C0"/>
    <w:lvl w:ilvl="0">
      <w:start w:val="1"/>
      <w:numFmt w:val="decimal"/>
      <w:lvlText w:val="%1."/>
      <w:lvlJc w:val="left"/>
      <w:pPr>
        <w:ind w:left="720" w:hanging="360"/>
      </w:pPr>
      <w:rPr>
        <w:rFonts w:cs="Times New Roman"/>
        <w:u w:val="none"/>
      </w:rPr>
    </w:lvl>
    <w:lvl w:ilvl="1">
      <w:start w:val="1"/>
      <w:numFmt w:val="lowerLetter"/>
      <w:lvlText w:val="%2."/>
      <w:lvlJc w:val="left"/>
      <w:pPr>
        <w:ind w:left="1440" w:hanging="360"/>
      </w:pPr>
      <w:rPr>
        <w:rFonts w:cs="Times New Roman"/>
        <w:u w:val="none"/>
      </w:rPr>
    </w:lvl>
    <w:lvl w:ilvl="2">
      <w:start w:val="1"/>
      <w:numFmt w:val="lowerRoman"/>
      <w:lvlText w:val="%3."/>
      <w:lvlJc w:val="right"/>
      <w:pPr>
        <w:ind w:left="2160" w:hanging="360"/>
      </w:pPr>
      <w:rPr>
        <w:rFonts w:cs="Times New Roman"/>
        <w:u w:val="none"/>
      </w:rPr>
    </w:lvl>
    <w:lvl w:ilvl="3">
      <w:start w:val="1"/>
      <w:numFmt w:val="decimal"/>
      <w:lvlText w:val="%4."/>
      <w:lvlJc w:val="left"/>
      <w:pPr>
        <w:ind w:left="2880" w:hanging="360"/>
      </w:pPr>
      <w:rPr>
        <w:rFonts w:cs="Times New Roman"/>
        <w:u w:val="none"/>
      </w:rPr>
    </w:lvl>
    <w:lvl w:ilvl="4">
      <w:start w:val="1"/>
      <w:numFmt w:val="lowerLetter"/>
      <w:lvlText w:val="%5."/>
      <w:lvlJc w:val="left"/>
      <w:pPr>
        <w:ind w:left="3600" w:hanging="360"/>
      </w:pPr>
      <w:rPr>
        <w:rFonts w:cs="Times New Roman"/>
        <w:u w:val="none"/>
      </w:rPr>
    </w:lvl>
    <w:lvl w:ilvl="5">
      <w:start w:val="1"/>
      <w:numFmt w:val="lowerRoman"/>
      <w:lvlText w:val="%6."/>
      <w:lvlJc w:val="right"/>
      <w:pPr>
        <w:ind w:left="4320" w:hanging="360"/>
      </w:pPr>
      <w:rPr>
        <w:rFonts w:cs="Times New Roman"/>
        <w:u w:val="none"/>
      </w:rPr>
    </w:lvl>
    <w:lvl w:ilvl="6">
      <w:start w:val="1"/>
      <w:numFmt w:val="decimal"/>
      <w:lvlText w:val="%7."/>
      <w:lvlJc w:val="lef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right"/>
      <w:pPr>
        <w:ind w:left="6480" w:hanging="360"/>
      </w:pPr>
      <w:rPr>
        <w:rFonts w:cs="Times New Roman"/>
        <w:u w:val="none"/>
      </w:rPr>
    </w:lvl>
  </w:abstractNum>
  <w:num w:numId="1" w16cid:durableId="2093547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B9B"/>
    <w:rsid w:val="000048BA"/>
    <w:rsid w:val="0002392F"/>
    <w:rsid w:val="00026D1C"/>
    <w:rsid w:val="000324E9"/>
    <w:rsid w:val="0003297E"/>
    <w:rsid w:val="00037A14"/>
    <w:rsid w:val="00043A9E"/>
    <w:rsid w:val="000468D3"/>
    <w:rsid w:val="00046E0E"/>
    <w:rsid w:val="00047D8E"/>
    <w:rsid w:val="0005016F"/>
    <w:rsid w:val="0005251E"/>
    <w:rsid w:val="0005256D"/>
    <w:rsid w:val="00052EA8"/>
    <w:rsid w:val="00057C09"/>
    <w:rsid w:val="0006609A"/>
    <w:rsid w:val="00067F06"/>
    <w:rsid w:val="00074765"/>
    <w:rsid w:val="00074F44"/>
    <w:rsid w:val="00075446"/>
    <w:rsid w:val="00083B72"/>
    <w:rsid w:val="000B59CB"/>
    <w:rsid w:val="000B7D1C"/>
    <w:rsid w:val="000C59DF"/>
    <w:rsid w:val="000D0FDB"/>
    <w:rsid w:val="000E0393"/>
    <w:rsid w:val="000E2674"/>
    <w:rsid w:val="000E3F90"/>
    <w:rsid w:val="000E687D"/>
    <w:rsid w:val="000E746E"/>
    <w:rsid w:val="000E7A0B"/>
    <w:rsid w:val="000F54D7"/>
    <w:rsid w:val="000F59DF"/>
    <w:rsid w:val="000F6298"/>
    <w:rsid w:val="001015C9"/>
    <w:rsid w:val="00103B44"/>
    <w:rsid w:val="00103C5E"/>
    <w:rsid w:val="00106215"/>
    <w:rsid w:val="00110016"/>
    <w:rsid w:val="001167CE"/>
    <w:rsid w:val="00121CB1"/>
    <w:rsid w:val="00124673"/>
    <w:rsid w:val="00124D51"/>
    <w:rsid w:val="0012712F"/>
    <w:rsid w:val="00135DFC"/>
    <w:rsid w:val="001362C7"/>
    <w:rsid w:val="0013682C"/>
    <w:rsid w:val="001464A4"/>
    <w:rsid w:val="001508B6"/>
    <w:rsid w:val="00154685"/>
    <w:rsid w:val="00155814"/>
    <w:rsid w:val="001567CF"/>
    <w:rsid w:val="00160C8A"/>
    <w:rsid w:val="0016122C"/>
    <w:rsid w:val="00162111"/>
    <w:rsid w:val="0016481B"/>
    <w:rsid w:val="00166184"/>
    <w:rsid w:val="00177C30"/>
    <w:rsid w:val="001806F5"/>
    <w:rsid w:val="001840F5"/>
    <w:rsid w:val="0018613A"/>
    <w:rsid w:val="00186E20"/>
    <w:rsid w:val="00190A1A"/>
    <w:rsid w:val="00194C56"/>
    <w:rsid w:val="00195599"/>
    <w:rsid w:val="00196960"/>
    <w:rsid w:val="001A11C2"/>
    <w:rsid w:val="001A63B0"/>
    <w:rsid w:val="001A6D10"/>
    <w:rsid w:val="001A6EE3"/>
    <w:rsid w:val="001B2464"/>
    <w:rsid w:val="001B3EC9"/>
    <w:rsid w:val="001B5049"/>
    <w:rsid w:val="001C1DE7"/>
    <w:rsid w:val="001D1BC7"/>
    <w:rsid w:val="001D29CD"/>
    <w:rsid w:val="001E3A4B"/>
    <w:rsid w:val="001E3B31"/>
    <w:rsid w:val="001F0756"/>
    <w:rsid w:val="001F3196"/>
    <w:rsid w:val="001F34E0"/>
    <w:rsid w:val="00201B5D"/>
    <w:rsid w:val="0020412E"/>
    <w:rsid w:val="002045B3"/>
    <w:rsid w:val="0020604F"/>
    <w:rsid w:val="00210CE4"/>
    <w:rsid w:val="00212538"/>
    <w:rsid w:val="002205DB"/>
    <w:rsid w:val="00222A78"/>
    <w:rsid w:val="00223BBE"/>
    <w:rsid w:val="00223BE9"/>
    <w:rsid w:val="0022501D"/>
    <w:rsid w:val="00230C7D"/>
    <w:rsid w:val="002320A0"/>
    <w:rsid w:val="002345C7"/>
    <w:rsid w:val="002367F1"/>
    <w:rsid w:val="002455A6"/>
    <w:rsid w:val="00247A3D"/>
    <w:rsid w:val="00255048"/>
    <w:rsid w:val="00255D3B"/>
    <w:rsid w:val="0026265A"/>
    <w:rsid w:val="00262E53"/>
    <w:rsid w:val="00262EC4"/>
    <w:rsid w:val="002717BA"/>
    <w:rsid w:val="002751F4"/>
    <w:rsid w:val="00275956"/>
    <w:rsid w:val="00276901"/>
    <w:rsid w:val="0028353A"/>
    <w:rsid w:val="00284902"/>
    <w:rsid w:val="00286A4C"/>
    <w:rsid w:val="00293010"/>
    <w:rsid w:val="00295322"/>
    <w:rsid w:val="00296AF0"/>
    <w:rsid w:val="00297EC3"/>
    <w:rsid w:val="002A5F6F"/>
    <w:rsid w:val="002B5F06"/>
    <w:rsid w:val="002B67FA"/>
    <w:rsid w:val="002C23B1"/>
    <w:rsid w:val="002C3463"/>
    <w:rsid w:val="002D58A0"/>
    <w:rsid w:val="002E1D1D"/>
    <w:rsid w:val="002E300C"/>
    <w:rsid w:val="002E6841"/>
    <w:rsid w:val="002F2EF2"/>
    <w:rsid w:val="002F37EE"/>
    <w:rsid w:val="00300DE0"/>
    <w:rsid w:val="00302639"/>
    <w:rsid w:val="00317553"/>
    <w:rsid w:val="00321495"/>
    <w:rsid w:val="0032608C"/>
    <w:rsid w:val="00335711"/>
    <w:rsid w:val="00341110"/>
    <w:rsid w:val="00343E26"/>
    <w:rsid w:val="0034457C"/>
    <w:rsid w:val="003519B4"/>
    <w:rsid w:val="003547ED"/>
    <w:rsid w:val="00356F8E"/>
    <w:rsid w:val="00360F5A"/>
    <w:rsid w:val="0036468F"/>
    <w:rsid w:val="00366FE6"/>
    <w:rsid w:val="003677BF"/>
    <w:rsid w:val="00386095"/>
    <w:rsid w:val="003919F9"/>
    <w:rsid w:val="00392156"/>
    <w:rsid w:val="00394BA5"/>
    <w:rsid w:val="00396CFA"/>
    <w:rsid w:val="003A341B"/>
    <w:rsid w:val="003A487A"/>
    <w:rsid w:val="003A7DDA"/>
    <w:rsid w:val="003B1A9A"/>
    <w:rsid w:val="003B74CF"/>
    <w:rsid w:val="003C0D54"/>
    <w:rsid w:val="003C1905"/>
    <w:rsid w:val="003C1BEA"/>
    <w:rsid w:val="003C5B9B"/>
    <w:rsid w:val="003C6685"/>
    <w:rsid w:val="003D0760"/>
    <w:rsid w:val="003D2CD3"/>
    <w:rsid w:val="003D3D88"/>
    <w:rsid w:val="003D46A2"/>
    <w:rsid w:val="003D6C73"/>
    <w:rsid w:val="003D6E9C"/>
    <w:rsid w:val="003E0FEF"/>
    <w:rsid w:val="003E14EC"/>
    <w:rsid w:val="003E34C1"/>
    <w:rsid w:val="00405931"/>
    <w:rsid w:val="00410E1B"/>
    <w:rsid w:val="004111FF"/>
    <w:rsid w:val="004229B7"/>
    <w:rsid w:val="004236CA"/>
    <w:rsid w:val="00427150"/>
    <w:rsid w:val="004272A6"/>
    <w:rsid w:val="00435D75"/>
    <w:rsid w:val="00440C91"/>
    <w:rsid w:val="00441F9D"/>
    <w:rsid w:val="00441FC8"/>
    <w:rsid w:val="00443322"/>
    <w:rsid w:val="00451DE7"/>
    <w:rsid w:val="0045526D"/>
    <w:rsid w:val="00455E34"/>
    <w:rsid w:val="00457306"/>
    <w:rsid w:val="004615BF"/>
    <w:rsid w:val="00461A27"/>
    <w:rsid w:val="0046721C"/>
    <w:rsid w:val="00467842"/>
    <w:rsid w:val="0047127F"/>
    <w:rsid w:val="00474A17"/>
    <w:rsid w:val="0047593B"/>
    <w:rsid w:val="0048110F"/>
    <w:rsid w:val="0048119D"/>
    <w:rsid w:val="00481428"/>
    <w:rsid w:val="00481BBB"/>
    <w:rsid w:val="004843CE"/>
    <w:rsid w:val="0048615D"/>
    <w:rsid w:val="00492E1D"/>
    <w:rsid w:val="00493011"/>
    <w:rsid w:val="00494EF9"/>
    <w:rsid w:val="00496F30"/>
    <w:rsid w:val="00497763"/>
    <w:rsid w:val="004A2A1D"/>
    <w:rsid w:val="004A2B32"/>
    <w:rsid w:val="004A3EE6"/>
    <w:rsid w:val="004A4EAB"/>
    <w:rsid w:val="004A5BA7"/>
    <w:rsid w:val="004A61F6"/>
    <w:rsid w:val="004A7D74"/>
    <w:rsid w:val="004A7F46"/>
    <w:rsid w:val="004B0CA5"/>
    <w:rsid w:val="004B254C"/>
    <w:rsid w:val="004B7E4A"/>
    <w:rsid w:val="004B7F74"/>
    <w:rsid w:val="004C0420"/>
    <w:rsid w:val="004C68C6"/>
    <w:rsid w:val="004C73A0"/>
    <w:rsid w:val="004C7B97"/>
    <w:rsid w:val="004D154C"/>
    <w:rsid w:val="004D5C45"/>
    <w:rsid w:val="004E1AE1"/>
    <w:rsid w:val="004E65FC"/>
    <w:rsid w:val="004F3D64"/>
    <w:rsid w:val="004F4A21"/>
    <w:rsid w:val="004F7F4A"/>
    <w:rsid w:val="00502570"/>
    <w:rsid w:val="005065D6"/>
    <w:rsid w:val="00506A9E"/>
    <w:rsid w:val="00511A34"/>
    <w:rsid w:val="0051656C"/>
    <w:rsid w:val="0052195F"/>
    <w:rsid w:val="00524BC5"/>
    <w:rsid w:val="00527604"/>
    <w:rsid w:val="00536FF5"/>
    <w:rsid w:val="00542899"/>
    <w:rsid w:val="005477BB"/>
    <w:rsid w:val="005503E6"/>
    <w:rsid w:val="005542F5"/>
    <w:rsid w:val="00554DD5"/>
    <w:rsid w:val="00556B31"/>
    <w:rsid w:val="0056563F"/>
    <w:rsid w:val="0057318B"/>
    <w:rsid w:val="00577385"/>
    <w:rsid w:val="00577E3E"/>
    <w:rsid w:val="0058004D"/>
    <w:rsid w:val="00591048"/>
    <w:rsid w:val="00597229"/>
    <w:rsid w:val="005A68C2"/>
    <w:rsid w:val="005B185F"/>
    <w:rsid w:val="005B2636"/>
    <w:rsid w:val="005B60CB"/>
    <w:rsid w:val="005C02AE"/>
    <w:rsid w:val="005C1FF7"/>
    <w:rsid w:val="005C246E"/>
    <w:rsid w:val="005C2E47"/>
    <w:rsid w:val="005D1CB6"/>
    <w:rsid w:val="005D5085"/>
    <w:rsid w:val="005F22B7"/>
    <w:rsid w:val="005F4E88"/>
    <w:rsid w:val="005F7946"/>
    <w:rsid w:val="00607298"/>
    <w:rsid w:val="00621257"/>
    <w:rsid w:val="00624792"/>
    <w:rsid w:val="006253C6"/>
    <w:rsid w:val="0063353A"/>
    <w:rsid w:val="006346D8"/>
    <w:rsid w:val="00636744"/>
    <w:rsid w:val="00640A99"/>
    <w:rsid w:val="00640EC5"/>
    <w:rsid w:val="006436C4"/>
    <w:rsid w:val="00644E11"/>
    <w:rsid w:val="0064760F"/>
    <w:rsid w:val="00647CBF"/>
    <w:rsid w:val="00654ECA"/>
    <w:rsid w:val="00657DDA"/>
    <w:rsid w:val="00660AC1"/>
    <w:rsid w:val="00664BF8"/>
    <w:rsid w:val="00674449"/>
    <w:rsid w:val="00676062"/>
    <w:rsid w:val="006777DD"/>
    <w:rsid w:val="00684F2B"/>
    <w:rsid w:val="00685F2E"/>
    <w:rsid w:val="00691F61"/>
    <w:rsid w:val="006B195A"/>
    <w:rsid w:val="006B6D1D"/>
    <w:rsid w:val="006C00FC"/>
    <w:rsid w:val="006C1347"/>
    <w:rsid w:val="006C2DA9"/>
    <w:rsid w:val="006D111E"/>
    <w:rsid w:val="00707134"/>
    <w:rsid w:val="0070756E"/>
    <w:rsid w:val="00710053"/>
    <w:rsid w:val="00714D4F"/>
    <w:rsid w:val="00723145"/>
    <w:rsid w:val="007273D0"/>
    <w:rsid w:val="00730462"/>
    <w:rsid w:val="00731B38"/>
    <w:rsid w:val="00731C5E"/>
    <w:rsid w:val="0073281A"/>
    <w:rsid w:val="00734A9A"/>
    <w:rsid w:val="0073575C"/>
    <w:rsid w:val="00736580"/>
    <w:rsid w:val="00742637"/>
    <w:rsid w:val="00755D15"/>
    <w:rsid w:val="00756591"/>
    <w:rsid w:val="00762E50"/>
    <w:rsid w:val="00770506"/>
    <w:rsid w:val="00771051"/>
    <w:rsid w:val="00772273"/>
    <w:rsid w:val="00774149"/>
    <w:rsid w:val="0077593D"/>
    <w:rsid w:val="00776384"/>
    <w:rsid w:val="00776A3B"/>
    <w:rsid w:val="00783BAA"/>
    <w:rsid w:val="00784AF7"/>
    <w:rsid w:val="00785886"/>
    <w:rsid w:val="0078628A"/>
    <w:rsid w:val="00787EF8"/>
    <w:rsid w:val="007956CB"/>
    <w:rsid w:val="007B052A"/>
    <w:rsid w:val="007B2406"/>
    <w:rsid w:val="007B3DAD"/>
    <w:rsid w:val="007D0437"/>
    <w:rsid w:val="007D2224"/>
    <w:rsid w:val="007D227A"/>
    <w:rsid w:val="007D4981"/>
    <w:rsid w:val="007D7768"/>
    <w:rsid w:val="007E1C9D"/>
    <w:rsid w:val="007E2C45"/>
    <w:rsid w:val="007E4039"/>
    <w:rsid w:val="007E49DC"/>
    <w:rsid w:val="00800862"/>
    <w:rsid w:val="00805CF8"/>
    <w:rsid w:val="0080667D"/>
    <w:rsid w:val="008122D4"/>
    <w:rsid w:val="00815E7F"/>
    <w:rsid w:val="00816AD1"/>
    <w:rsid w:val="00820A08"/>
    <w:rsid w:val="0082390B"/>
    <w:rsid w:val="008268B6"/>
    <w:rsid w:val="00827DE7"/>
    <w:rsid w:val="00827FFB"/>
    <w:rsid w:val="00830E58"/>
    <w:rsid w:val="00833528"/>
    <w:rsid w:val="0083731D"/>
    <w:rsid w:val="00843821"/>
    <w:rsid w:val="00851EA8"/>
    <w:rsid w:val="00852CEC"/>
    <w:rsid w:val="008574D6"/>
    <w:rsid w:val="00866CD4"/>
    <w:rsid w:val="0086726B"/>
    <w:rsid w:val="00871A30"/>
    <w:rsid w:val="00880DD2"/>
    <w:rsid w:val="0088115D"/>
    <w:rsid w:val="00886056"/>
    <w:rsid w:val="008911EA"/>
    <w:rsid w:val="008A146B"/>
    <w:rsid w:val="008B67BE"/>
    <w:rsid w:val="008C24B6"/>
    <w:rsid w:val="008C6A66"/>
    <w:rsid w:val="008D0C82"/>
    <w:rsid w:val="008D13E8"/>
    <w:rsid w:val="008E232B"/>
    <w:rsid w:val="008E42A6"/>
    <w:rsid w:val="008E4474"/>
    <w:rsid w:val="008E5131"/>
    <w:rsid w:val="008E6061"/>
    <w:rsid w:val="00906785"/>
    <w:rsid w:val="009106C0"/>
    <w:rsid w:val="009145FF"/>
    <w:rsid w:val="00920553"/>
    <w:rsid w:val="00922E2D"/>
    <w:rsid w:val="00936BFF"/>
    <w:rsid w:val="0093737D"/>
    <w:rsid w:val="009403EB"/>
    <w:rsid w:val="00942BB8"/>
    <w:rsid w:val="00946123"/>
    <w:rsid w:val="00965B20"/>
    <w:rsid w:val="009710C2"/>
    <w:rsid w:val="009771CF"/>
    <w:rsid w:val="0098044A"/>
    <w:rsid w:val="0098217E"/>
    <w:rsid w:val="00982C8F"/>
    <w:rsid w:val="00985F1B"/>
    <w:rsid w:val="00986DF8"/>
    <w:rsid w:val="00992089"/>
    <w:rsid w:val="0099239A"/>
    <w:rsid w:val="00992C6C"/>
    <w:rsid w:val="009932F9"/>
    <w:rsid w:val="00997DC0"/>
    <w:rsid w:val="009A47EE"/>
    <w:rsid w:val="009A5D4B"/>
    <w:rsid w:val="009B55DA"/>
    <w:rsid w:val="009B6320"/>
    <w:rsid w:val="009C0DA7"/>
    <w:rsid w:val="009D17D3"/>
    <w:rsid w:val="009D7FA3"/>
    <w:rsid w:val="009E79D0"/>
    <w:rsid w:val="009F0932"/>
    <w:rsid w:val="009F1145"/>
    <w:rsid w:val="009F54B0"/>
    <w:rsid w:val="00A01419"/>
    <w:rsid w:val="00A02E65"/>
    <w:rsid w:val="00A03EEC"/>
    <w:rsid w:val="00A05556"/>
    <w:rsid w:val="00A111B6"/>
    <w:rsid w:val="00A21C96"/>
    <w:rsid w:val="00A27B21"/>
    <w:rsid w:val="00A33AAB"/>
    <w:rsid w:val="00A37C49"/>
    <w:rsid w:val="00A413E9"/>
    <w:rsid w:val="00A45299"/>
    <w:rsid w:val="00A45B41"/>
    <w:rsid w:val="00A5359F"/>
    <w:rsid w:val="00A562FF"/>
    <w:rsid w:val="00A65104"/>
    <w:rsid w:val="00A6527D"/>
    <w:rsid w:val="00A67BBD"/>
    <w:rsid w:val="00A740FE"/>
    <w:rsid w:val="00A7429C"/>
    <w:rsid w:val="00A778B5"/>
    <w:rsid w:val="00A81061"/>
    <w:rsid w:val="00A816E5"/>
    <w:rsid w:val="00A825DA"/>
    <w:rsid w:val="00A84797"/>
    <w:rsid w:val="00A84822"/>
    <w:rsid w:val="00A874F7"/>
    <w:rsid w:val="00A90CFD"/>
    <w:rsid w:val="00A9342C"/>
    <w:rsid w:val="00A97A23"/>
    <w:rsid w:val="00AA3B90"/>
    <w:rsid w:val="00AA589B"/>
    <w:rsid w:val="00AB0346"/>
    <w:rsid w:val="00AC1C5E"/>
    <w:rsid w:val="00AC6F87"/>
    <w:rsid w:val="00AD1C8B"/>
    <w:rsid w:val="00AD2E5D"/>
    <w:rsid w:val="00AD339C"/>
    <w:rsid w:val="00AD376A"/>
    <w:rsid w:val="00AD4925"/>
    <w:rsid w:val="00AD56D5"/>
    <w:rsid w:val="00AE30CC"/>
    <w:rsid w:val="00AE349B"/>
    <w:rsid w:val="00AE6B3C"/>
    <w:rsid w:val="00AE7E73"/>
    <w:rsid w:val="00AF0468"/>
    <w:rsid w:val="00B00BB6"/>
    <w:rsid w:val="00B01848"/>
    <w:rsid w:val="00B031D4"/>
    <w:rsid w:val="00B1105D"/>
    <w:rsid w:val="00B116DD"/>
    <w:rsid w:val="00B3625F"/>
    <w:rsid w:val="00B448DF"/>
    <w:rsid w:val="00B50993"/>
    <w:rsid w:val="00B50F14"/>
    <w:rsid w:val="00B5186E"/>
    <w:rsid w:val="00B51DC9"/>
    <w:rsid w:val="00B5570D"/>
    <w:rsid w:val="00B565D5"/>
    <w:rsid w:val="00B646D2"/>
    <w:rsid w:val="00B64EFD"/>
    <w:rsid w:val="00B6575D"/>
    <w:rsid w:val="00B70C69"/>
    <w:rsid w:val="00B71581"/>
    <w:rsid w:val="00B8718A"/>
    <w:rsid w:val="00B92A6F"/>
    <w:rsid w:val="00B95B2E"/>
    <w:rsid w:val="00BB5323"/>
    <w:rsid w:val="00BB59D3"/>
    <w:rsid w:val="00BB7D47"/>
    <w:rsid w:val="00BC0BF7"/>
    <w:rsid w:val="00BC2EEC"/>
    <w:rsid w:val="00BC541C"/>
    <w:rsid w:val="00BD3406"/>
    <w:rsid w:val="00BD7D8C"/>
    <w:rsid w:val="00BE2180"/>
    <w:rsid w:val="00BE4C54"/>
    <w:rsid w:val="00BE5D78"/>
    <w:rsid w:val="00BF13CA"/>
    <w:rsid w:val="00BF13F8"/>
    <w:rsid w:val="00BF36FE"/>
    <w:rsid w:val="00C019FF"/>
    <w:rsid w:val="00C100D8"/>
    <w:rsid w:val="00C1058F"/>
    <w:rsid w:val="00C14413"/>
    <w:rsid w:val="00C21028"/>
    <w:rsid w:val="00C2268B"/>
    <w:rsid w:val="00C2367B"/>
    <w:rsid w:val="00C26F33"/>
    <w:rsid w:val="00C30F41"/>
    <w:rsid w:val="00C33977"/>
    <w:rsid w:val="00C33EDB"/>
    <w:rsid w:val="00C412CE"/>
    <w:rsid w:val="00C42CB1"/>
    <w:rsid w:val="00C51FAF"/>
    <w:rsid w:val="00C53905"/>
    <w:rsid w:val="00C557BF"/>
    <w:rsid w:val="00C5654E"/>
    <w:rsid w:val="00C6475F"/>
    <w:rsid w:val="00C649EC"/>
    <w:rsid w:val="00C66D44"/>
    <w:rsid w:val="00C75955"/>
    <w:rsid w:val="00C812CF"/>
    <w:rsid w:val="00C878C6"/>
    <w:rsid w:val="00C905DE"/>
    <w:rsid w:val="00C925BA"/>
    <w:rsid w:val="00C944A4"/>
    <w:rsid w:val="00C979CA"/>
    <w:rsid w:val="00CA6D84"/>
    <w:rsid w:val="00CB11AD"/>
    <w:rsid w:val="00CB3490"/>
    <w:rsid w:val="00CB4C33"/>
    <w:rsid w:val="00CB7BD9"/>
    <w:rsid w:val="00CC61D8"/>
    <w:rsid w:val="00CC7C86"/>
    <w:rsid w:val="00CD1D41"/>
    <w:rsid w:val="00CD2BFA"/>
    <w:rsid w:val="00CD3242"/>
    <w:rsid w:val="00CD72FB"/>
    <w:rsid w:val="00CE1644"/>
    <w:rsid w:val="00CE1F53"/>
    <w:rsid w:val="00CE3971"/>
    <w:rsid w:val="00CE5AFA"/>
    <w:rsid w:val="00CE6C28"/>
    <w:rsid w:val="00CF6497"/>
    <w:rsid w:val="00D017B7"/>
    <w:rsid w:val="00D04456"/>
    <w:rsid w:val="00D059C9"/>
    <w:rsid w:val="00D14AB7"/>
    <w:rsid w:val="00D1657F"/>
    <w:rsid w:val="00D21EE2"/>
    <w:rsid w:val="00D23961"/>
    <w:rsid w:val="00D23CD5"/>
    <w:rsid w:val="00D2501C"/>
    <w:rsid w:val="00D30031"/>
    <w:rsid w:val="00D302CB"/>
    <w:rsid w:val="00D308AC"/>
    <w:rsid w:val="00D35607"/>
    <w:rsid w:val="00D4517E"/>
    <w:rsid w:val="00D457B3"/>
    <w:rsid w:val="00D608C5"/>
    <w:rsid w:val="00D614D5"/>
    <w:rsid w:val="00D6193C"/>
    <w:rsid w:val="00D619A9"/>
    <w:rsid w:val="00D61CCD"/>
    <w:rsid w:val="00D6286E"/>
    <w:rsid w:val="00D651BF"/>
    <w:rsid w:val="00D654FE"/>
    <w:rsid w:val="00D75F4B"/>
    <w:rsid w:val="00D8168C"/>
    <w:rsid w:val="00D820C9"/>
    <w:rsid w:val="00D82A8C"/>
    <w:rsid w:val="00D849D4"/>
    <w:rsid w:val="00DA02FF"/>
    <w:rsid w:val="00DA11EB"/>
    <w:rsid w:val="00DB28E4"/>
    <w:rsid w:val="00DB4F35"/>
    <w:rsid w:val="00DB7F69"/>
    <w:rsid w:val="00DC5BD3"/>
    <w:rsid w:val="00DC767F"/>
    <w:rsid w:val="00DC7740"/>
    <w:rsid w:val="00DE2CDD"/>
    <w:rsid w:val="00DE7483"/>
    <w:rsid w:val="00DE7660"/>
    <w:rsid w:val="00DF1191"/>
    <w:rsid w:val="00DF15C1"/>
    <w:rsid w:val="00DF162D"/>
    <w:rsid w:val="00DF46BA"/>
    <w:rsid w:val="00DF780E"/>
    <w:rsid w:val="00DF7B11"/>
    <w:rsid w:val="00E0161C"/>
    <w:rsid w:val="00E021E9"/>
    <w:rsid w:val="00E0257C"/>
    <w:rsid w:val="00E11CB1"/>
    <w:rsid w:val="00E2010D"/>
    <w:rsid w:val="00E23399"/>
    <w:rsid w:val="00E23998"/>
    <w:rsid w:val="00E2752A"/>
    <w:rsid w:val="00E4147A"/>
    <w:rsid w:val="00E43042"/>
    <w:rsid w:val="00E4329E"/>
    <w:rsid w:val="00E51C48"/>
    <w:rsid w:val="00E528DD"/>
    <w:rsid w:val="00E539B9"/>
    <w:rsid w:val="00E541A3"/>
    <w:rsid w:val="00E55449"/>
    <w:rsid w:val="00E60847"/>
    <w:rsid w:val="00E64E74"/>
    <w:rsid w:val="00E66C46"/>
    <w:rsid w:val="00E72204"/>
    <w:rsid w:val="00E73B72"/>
    <w:rsid w:val="00E74B82"/>
    <w:rsid w:val="00E766B5"/>
    <w:rsid w:val="00E929EE"/>
    <w:rsid w:val="00E96E6C"/>
    <w:rsid w:val="00EA1F53"/>
    <w:rsid w:val="00EB1C56"/>
    <w:rsid w:val="00EB2224"/>
    <w:rsid w:val="00EB5D54"/>
    <w:rsid w:val="00EC2609"/>
    <w:rsid w:val="00EC4082"/>
    <w:rsid w:val="00EC4AFE"/>
    <w:rsid w:val="00ED0D18"/>
    <w:rsid w:val="00ED159F"/>
    <w:rsid w:val="00ED5215"/>
    <w:rsid w:val="00ED6A87"/>
    <w:rsid w:val="00ED7B6D"/>
    <w:rsid w:val="00EE5029"/>
    <w:rsid w:val="00EE66C1"/>
    <w:rsid w:val="00EE799D"/>
    <w:rsid w:val="00EF04E0"/>
    <w:rsid w:val="00EF578D"/>
    <w:rsid w:val="00F01D00"/>
    <w:rsid w:val="00F024DA"/>
    <w:rsid w:val="00F06076"/>
    <w:rsid w:val="00F15B6C"/>
    <w:rsid w:val="00F16BBB"/>
    <w:rsid w:val="00F20F85"/>
    <w:rsid w:val="00F22398"/>
    <w:rsid w:val="00F2670B"/>
    <w:rsid w:val="00F33AF8"/>
    <w:rsid w:val="00F3451E"/>
    <w:rsid w:val="00F4037C"/>
    <w:rsid w:val="00F4427E"/>
    <w:rsid w:val="00F47955"/>
    <w:rsid w:val="00F56EEA"/>
    <w:rsid w:val="00F5772F"/>
    <w:rsid w:val="00F6578E"/>
    <w:rsid w:val="00F72401"/>
    <w:rsid w:val="00F74CC2"/>
    <w:rsid w:val="00F76641"/>
    <w:rsid w:val="00F822AE"/>
    <w:rsid w:val="00F83746"/>
    <w:rsid w:val="00F85579"/>
    <w:rsid w:val="00F87870"/>
    <w:rsid w:val="00F942D8"/>
    <w:rsid w:val="00FA0760"/>
    <w:rsid w:val="00FA6003"/>
    <w:rsid w:val="00FB0CE8"/>
    <w:rsid w:val="00FB4857"/>
    <w:rsid w:val="00FB5EA8"/>
    <w:rsid w:val="00FD375B"/>
    <w:rsid w:val="00FD3AD1"/>
    <w:rsid w:val="00FD5561"/>
    <w:rsid w:val="00FE2B9C"/>
    <w:rsid w:val="00FF3DCF"/>
    <w:rsid w:val="00FF7270"/>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F3209E"/>
  <w15:docId w15:val="{9F18E9CD-EB69-424B-8924-E1950891A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l-GR" w:eastAsia="el-G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48BA"/>
    <w:pPr>
      <w:widowControl w:val="0"/>
      <w:spacing w:after="160" w:line="360" w:lineRule="auto"/>
    </w:pPr>
    <w:rPr>
      <w:sz w:val="22"/>
      <w:szCs w:val="22"/>
      <w:lang w:val="en-US"/>
    </w:rPr>
  </w:style>
  <w:style w:type="paragraph" w:styleId="1">
    <w:name w:val="heading 1"/>
    <w:basedOn w:val="a"/>
    <w:next w:val="a"/>
    <w:link w:val="1Char"/>
    <w:uiPriority w:val="99"/>
    <w:qFormat/>
    <w:rsid w:val="000048BA"/>
    <w:pPr>
      <w:keepNext/>
      <w:keepLines/>
      <w:spacing w:before="240" w:after="0"/>
      <w:outlineLvl w:val="0"/>
    </w:pPr>
    <w:rPr>
      <w:color w:val="2C759B"/>
      <w:sz w:val="32"/>
      <w:szCs w:val="32"/>
    </w:rPr>
  </w:style>
  <w:style w:type="paragraph" w:styleId="2">
    <w:name w:val="heading 2"/>
    <w:basedOn w:val="a"/>
    <w:next w:val="a"/>
    <w:link w:val="2Char"/>
    <w:uiPriority w:val="99"/>
    <w:qFormat/>
    <w:rsid w:val="000048BA"/>
    <w:pPr>
      <w:keepNext/>
      <w:keepLines/>
      <w:spacing w:before="40" w:after="0"/>
      <w:outlineLvl w:val="1"/>
    </w:pPr>
    <w:rPr>
      <w:color w:val="2C759B"/>
      <w:sz w:val="26"/>
      <w:szCs w:val="26"/>
    </w:rPr>
  </w:style>
  <w:style w:type="paragraph" w:styleId="3">
    <w:name w:val="heading 3"/>
    <w:basedOn w:val="a"/>
    <w:next w:val="a"/>
    <w:link w:val="3Char"/>
    <w:uiPriority w:val="99"/>
    <w:qFormat/>
    <w:rsid w:val="000048BA"/>
    <w:pPr>
      <w:keepNext/>
      <w:keepLines/>
      <w:spacing w:before="200" w:after="0"/>
      <w:outlineLvl w:val="2"/>
    </w:pPr>
    <w:rPr>
      <w:b/>
      <w:color w:val="419BC9"/>
    </w:rPr>
  </w:style>
  <w:style w:type="paragraph" w:styleId="4">
    <w:name w:val="heading 4"/>
    <w:basedOn w:val="a"/>
    <w:next w:val="a"/>
    <w:link w:val="4Char"/>
    <w:uiPriority w:val="99"/>
    <w:qFormat/>
    <w:rsid w:val="000048BA"/>
    <w:pPr>
      <w:keepNext/>
      <w:keepLines/>
      <w:spacing w:before="240" w:after="40"/>
      <w:outlineLvl w:val="3"/>
    </w:pPr>
    <w:rPr>
      <w:b/>
      <w:sz w:val="24"/>
      <w:szCs w:val="24"/>
    </w:rPr>
  </w:style>
  <w:style w:type="paragraph" w:styleId="5">
    <w:name w:val="heading 5"/>
    <w:basedOn w:val="a"/>
    <w:next w:val="a"/>
    <w:link w:val="5Char"/>
    <w:uiPriority w:val="99"/>
    <w:qFormat/>
    <w:rsid w:val="000048BA"/>
    <w:pPr>
      <w:keepNext/>
      <w:keepLines/>
      <w:spacing w:before="220" w:after="40"/>
      <w:outlineLvl w:val="4"/>
    </w:pPr>
    <w:rPr>
      <w:b/>
    </w:rPr>
  </w:style>
  <w:style w:type="paragraph" w:styleId="6">
    <w:name w:val="heading 6"/>
    <w:basedOn w:val="a"/>
    <w:next w:val="a"/>
    <w:link w:val="6Char"/>
    <w:uiPriority w:val="99"/>
    <w:qFormat/>
    <w:rsid w:val="000048BA"/>
    <w:pPr>
      <w:keepNext/>
      <w:keepLines/>
      <w:spacing w:before="200" w:after="40"/>
      <w:outlineLvl w:val="5"/>
    </w:pPr>
    <w:rPr>
      <w:b/>
      <w:sz w:val="20"/>
      <w:szCs w:val="20"/>
    </w:rPr>
  </w:style>
  <w:style w:type="paragraph" w:styleId="7">
    <w:name w:val="heading 7"/>
    <w:basedOn w:val="a"/>
    <w:next w:val="a"/>
    <w:link w:val="7Char"/>
    <w:unhideWhenUsed/>
    <w:qFormat/>
    <w:locked/>
    <w:rsid w:val="0098044A"/>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uiPriority w:val="99"/>
    <w:locked/>
    <w:rsid w:val="00D6193C"/>
    <w:rPr>
      <w:rFonts w:ascii="Cambria" w:hAnsi="Cambria" w:cs="Times New Roman"/>
      <w:b/>
      <w:bCs/>
      <w:kern w:val="32"/>
      <w:sz w:val="32"/>
      <w:szCs w:val="32"/>
      <w:lang w:val="en-US"/>
    </w:rPr>
  </w:style>
  <w:style w:type="character" w:customStyle="1" w:styleId="2Char">
    <w:name w:val="Επικεφαλίδα 2 Char"/>
    <w:link w:val="2"/>
    <w:uiPriority w:val="99"/>
    <w:locked/>
    <w:rsid w:val="00D6193C"/>
    <w:rPr>
      <w:rFonts w:ascii="Cambria" w:hAnsi="Cambria" w:cs="Times New Roman"/>
      <w:b/>
      <w:bCs/>
      <w:i/>
      <w:iCs/>
      <w:sz w:val="28"/>
      <w:szCs w:val="28"/>
      <w:lang w:val="en-US"/>
    </w:rPr>
  </w:style>
  <w:style w:type="character" w:customStyle="1" w:styleId="3Char">
    <w:name w:val="Επικεφαλίδα 3 Char"/>
    <w:link w:val="3"/>
    <w:uiPriority w:val="99"/>
    <w:locked/>
    <w:rsid w:val="00D6193C"/>
    <w:rPr>
      <w:rFonts w:ascii="Cambria" w:hAnsi="Cambria" w:cs="Times New Roman"/>
      <w:b/>
      <w:bCs/>
      <w:sz w:val="26"/>
      <w:szCs w:val="26"/>
      <w:lang w:val="en-US"/>
    </w:rPr>
  </w:style>
  <w:style w:type="character" w:customStyle="1" w:styleId="4Char">
    <w:name w:val="Επικεφαλίδα 4 Char"/>
    <w:link w:val="4"/>
    <w:uiPriority w:val="99"/>
    <w:locked/>
    <w:rsid w:val="00D6193C"/>
    <w:rPr>
      <w:rFonts w:ascii="Calibri" w:hAnsi="Calibri" w:cs="Times New Roman"/>
      <w:b/>
      <w:bCs/>
      <w:sz w:val="28"/>
      <w:szCs w:val="28"/>
      <w:lang w:val="en-US"/>
    </w:rPr>
  </w:style>
  <w:style w:type="character" w:customStyle="1" w:styleId="5Char">
    <w:name w:val="Επικεφαλίδα 5 Char"/>
    <w:link w:val="5"/>
    <w:uiPriority w:val="99"/>
    <w:locked/>
    <w:rsid w:val="00D6193C"/>
    <w:rPr>
      <w:rFonts w:ascii="Calibri" w:hAnsi="Calibri" w:cs="Times New Roman"/>
      <w:b/>
      <w:bCs/>
      <w:i/>
      <w:iCs/>
      <w:sz w:val="26"/>
      <w:szCs w:val="26"/>
      <w:lang w:val="en-US"/>
    </w:rPr>
  </w:style>
  <w:style w:type="character" w:customStyle="1" w:styleId="6Char">
    <w:name w:val="Επικεφαλίδα 6 Char"/>
    <w:link w:val="6"/>
    <w:uiPriority w:val="99"/>
    <w:locked/>
    <w:rsid w:val="00D6193C"/>
    <w:rPr>
      <w:rFonts w:ascii="Calibri" w:hAnsi="Calibri" w:cs="Times New Roman"/>
      <w:b/>
      <w:bCs/>
      <w:lang w:val="en-US"/>
    </w:rPr>
  </w:style>
  <w:style w:type="table" w:customStyle="1" w:styleId="TableNormal1">
    <w:name w:val="Table Normal1"/>
    <w:uiPriority w:val="99"/>
    <w:rsid w:val="000048BA"/>
    <w:pPr>
      <w:widowControl w:val="0"/>
      <w:spacing w:after="160" w:line="360" w:lineRule="auto"/>
    </w:pPr>
    <w:rPr>
      <w:sz w:val="22"/>
      <w:szCs w:val="22"/>
      <w:lang w:val="en-US"/>
    </w:rPr>
    <w:tblPr>
      <w:tblCellMar>
        <w:top w:w="0" w:type="dxa"/>
        <w:left w:w="0" w:type="dxa"/>
        <w:bottom w:w="0" w:type="dxa"/>
        <w:right w:w="0" w:type="dxa"/>
      </w:tblCellMar>
    </w:tblPr>
  </w:style>
  <w:style w:type="paragraph" w:styleId="a3">
    <w:name w:val="Title"/>
    <w:basedOn w:val="a"/>
    <w:next w:val="a"/>
    <w:link w:val="Char"/>
    <w:uiPriority w:val="99"/>
    <w:qFormat/>
    <w:rsid w:val="000048BA"/>
    <w:pPr>
      <w:keepNext/>
      <w:keepLines/>
      <w:spacing w:before="480" w:after="120"/>
    </w:pPr>
    <w:rPr>
      <w:b/>
      <w:sz w:val="72"/>
      <w:szCs w:val="72"/>
    </w:rPr>
  </w:style>
  <w:style w:type="character" w:customStyle="1" w:styleId="Char">
    <w:name w:val="Τίτλος Char"/>
    <w:link w:val="a3"/>
    <w:uiPriority w:val="99"/>
    <w:locked/>
    <w:rsid w:val="00D6193C"/>
    <w:rPr>
      <w:rFonts w:ascii="Cambria" w:hAnsi="Cambria" w:cs="Times New Roman"/>
      <w:b/>
      <w:bCs/>
      <w:kern w:val="28"/>
      <w:sz w:val="32"/>
      <w:szCs w:val="32"/>
      <w:lang w:val="en-US"/>
    </w:rPr>
  </w:style>
  <w:style w:type="paragraph" w:styleId="a4">
    <w:name w:val="Subtitle"/>
    <w:basedOn w:val="a"/>
    <w:next w:val="a"/>
    <w:link w:val="Char0"/>
    <w:uiPriority w:val="99"/>
    <w:qFormat/>
    <w:rsid w:val="000048BA"/>
    <w:pPr>
      <w:keepNext/>
      <w:keepLines/>
      <w:spacing w:before="360" w:after="80"/>
    </w:pPr>
    <w:rPr>
      <w:rFonts w:ascii="Georgia" w:hAnsi="Georgia" w:cs="Georgia"/>
      <w:i/>
      <w:color w:val="666666"/>
      <w:sz w:val="48"/>
      <w:szCs w:val="48"/>
    </w:rPr>
  </w:style>
  <w:style w:type="character" w:customStyle="1" w:styleId="Char0">
    <w:name w:val="Υπότιτλος Char"/>
    <w:link w:val="a4"/>
    <w:uiPriority w:val="99"/>
    <w:locked/>
    <w:rsid w:val="00D6193C"/>
    <w:rPr>
      <w:rFonts w:ascii="Cambria" w:hAnsi="Cambria" w:cs="Times New Roman"/>
      <w:sz w:val="24"/>
      <w:szCs w:val="24"/>
      <w:lang w:val="en-US"/>
    </w:rPr>
  </w:style>
  <w:style w:type="paragraph" w:styleId="a5">
    <w:name w:val="annotation text"/>
    <w:basedOn w:val="a"/>
    <w:link w:val="Char1"/>
    <w:uiPriority w:val="99"/>
    <w:semiHidden/>
    <w:rsid w:val="000048BA"/>
    <w:pPr>
      <w:spacing w:line="240" w:lineRule="auto"/>
    </w:pPr>
    <w:rPr>
      <w:sz w:val="20"/>
      <w:szCs w:val="20"/>
    </w:rPr>
  </w:style>
  <w:style w:type="character" w:customStyle="1" w:styleId="Char1">
    <w:name w:val="Κείμενο σχολίου Char"/>
    <w:link w:val="a5"/>
    <w:uiPriority w:val="99"/>
    <w:semiHidden/>
    <w:locked/>
    <w:rsid w:val="000048BA"/>
    <w:rPr>
      <w:rFonts w:cs="Times New Roman"/>
      <w:sz w:val="20"/>
      <w:szCs w:val="20"/>
    </w:rPr>
  </w:style>
  <w:style w:type="character" w:styleId="a6">
    <w:name w:val="annotation reference"/>
    <w:uiPriority w:val="99"/>
    <w:semiHidden/>
    <w:rsid w:val="000048BA"/>
    <w:rPr>
      <w:rFonts w:cs="Times New Roman"/>
      <w:sz w:val="16"/>
      <w:szCs w:val="16"/>
    </w:rPr>
  </w:style>
  <w:style w:type="paragraph" w:styleId="a7">
    <w:name w:val="header"/>
    <w:basedOn w:val="a"/>
    <w:link w:val="Char2"/>
    <w:uiPriority w:val="99"/>
    <w:rsid w:val="00E23998"/>
    <w:pPr>
      <w:tabs>
        <w:tab w:val="center" w:pos="4153"/>
        <w:tab w:val="right" w:pos="8306"/>
      </w:tabs>
      <w:spacing w:after="0" w:line="240" w:lineRule="auto"/>
    </w:pPr>
  </w:style>
  <w:style w:type="character" w:customStyle="1" w:styleId="Char2">
    <w:name w:val="Κεφαλίδα Char"/>
    <w:link w:val="a7"/>
    <w:uiPriority w:val="99"/>
    <w:locked/>
    <w:rsid w:val="00E23998"/>
    <w:rPr>
      <w:rFonts w:cs="Times New Roman"/>
    </w:rPr>
  </w:style>
  <w:style w:type="paragraph" w:styleId="a8">
    <w:name w:val="footer"/>
    <w:basedOn w:val="a"/>
    <w:link w:val="Char3"/>
    <w:uiPriority w:val="99"/>
    <w:rsid w:val="00E23998"/>
    <w:pPr>
      <w:tabs>
        <w:tab w:val="center" w:pos="4153"/>
        <w:tab w:val="right" w:pos="8306"/>
      </w:tabs>
      <w:spacing w:after="0" w:line="240" w:lineRule="auto"/>
    </w:pPr>
  </w:style>
  <w:style w:type="character" w:customStyle="1" w:styleId="Char3">
    <w:name w:val="Υποσέλιδο Char"/>
    <w:link w:val="a8"/>
    <w:uiPriority w:val="99"/>
    <w:locked/>
    <w:rsid w:val="00E23998"/>
    <w:rPr>
      <w:rFonts w:cs="Times New Roman"/>
    </w:rPr>
  </w:style>
  <w:style w:type="paragraph" w:styleId="a9">
    <w:name w:val="Balloon Text"/>
    <w:basedOn w:val="a"/>
    <w:link w:val="Char4"/>
    <w:uiPriority w:val="99"/>
    <w:semiHidden/>
    <w:rsid w:val="002E1D1D"/>
    <w:rPr>
      <w:rFonts w:ascii="Tahoma" w:hAnsi="Tahoma" w:cs="Tahoma"/>
      <w:sz w:val="16"/>
      <w:szCs w:val="16"/>
    </w:rPr>
  </w:style>
  <w:style w:type="character" w:customStyle="1" w:styleId="Char4">
    <w:name w:val="Κείμενο πλαισίου Char"/>
    <w:link w:val="a9"/>
    <w:uiPriority w:val="99"/>
    <w:semiHidden/>
    <w:locked/>
    <w:rsid w:val="00D6193C"/>
    <w:rPr>
      <w:rFonts w:ascii="Times New Roman" w:hAnsi="Times New Roman" w:cs="Times New Roman"/>
      <w:sz w:val="2"/>
      <w:lang w:val="en-US"/>
    </w:rPr>
  </w:style>
  <w:style w:type="character" w:styleId="aa">
    <w:name w:val="page number"/>
    <w:uiPriority w:val="99"/>
    <w:rsid w:val="002E1D1D"/>
    <w:rPr>
      <w:rFonts w:cs="Times New Roman"/>
    </w:rPr>
  </w:style>
  <w:style w:type="paragraph" w:styleId="ab">
    <w:name w:val="annotation subject"/>
    <w:basedOn w:val="a5"/>
    <w:next w:val="a5"/>
    <w:link w:val="Char5"/>
    <w:uiPriority w:val="99"/>
    <w:semiHidden/>
    <w:unhideWhenUsed/>
    <w:rsid w:val="00046E0E"/>
    <w:pPr>
      <w:spacing w:line="360" w:lineRule="auto"/>
    </w:pPr>
    <w:rPr>
      <w:b/>
      <w:bCs/>
    </w:rPr>
  </w:style>
  <w:style w:type="character" w:customStyle="1" w:styleId="Char5">
    <w:name w:val="Θέμα σχολίου Char"/>
    <w:link w:val="ab"/>
    <w:uiPriority w:val="99"/>
    <w:semiHidden/>
    <w:rsid w:val="00046E0E"/>
    <w:rPr>
      <w:rFonts w:cs="Times New Roman"/>
      <w:b/>
      <w:bCs/>
      <w:sz w:val="20"/>
      <w:szCs w:val="20"/>
      <w:lang w:val="en-US"/>
    </w:rPr>
  </w:style>
  <w:style w:type="paragraph" w:styleId="ac">
    <w:name w:val="Revision"/>
    <w:hidden/>
    <w:uiPriority w:val="99"/>
    <w:semiHidden/>
    <w:rsid w:val="00046E0E"/>
    <w:rPr>
      <w:sz w:val="22"/>
      <w:szCs w:val="22"/>
      <w:lang w:val="en-US"/>
    </w:rPr>
  </w:style>
  <w:style w:type="paragraph" w:styleId="ad">
    <w:name w:val="List Paragraph"/>
    <w:basedOn w:val="a"/>
    <w:uiPriority w:val="34"/>
    <w:qFormat/>
    <w:rsid w:val="00046E0E"/>
    <w:pPr>
      <w:widowControl/>
      <w:spacing w:after="0" w:line="240" w:lineRule="auto"/>
      <w:ind w:left="720"/>
    </w:pPr>
    <w:rPr>
      <w:rFonts w:ascii="Times New Roman" w:eastAsia="Times New Roman" w:hAnsi="Times New Roman" w:cs="Times New Roman"/>
      <w:sz w:val="20"/>
      <w:szCs w:val="20"/>
      <w:lang w:val="en-GB"/>
    </w:rPr>
  </w:style>
  <w:style w:type="paragraph" w:styleId="Web">
    <w:name w:val="Normal (Web)"/>
    <w:basedOn w:val="a"/>
    <w:uiPriority w:val="99"/>
    <w:unhideWhenUsed/>
    <w:rsid w:val="00E0257C"/>
    <w:pPr>
      <w:widowControl/>
      <w:spacing w:before="100" w:beforeAutospacing="1" w:after="100" w:afterAutospacing="1" w:line="240" w:lineRule="auto"/>
    </w:pPr>
    <w:rPr>
      <w:rFonts w:ascii="Times New Roman" w:eastAsia="Times New Roman" w:hAnsi="Times New Roman" w:cs="Times New Roman"/>
      <w:sz w:val="24"/>
      <w:szCs w:val="24"/>
      <w:lang w:val="el-GR"/>
    </w:rPr>
  </w:style>
  <w:style w:type="character" w:styleId="-">
    <w:name w:val="Hyperlink"/>
    <w:basedOn w:val="a0"/>
    <w:uiPriority w:val="99"/>
    <w:unhideWhenUsed/>
    <w:rsid w:val="002455A6"/>
    <w:rPr>
      <w:color w:val="0000FF"/>
      <w:u w:val="single"/>
    </w:rPr>
  </w:style>
  <w:style w:type="character" w:styleId="ae">
    <w:name w:val="Intense Emphasis"/>
    <w:basedOn w:val="a0"/>
    <w:uiPriority w:val="21"/>
    <w:qFormat/>
    <w:rsid w:val="0098044A"/>
    <w:rPr>
      <w:i/>
      <w:iCs/>
      <w:color w:val="4F81BD" w:themeColor="accent1"/>
    </w:rPr>
  </w:style>
  <w:style w:type="character" w:customStyle="1" w:styleId="7Char">
    <w:name w:val="Επικεφαλίδα 7 Char"/>
    <w:basedOn w:val="a0"/>
    <w:link w:val="7"/>
    <w:rsid w:val="0098044A"/>
    <w:rPr>
      <w:rFonts w:asciiTheme="majorHAnsi" w:eastAsiaTheme="majorEastAsia" w:hAnsiTheme="majorHAnsi" w:cstheme="majorBidi"/>
      <w:i/>
      <w:iCs/>
      <w:color w:val="243F60" w:themeColor="accent1" w:themeShade="7F"/>
      <w:sz w:val="22"/>
      <w:szCs w:val="22"/>
      <w:lang w:val="en-US"/>
    </w:rPr>
  </w:style>
  <w:style w:type="paragraph" w:styleId="af">
    <w:name w:val="Intense Quote"/>
    <w:basedOn w:val="a"/>
    <w:next w:val="a"/>
    <w:link w:val="Char6"/>
    <w:uiPriority w:val="30"/>
    <w:qFormat/>
    <w:rsid w:val="0098044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har6">
    <w:name w:val="Έντονο απόσπ. Char"/>
    <w:basedOn w:val="a0"/>
    <w:link w:val="af"/>
    <w:uiPriority w:val="30"/>
    <w:rsid w:val="0098044A"/>
    <w:rPr>
      <w:i/>
      <w:iCs/>
      <w:color w:val="4F81BD" w:themeColor="accent1"/>
      <w:sz w:val="22"/>
      <w:szCs w:val="22"/>
      <w:lang w:val="en-US"/>
    </w:rPr>
  </w:style>
  <w:style w:type="character" w:styleId="af0">
    <w:name w:val="Intense Reference"/>
    <w:basedOn w:val="a0"/>
    <w:uiPriority w:val="32"/>
    <w:qFormat/>
    <w:rsid w:val="00481428"/>
    <w:rPr>
      <w:b/>
      <w:bCs/>
      <w:smallCaps/>
      <w:color w:val="4F81BD" w:themeColor="accent1"/>
      <w:spacing w:val="5"/>
    </w:rPr>
  </w:style>
  <w:style w:type="character" w:styleId="af1">
    <w:name w:val="Unresolved Mention"/>
    <w:basedOn w:val="a0"/>
    <w:uiPriority w:val="99"/>
    <w:semiHidden/>
    <w:unhideWhenUsed/>
    <w:rsid w:val="0083731D"/>
    <w:rPr>
      <w:color w:val="605E5C"/>
      <w:shd w:val="clear" w:color="auto" w:fill="E1DFDD"/>
    </w:rPr>
  </w:style>
  <w:style w:type="character" w:styleId="af2">
    <w:name w:val="Strong"/>
    <w:basedOn w:val="a0"/>
    <w:qFormat/>
    <w:locked/>
    <w:rsid w:val="00DF162D"/>
    <w:rPr>
      <w:b/>
      <w:bCs/>
    </w:rPr>
  </w:style>
  <w:style w:type="numbering" w:customStyle="1" w:styleId="10">
    <w:name w:val="Χωρίς λίστα1"/>
    <w:next w:val="a2"/>
    <w:uiPriority w:val="99"/>
    <w:semiHidden/>
    <w:unhideWhenUsed/>
    <w:rsid w:val="00922E2D"/>
  </w:style>
  <w:style w:type="paragraph" w:customStyle="1" w:styleId="msonormal0">
    <w:name w:val="msonormal"/>
    <w:basedOn w:val="a"/>
    <w:rsid w:val="00922E2D"/>
    <w:pPr>
      <w:widowControl/>
      <w:spacing w:before="100" w:beforeAutospacing="1" w:after="100" w:afterAutospacing="1" w:line="240" w:lineRule="auto"/>
    </w:pPr>
    <w:rPr>
      <w:rFonts w:ascii="Times New Roman" w:eastAsia="Times New Roman" w:hAnsi="Times New Roman" w:cs="Times New Roman"/>
      <w:sz w:val="24"/>
      <w:szCs w:val="24"/>
      <w:lang w:val="el-GR"/>
    </w:rPr>
  </w:style>
  <w:style w:type="paragraph" w:styleId="af3">
    <w:name w:val="TOC Heading"/>
    <w:basedOn w:val="1"/>
    <w:next w:val="a"/>
    <w:uiPriority w:val="39"/>
    <w:unhideWhenUsed/>
    <w:qFormat/>
    <w:rsid w:val="00043A9E"/>
    <w:pPr>
      <w:widowControl/>
      <w:spacing w:line="259" w:lineRule="auto"/>
      <w:outlineLvl w:val="9"/>
    </w:pPr>
    <w:rPr>
      <w:rFonts w:asciiTheme="majorHAnsi" w:eastAsiaTheme="majorEastAsia" w:hAnsiTheme="majorHAnsi" w:cstheme="majorBidi"/>
      <w:color w:val="365F91" w:themeColor="accent1" w:themeShade="BF"/>
      <w:lang w:val="el-GR"/>
    </w:rPr>
  </w:style>
  <w:style w:type="paragraph" w:styleId="11">
    <w:name w:val="toc 1"/>
    <w:basedOn w:val="a"/>
    <w:next w:val="a"/>
    <w:autoRedefine/>
    <w:uiPriority w:val="39"/>
    <w:locked/>
    <w:rsid w:val="00043A9E"/>
    <w:pPr>
      <w:spacing w:after="100"/>
    </w:pPr>
  </w:style>
  <w:style w:type="paragraph" w:styleId="20">
    <w:name w:val="toc 2"/>
    <w:basedOn w:val="a"/>
    <w:next w:val="a"/>
    <w:autoRedefine/>
    <w:uiPriority w:val="39"/>
    <w:unhideWhenUsed/>
    <w:locked/>
    <w:rsid w:val="00043A9E"/>
    <w:pPr>
      <w:widowControl/>
      <w:spacing w:after="100" w:line="259" w:lineRule="auto"/>
      <w:ind w:left="220"/>
    </w:pPr>
    <w:rPr>
      <w:rFonts w:asciiTheme="minorHAnsi" w:eastAsiaTheme="minorEastAsia" w:hAnsiTheme="minorHAnsi" w:cs="Times New Roman"/>
      <w:lang w:val="el-GR"/>
    </w:rPr>
  </w:style>
  <w:style w:type="paragraph" w:styleId="30">
    <w:name w:val="toc 3"/>
    <w:basedOn w:val="a"/>
    <w:next w:val="a"/>
    <w:autoRedefine/>
    <w:uiPriority w:val="39"/>
    <w:unhideWhenUsed/>
    <w:locked/>
    <w:rsid w:val="00043A9E"/>
    <w:pPr>
      <w:widowControl/>
      <w:spacing w:after="100" w:line="259" w:lineRule="auto"/>
      <w:ind w:left="440"/>
    </w:pPr>
    <w:rPr>
      <w:rFonts w:asciiTheme="minorHAnsi" w:eastAsiaTheme="minorEastAsia" w:hAnsiTheme="minorHAnsi" w:cs="Times New Roman"/>
      <w:lang w:val="el-GR"/>
    </w:rPr>
  </w:style>
  <w:style w:type="character" w:styleId="af4">
    <w:name w:val="line number"/>
    <w:basedOn w:val="a0"/>
    <w:uiPriority w:val="99"/>
    <w:semiHidden/>
    <w:unhideWhenUsed/>
    <w:rsid w:val="00043A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3074">
      <w:bodyDiv w:val="1"/>
      <w:marLeft w:val="0"/>
      <w:marRight w:val="0"/>
      <w:marTop w:val="0"/>
      <w:marBottom w:val="0"/>
      <w:divBdr>
        <w:top w:val="none" w:sz="0" w:space="0" w:color="auto"/>
        <w:left w:val="none" w:sz="0" w:space="0" w:color="auto"/>
        <w:bottom w:val="none" w:sz="0" w:space="0" w:color="auto"/>
        <w:right w:val="none" w:sz="0" w:space="0" w:color="auto"/>
      </w:divBdr>
    </w:div>
    <w:div w:id="71199985">
      <w:marLeft w:val="0"/>
      <w:marRight w:val="0"/>
      <w:marTop w:val="0"/>
      <w:marBottom w:val="0"/>
      <w:divBdr>
        <w:top w:val="none" w:sz="0" w:space="0" w:color="auto"/>
        <w:left w:val="none" w:sz="0" w:space="0" w:color="auto"/>
        <w:bottom w:val="none" w:sz="0" w:space="0" w:color="auto"/>
        <w:right w:val="none" w:sz="0" w:space="0" w:color="auto"/>
      </w:divBdr>
    </w:div>
    <w:div w:id="76901634">
      <w:bodyDiv w:val="1"/>
      <w:marLeft w:val="0"/>
      <w:marRight w:val="0"/>
      <w:marTop w:val="0"/>
      <w:marBottom w:val="0"/>
      <w:divBdr>
        <w:top w:val="none" w:sz="0" w:space="0" w:color="auto"/>
        <w:left w:val="none" w:sz="0" w:space="0" w:color="auto"/>
        <w:bottom w:val="none" w:sz="0" w:space="0" w:color="auto"/>
        <w:right w:val="none" w:sz="0" w:space="0" w:color="auto"/>
      </w:divBdr>
      <w:divsChild>
        <w:div w:id="1038168818">
          <w:marLeft w:val="-108"/>
          <w:marRight w:val="0"/>
          <w:marTop w:val="0"/>
          <w:marBottom w:val="0"/>
          <w:divBdr>
            <w:top w:val="none" w:sz="0" w:space="0" w:color="auto"/>
            <w:left w:val="none" w:sz="0" w:space="0" w:color="auto"/>
            <w:bottom w:val="none" w:sz="0" w:space="0" w:color="auto"/>
            <w:right w:val="none" w:sz="0" w:space="0" w:color="auto"/>
          </w:divBdr>
        </w:div>
      </w:divsChild>
    </w:div>
    <w:div w:id="228344263">
      <w:bodyDiv w:val="1"/>
      <w:marLeft w:val="0"/>
      <w:marRight w:val="0"/>
      <w:marTop w:val="0"/>
      <w:marBottom w:val="0"/>
      <w:divBdr>
        <w:top w:val="none" w:sz="0" w:space="0" w:color="auto"/>
        <w:left w:val="none" w:sz="0" w:space="0" w:color="auto"/>
        <w:bottom w:val="none" w:sz="0" w:space="0" w:color="auto"/>
        <w:right w:val="none" w:sz="0" w:space="0" w:color="auto"/>
      </w:divBdr>
      <w:divsChild>
        <w:div w:id="1706516520">
          <w:marLeft w:val="-108"/>
          <w:marRight w:val="0"/>
          <w:marTop w:val="0"/>
          <w:marBottom w:val="0"/>
          <w:divBdr>
            <w:top w:val="none" w:sz="0" w:space="0" w:color="auto"/>
            <w:left w:val="none" w:sz="0" w:space="0" w:color="auto"/>
            <w:bottom w:val="none" w:sz="0" w:space="0" w:color="auto"/>
            <w:right w:val="none" w:sz="0" w:space="0" w:color="auto"/>
          </w:divBdr>
        </w:div>
      </w:divsChild>
    </w:div>
    <w:div w:id="291912876">
      <w:bodyDiv w:val="1"/>
      <w:marLeft w:val="0"/>
      <w:marRight w:val="0"/>
      <w:marTop w:val="0"/>
      <w:marBottom w:val="0"/>
      <w:divBdr>
        <w:top w:val="none" w:sz="0" w:space="0" w:color="auto"/>
        <w:left w:val="none" w:sz="0" w:space="0" w:color="auto"/>
        <w:bottom w:val="none" w:sz="0" w:space="0" w:color="auto"/>
        <w:right w:val="none" w:sz="0" w:space="0" w:color="auto"/>
      </w:divBdr>
    </w:div>
    <w:div w:id="384182531">
      <w:bodyDiv w:val="1"/>
      <w:marLeft w:val="0"/>
      <w:marRight w:val="0"/>
      <w:marTop w:val="0"/>
      <w:marBottom w:val="0"/>
      <w:divBdr>
        <w:top w:val="none" w:sz="0" w:space="0" w:color="auto"/>
        <w:left w:val="none" w:sz="0" w:space="0" w:color="auto"/>
        <w:bottom w:val="none" w:sz="0" w:space="0" w:color="auto"/>
        <w:right w:val="none" w:sz="0" w:space="0" w:color="auto"/>
      </w:divBdr>
    </w:div>
    <w:div w:id="483132259">
      <w:bodyDiv w:val="1"/>
      <w:marLeft w:val="0"/>
      <w:marRight w:val="0"/>
      <w:marTop w:val="0"/>
      <w:marBottom w:val="0"/>
      <w:divBdr>
        <w:top w:val="none" w:sz="0" w:space="0" w:color="auto"/>
        <w:left w:val="none" w:sz="0" w:space="0" w:color="auto"/>
        <w:bottom w:val="none" w:sz="0" w:space="0" w:color="auto"/>
        <w:right w:val="none" w:sz="0" w:space="0" w:color="auto"/>
      </w:divBdr>
      <w:divsChild>
        <w:div w:id="502280069">
          <w:marLeft w:val="-108"/>
          <w:marRight w:val="0"/>
          <w:marTop w:val="0"/>
          <w:marBottom w:val="0"/>
          <w:divBdr>
            <w:top w:val="none" w:sz="0" w:space="0" w:color="auto"/>
            <w:left w:val="none" w:sz="0" w:space="0" w:color="auto"/>
            <w:bottom w:val="none" w:sz="0" w:space="0" w:color="auto"/>
            <w:right w:val="none" w:sz="0" w:space="0" w:color="auto"/>
          </w:divBdr>
        </w:div>
      </w:divsChild>
    </w:div>
    <w:div w:id="494688546">
      <w:bodyDiv w:val="1"/>
      <w:marLeft w:val="0"/>
      <w:marRight w:val="0"/>
      <w:marTop w:val="0"/>
      <w:marBottom w:val="0"/>
      <w:divBdr>
        <w:top w:val="none" w:sz="0" w:space="0" w:color="auto"/>
        <w:left w:val="none" w:sz="0" w:space="0" w:color="auto"/>
        <w:bottom w:val="none" w:sz="0" w:space="0" w:color="auto"/>
        <w:right w:val="none" w:sz="0" w:space="0" w:color="auto"/>
      </w:divBdr>
    </w:div>
    <w:div w:id="559169342">
      <w:bodyDiv w:val="1"/>
      <w:marLeft w:val="0"/>
      <w:marRight w:val="0"/>
      <w:marTop w:val="0"/>
      <w:marBottom w:val="0"/>
      <w:divBdr>
        <w:top w:val="none" w:sz="0" w:space="0" w:color="auto"/>
        <w:left w:val="none" w:sz="0" w:space="0" w:color="auto"/>
        <w:bottom w:val="none" w:sz="0" w:space="0" w:color="auto"/>
        <w:right w:val="none" w:sz="0" w:space="0" w:color="auto"/>
      </w:divBdr>
    </w:div>
    <w:div w:id="612976429">
      <w:bodyDiv w:val="1"/>
      <w:marLeft w:val="0"/>
      <w:marRight w:val="0"/>
      <w:marTop w:val="0"/>
      <w:marBottom w:val="0"/>
      <w:divBdr>
        <w:top w:val="none" w:sz="0" w:space="0" w:color="auto"/>
        <w:left w:val="none" w:sz="0" w:space="0" w:color="auto"/>
        <w:bottom w:val="none" w:sz="0" w:space="0" w:color="auto"/>
        <w:right w:val="none" w:sz="0" w:space="0" w:color="auto"/>
      </w:divBdr>
    </w:div>
    <w:div w:id="734208610">
      <w:bodyDiv w:val="1"/>
      <w:marLeft w:val="0"/>
      <w:marRight w:val="0"/>
      <w:marTop w:val="0"/>
      <w:marBottom w:val="0"/>
      <w:divBdr>
        <w:top w:val="none" w:sz="0" w:space="0" w:color="auto"/>
        <w:left w:val="none" w:sz="0" w:space="0" w:color="auto"/>
        <w:bottom w:val="none" w:sz="0" w:space="0" w:color="auto"/>
        <w:right w:val="none" w:sz="0" w:space="0" w:color="auto"/>
      </w:divBdr>
    </w:div>
    <w:div w:id="785344143">
      <w:bodyDiv w:val="1"/>
      <w:marLeft w:val="0"/>
      <w:marRight w:val="0"/>
      <w:marTop w:val="0"/>
      <w:marBottom w:val="0"/>
      <w:divBdr>
        <w:top w:val="none" w:sz="0" w:space="0" w:color="auto"/>
        <w:left w:val="none" w:sz="0" w:space="0" w:color="auto"/>
        <w:bottom w:val="none" w:sz="0" w:space="0" w:color="auto"/>
        <w:right w:val="none" w:sz="0" w:space="0" w:color="auto"/>
      </w:divBdr>
    </w:div>
    <w:div w:id="843471820">
      <w:bodyDiv w:val="1"/>
      <w:marLeft w:val="0"/>
      <w:marRight w:val="0"/>
      <w:marTop w:val="0"/>
      <w:marBottom w:val="0"/>
      <w:divBdr>
        <w:top w:val="none" w:sz="0" w:space="0" w:color="auto"/>
        <w:left w:val="none" w:sz="0" w:space="0" w:color="auto"/>
        <w:bottom w:val="none" w:sz="0" w:space="0" w:color="auto"/>
        <w:right w:val="none" w:sz="0" w:space="0" w:color="auto"/>
      </w:divBdr>
    </w:div>
    <w:div w:id="1072704239">
      <w:bodyDiv w:val="1"/>
      <w:marLeft w:val="0"/>
      <w:marRight w:val="0"/>
      <w:marTop w:val="0"/>
      <w:marBottom w:val="0"/>
      <w:divBdr>
        <w:top w:val="none" w:sz="0" w:space="0" w:color="auto"/>
        <w:left w:val="none" w:sz="0" w:space="0" w:color="auto"/>
        <w:bottom w:val="none" w:sz="0" w:space="0" w:color="auto"/>
        <w:right w:val="none" w:sz="0" w:space="0" w:color="auto"/>
      </w:divBdr>
      <w:divsChild>
        <w:div w:id="1004943038">
          <w:marLeft w:val="0"/>
          <w:marRight w:val="0"/>
          <w:marTop w:val="0"/>
          <w:marBottom w:val="0"/>
          <w:divBdr>
            <w:top w:val="none" w:sz="0" w:space="0" w:color="auto"/>
            <w:left w:val="none" w:sz="0" w:space="0" w:color="auto"/>
            <w:bottom w:val="none" w:sz="0" w:space="0" w:color="auto"/>
            <w:right w:val="none" w:sz="0" w:space="0" w:color="auto"/>
          </w:divBdr>
          <w:divsChild>
            <w:div w:id="850803948">
              <w:marLeft w:val="0"/>
              <w:marRight w:val="0"/>
              <w:marTop w:val="0"/>
              <w:marBottom w:val="0"/>
              <w:divBdr>
                <w:top w:val="none" w:sz="0" w:space="0" w:color="auto"/>
                <w:left w:val="none" w:sz="0" w:space="0" w:color="auto"/>
                <w:bottom w:val="none" w:sz="0" w:space="0" w:color="auto"/>
                <w:right w:val="none" w:sz="0" w:space="0" w:color="auto"/>
              </w:divBdr>
              <w:divsChild>
                <w:div w:id="131491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972940">
      <w:bodyDiv w:val="1"/>
      <w:marLeft w:val="0"/>
      <w:marRight w:val="0"/>
      <w:marTop w:val="0"/>
      <w:marBottom w:val="0"/>
      <w:divBdr>
        <w:top w:val="none" w:sz="0" w:space="0" w:color="auto"/>
        <w:left w:val="none" w:sz="0" w:space="0" w:color="auto"/>
        <w:bottom w:val="none" w:sz="0" w:space="0" w:color="auto"/>
        <w:right w:val="none" w:sz="0" w:space="0" w:color="auto"/>
      </w:divBdr>
    </w:div>
    <w:div w:id="1444569767">
      <w:bodyDiv w:val="1"/>
      <w:marLeft w:val="0"/>
      <w:marRight w:val="0"/>
      <w:marTop w:val="0"/>
      <w:marBottom w:val="0"/>
      <w:divBdr>
        <w:top w:val="none" w:sz="0" w:space="0" w:color="auto"/>
        <w:left w:val="none" w:sz="0" w:space="0" w:color="auto"/>
        <w:bottom w:val="none" w:sz="0" w:space="0" w:color="auto"/>
        <w:right w:val="none" w:sz="0" w:space="0" w:color="auto"/>
      </w:divBdr>
      <w:divsChild>
        <w:div w:id="357706597">
          <w:marLeft w:val="-115"/>
          <w:marRight w:val="0"/>
          <w:marTop w:val="0"/>
          <w:marBottom w:val="0"/>
          <w:divBdr>
            <w:top w:val="none" w:sz="0" w:space="0" w:color="auto"/>
            <w:left w:val="none" w:sz="0" w:space="0" w:color="auto"/>
            <w:bottom w:val="none" w:sz="0" w:space="0" w:color="auto"/>
            <w:right w:val="none" w:sz="0" w:space="0" w:color="auto"/>
          </w:divBdr>
        </w:div>
      </w:divsChild>
    </w:div>
    <w:div w:id="1461458344">
      <w:bodyDiv w:val="1"/>
      <w:marLeft w:val="0"/>
      <w:marRight w:val="0"/>
      <w:marTop w:val="0"/>
      <w:marBottom w:val="0"/>
      <w:divBdr>
        <w:top w:val="none" w:sz="0" w:space="0" w:color="auto"/>
        <w:left w:val="none" w:sz="0" w:space="0" w:color="auto"/>
        <w:bottom w:val="none" w:sz="0" w:space="0" w:color="auto"/>
        <w:right w:val="none" w:sz="0" w:space="0" w:color="auto"/>
      </w:divBdr>
    </w:div>
    <w:div w:id="1901286938">
      <w:bodyDiv w:val="1"/>
      <w:marLeft w:val="0"/>
      <w:marRight w:val="0"/>
      <w:marTop w:val="0"/>
      <w:marBottom w:val="0"/>
      <w:divBdr>
        <w:top w:val="none" w:sz="0" w:space="0" w:color="auto"/>
        <w:left w:val="none" w:sz="0" w:space="0" w:color="auto"/>
        <w:bottom w:val="none" w:sz="0" w:space="0" w:color="auto"/>
        <w:right w:val="none" w:sz="0" w:space="0" w:color="auto"/>
      </w:divBdr>
    </w:div>
    <w:div w:id="1946309220">
      <w:bodyDiv w:val="1"/>
      <w:marLeft w:val="0"/>
      <w:marRight w:val="0"/>
      <w:marTop w:val="0"/>
      <w:marBottom w:val="0"/>
      <w:divBdr>
        <w:top w:val="none" w:sz="0" w:space="0" w:color="auto"/>
        <w:left w:val="none" w:sz="0" w:space="0" w:color="auto"/>
        <w:bottom w:val="none" w:sz="0" w:space="0" w:color="auto"/>
        <w:right w:val="none" w:sz="0" w:space="0" w:color="auto"/>
      </w:divBdr>
    </w:div>
    <w:div w:id="2019770446">
      <w:bodyDiv w:val="1"/>
      <w:marLeft w:val="0"/>
      <w:marRight w:val="0"/>
      <w:marTop w:val="0"/>
      <w:marBottom w:val="0"/>
      <w:divBdr>
        <w:top w:val="none" w:sz="0" w:space="0" w:color="auto"/>
        <w:left w:val="none" w:sz="0" w:space="0" w:color="auto"/>
        <w:bottom w:val="none" w:sz="0" w:space="0" w:color="auto"/>
        <w:right w:val="none" w:sz="0" w:space="0" w:color="auto"/>
      </w:divBdr>
      <w:divsChild>
        <w:div w:id="1398241869">
          <w:marLeft w:val="-108"/>
          <w:marRight w:val="0"/>
          <w:marTop w:val="0"/>
          <w:marBottom w:val="0"/>
          <w:divBdr>
            <w:top w:val="none" w:sz="0" w:space="0" w:color="auto"/>
            <w:left w:val="none" w:sz="0" w:space="0" w:color="auto"/>
            <w:bottom w:val="none" w:sz="0" w:space="0" w:color="auto"/>
            <w:right w:val="none" w:sz="0" w:space="0" w:color="auto"/>
          </w:divBdr>
        </w:div>
      </w:divsChild>
    </w:div>
    <w:div w:id="2119055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64B7DF-3792-4249-8B24-17D7A8138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29</Pages>
  <Words>45735</Words>
  <Characters>246970</Characters>
  <Application>Microsoft Office Word</Application>
  <DocSecurity>0</DocSecurity>
  <Lines>2058</Lines>
  <Paragraphs>584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Elissavet Ganiatsou</dc:creator>
  <cp:keywords/>
  <dc:description/>
  <cp:lastModifiedBy>Angelos Souleles</cp:lastModifiedBy>
  <cp:revision>10</cp:revision>
  <cp:lastPrinted>2022-02-23T13:10:00Z</cp:lastPrinted>
  <dcterms:created xsi:type="dcterms:W3CDTF">2022-06-29T17:28:00Z</dcterms:created>
  <dcterms:modified xsi:type="dcterms:W3CDTF">2022-07-28T06:21:00Z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e7229a7e-b3c1-324c-8a2d-5b191d6d2be9</vt:lpwstr>
  </property>
  <property fmtid="{D5CDD505-2E9C-101B-9397-08002B2CF9AE}" pid="4" name="Mendeley Citation Style_1">
    <vt:lpwstr>http://www.zotero.org/styles/nature</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10th edition - Harvard</vt:lpwstr>
  </property>
  <property fmtid="{D5CDD505-2E9C-101B-9397-08002B2CF9AE}" pid="13" name="Mendeley Recent Style Id 4_1">
    <vt:lpwstr>http://csl.mendeley.com/styles/585049291/harvard-cell</vt:lpwstr>
  </property>
  <property fmtid="{D5CDD505-2E9C-101B-9397-08002B2CF9AE}" pid="14" name="Mendeley Recent Style Name 4_1">
    <vt:lpwstr>Cite Them Right 10th edition - Harvard - Elissavet Ganiatsou</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http://csl.mendeley.com/styles/585049291/nature-2</vt:lpwstr>
  </property>
  <property fmtid="{D5CDD505-2E9C-101B-9397-08002B2CF9AE}" pid="24" name="Mendeley Recent Style Name 9_1">
    <vt:lpwstr>Nature - Elissavet Ganiatsou</vt:lpwstr>
  </property>
</Properties>
</file>