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CE34B" w14:textId="62C02333" w:rsidR="00BE6AB1" w:rsidRPr="00A4321F" w:rsidRDefault="00630DED">
      <w:pPr>
        <w:rPr>
          <w:lang w:val="en-GB"/>
        </w:rPr>
      </w:pPr>
      <w:r w:rsidRPr="00A4321F">
        <w:rPr>
          <w:lang w:val="en-GB"/>
        </w:rPr>
        <w:t>Supplementary Figure and Video Legends</w:t>
      </w:r>
    </w:p>
    <w:p w14:paraId="70BC894C" w14:textId="56BEC7D7" w:rsidR="00A4321F" w:rsidRPr="00A4321F" w:rsidRDefault="00A4321F" w:rsidP="00630DED">
      <w:pPr>
        <w:jc w:val="both"/>
        <w:rPr>
          <w:rFonts w:cstheme="minorHAnsi"/>
          <w:lang w:val="en-GB"/>
        </w:rPr>
      </w:pPr>
      <w:r w:rsidRPr="00A4321F">
        <w:rPr>
          <w:rFonts w:cstheme="minorHAnsi"/>
          <w:lang w:val="en-GB"/>
        </w:rPr>
        <w:t xml:space="preserve">Supplementary Figure 1: TEM sections of seminiferous tubules from wild type (WT) </w:t>
      </w:r>
      <w:r w:rsidRPr="00A4321F">
        <w:rPr>
          <w:rFonts w:cstheme="minorHAnsi"/>
          <w:b/>
          <w:bCs/>
          <w:lang w:val="en-GB"/>
        </w:rPr>
        <w:t>(a, b)</w:t>
      </w:r>
      <w:r w:rsidRPr="00A4321F">
        <w:rPr>
          <w:rFonts w:cstheme="minorHAnsi"/>
          <w:lang w:val="en-GB"/>
        </w:rPr>
        <w:t xml:space="preserve"> and SCCx43KO</w:t>
      </w:r>
      <w:r w:rsidRPr="00A4321F">
        <w:rPr>
          <w:rFonts w:cstheme="minorHAnsi"/>
          <w:vertAlign w:val="superscript"/>
          <w:lang w:val="en-GB"/>
        </w:rPr>
        <w:t>-/-</w:t>
      </w:r>
      <w:r w:rsidRPr="00A4321F">
        <w:rPr>
          <w:rFonts w:cstheme="minorHAnsi"/>
          <w:lang w:val="en-GB"/>
        </w:rPr>
        <w:t xml:space="preserve"> </w:t>
      </w:r>
      <w:r w:rsidRPr="00A4321F">
        <w:rPr>
          <w:rFonts w:cstheme="minorHAnsi"/>
          <w:b/>
          <w:bCs/>
          <w:lang w:val="en-GB"/>
        </w:rPr>
        <w:t>(c-f)</w:t>
      </w:r>
      <w:r w:rsidRPr="00A4321F">
        <w:rPr>
          <w:rFonts w:cstheme="minorHAnsi"/>
          <w:lang w:val="en-GB"/>
        </w:rPr>
        <w:t xml:space="preserve"> mice. Sertoli cell </w:t>
      </w:r>
      <w:r w:rsidR="001112E1">
        <w:rPr>
          <w:rFonts w:cstheme="minorHAnsi"/>
          <w:lang w:val="en-GB"/>
        </w:rPr>
        <w:t xml:space="preserve">(SC) </w:t>
      </w:r>
      <w:r w:rsidRPr="00A4321F">
        <w:rPr>
          <w:rFonts w:cstheme="minorHAnsi"/>
          <w:lang w:val="en-GB"/>
        </w:rPr>
        <w:t xml:space="preserve">nuclei are marked by black asterisks </w:t>
      </w:r>
      <w:r w:rsidRPr="00A4321F">
        <w:rPr>
          <w:rFonts w:cstheme="minorHAnsi"/>
          <w:b/>
          <w:lang w:val="en-GB"/>
        </w:rPr>
        <w:t>(a-f)</w:t>
      </w:r>
      <w:r w:rsidRPr="00A4321F">
        <w:rPr>
          <w:rFonts w:cstheme="minorHAnsi"/>
          <w:lang w:val="en-GB"/>
        </w:rPr>
        <w:t xml:space="preserve">. Abundant lipid droplets </w:t>
      </w:r>
      <w:r w:rsidRPr="00A4321F">
        <w:rPr>
          <w:rFonts w:cstheme="minorHAnsi"/>
          <w:b/>
          <w:bCs/>
          <w:lang w:val="en-GB"/>
        </w:rPr>
        <w:t>(white arrows)</w:t>
      </w:r>
      <w:r w:rsidRPr="00A4321F">
        <w:rPr>
          <w:rFonts w:cstheme="minorHAnsi"/>
          <w:lang w:val="en-GB"/>
        </w:rPr>
        <w:t xml:space="preserve"> can be</w:t>
      </w:r>
      <w:r w:rsidR="001112E1">
        <w:rPr>
          <w:rFonts w:cstheme="minorHAnsi"/>
          <w:lang w:val="en-GB"/>
        </w:rPr>
        <w:t xml:space="preserve"> found in the SC </w:t>
      </w:r>
      <w:r w:rsidRPr="00A4321F">
        <w:rPr>
          <w:rFonts w:cstheme="minorHAnsi"/>
          <w:lang w:val="en-GB"/>
        </w:rPr>
        <w:t xml:space="preserve">cytoplasm of mutants </w:t>
      </w:r>
      <w:r w:rsidRPr="00A4321F">
        <w:rPr>
          <w:rFonts w:cstheme="minorHAnsi"/>
          <w:b/>
          <w:bCs/>
          <w:lang w:val="en-GB"/>
        </w:rPr>
        <w:t>(c-f)</w:t>
      </w:r>
      <w:r w:rsidRPr="00A4321F">
        <w:rPr>
          <w:rFonts w:cstheme="minorHAnsi"/>
          <w:lang w:val="en-GB"/>
        </w:rPr>
        <w:t>. In contrast to wild type mice, lipid droplets seem to be larger in SCCx43KO</w:t>
      </w:r>
      <w:r w:rsidRPr="00A4321F">
        <w:rPr>
          <w:rFonts w:cstheme="minorHAnsi"/>
          <w:vertAlign w:val="superscript"/>
          <w:lang w:val="en-GB"/>
        </w:rPr>
        <w:t>-/-</w:t>
      </w:r>
      <w:r w:rsidRPr="00A4321F">
        <w:rPr>
          <w:rFonts w:cstheme="minorHAnsi"/>
          <w:lang w:val="en-GB"/>
        </w:rPr>
        <w:t xml:space="preserve"> mice</w:t>
      </w:r>
      <w:r w:rsidRPr="00A4321F">
        <w:rPr>
          <w:rFonts w:cstheme="minorHAnsi"/>
          <w:vertAlign w:val="superscript"/>
          <w:lang w:val="en-GB"/>
        </w:rPr>
        <w:t xml:space="preserve"> </w:t>
      </w:r>
      <w:r w:rsidRPr="00A4321F">
        <w:rPr>
          <w:rFonts w:cstheme="minorHAnsi"/>
          <w:b/>
          <w:bCs/>
          <w:lang w:val="en-GB"/>
        </w:rPr>
        <w:t xml:space="preserve">(c). </w:t>
      </w:r>
      <w:r w:rsidRPr="00A4321F">
        <w:rPr>
          <w:rFonts w:cstheme="minorHAnsi"/>
          <w:lang w:val="en-GB"/>
        </w:rPr>
        <w:t xml:space="preserve">Smaller lipid droplets are often arranged in groups </w:t>
      </w:r>
      <w:r w:rsidRPr="00A4321F">
        <w:rPr>
          <w:rFonts w:cstheme="minorHAnsi"/>
          <w:b/>
          <w:bCs/>
          <w:lang w:val="en-GB"/>
        </w:rPr>
        <w:t>(c, encircled area, f shows a higher magnification of e)</w:t>
      </w:r>
      <w:r w:rsidRPr="00A4321F">
        <w:rPr>
          <w:rFonts w:cstheme="minorHAnsi"/>
          <w:lang w:val="en-GB"/>
        </w:rPr>
        <w:t>. This arrangement of lipid droplets in groups c</w:t>
      </w:r>
      <w:r w:rsidR="00E14DA4">
        <w:rPr>
          <w:rFonts w:cstheme="minorHAnsi"/>
          <w:lang w:val="en-GB"/>
        </w:rPr>
        <w:t>an</w:t>
      </w:r>
      <w:r w:rsidRPr="00A4321F">
        <w:rPr>
          <w:rFonts w:cstheme="minorHAnsi"/>
          <w:lang w:val="en-GB"/>
        </w:rPr>
        <w:t xml:space="preserve"> also be occasionally observed in </w:t>
      </w:r>
      <w:r w:rsidR="001112E1">
        <w:rPr>
          <w:rFonts w:cstheme="minorHAnsi"/>
          <w:lang w:val="en-GB"/>
        </w:rPr>
        <w:t>seminiferous tubules of WT mice</w:t>
      </w:r>
      <w:r w:rsidRPr="00A4321F">
        <w:rPr>
          <w:rFonts w:cstheme="minorHAnsi"/>
          <w:lang w:val="en-GB"/>
        </w:rPr>
        <w:t xml:space="preserve"> </w:t>
      </w:r>
      <w:r w:rsidRPr="00A4321F">
        <w:rPr>
          <w:rFonts w:cstheme="minorHAnsi"/>
          <w:b/>
          <w:bCs/>
          <w:lang w:val="en-GB"/>
        </w:rPr>
        <w:t>(b shows a higher magnification of a)</w:t>
      </w:r>
      <w:r w:rsidRPr="00A4321F">
        <w:rPr>
          <w:rFonts w:cstheme="minorHAnsi"/>
          <w:lang w:val="en-GB"/>
        </w:rPr>
        <w:t xml:space="preserve">, but the groups seem to contain less droplets compared to mutants. Scale bars </w:t>
      </w:r>
      <w:r w:rsidRPr="00A4321F">
        <w:rPr>
          <w:rFonts w:cstheme="minorHAnsi"/>
          <w:b/>
          <w:bCs/>
          <w:lang w:val="en-GB"/>
        </w:rPr>
        <w:t xml:space="preserve">(a-e) </w:t>
      </w:r>
      <w:r w:rsidRPr="00A4321F">
        <w:rPr>
          <w:rFonts w:cstheme="minorHAnsi"/>
          <w:lang w:val="en-GB"/>
        </w:rPr>
        <w:t>= 5</w:t>
      </w:r>
      <w:r w:rsidR="009F090E">
        <w:rPr>
          <w:rFonts w:cstheme="minorHAnsi"/>
          <w:lang w:val="en-GB"/>
        </w:rPr>
        <w:t>,</w:t>
      </w:r>
      <w:r w:rsidRPr="00A4321F">
        <w:rPr>
          <w:rFonts w:cstheme="minorHAnsi"/>
          <w:lang w:val="en-GB"/>
        </w:rPr>
        <w:t xml:space="preserve">000 nm, </w:t>
      </w:r>
      <w:r w:rsidRPr="00A4321F">
        <w:rPr>
          <w:rFonts w:cstheme="minorHAnsi"/>
          <w:b/>
          <w:bCs/>
          <w:lang w:val="en-GB"/>
        </w:rPr>
        <w:t>(f)</w:t>
      </w:r>
      <w:r w:rsidRPr="00A4321F">
        <w:rPr>
          <w:rFonts w:cstheme="minorHAnsi"/>
          <w:lang w:val="en-GB"/>
        </w:rPr>
        <w:t xml:space="preserve"> = 1</w:t>
      </w:r>
      <w:r w:rsidR="009F090E">
        <w:rPr>
          <w:rFonts w:cstheme="minorHAnsi"/>
          <w:lang w:val="en-GB"/>
        </w:rPr>
        <w:t>,</w:t>
      </w:r>
      <w:r w:rsidRPr="00A4321F">
        <w:rPr>
          <w:rFonts w:cstheme="minorHAnsi"/>
          <w:lang w:val="en-GB"/>
        </w:rPr>
        <w:t>000 nm</w:t>
      </w:r>
    </w:p>
    <w:p w14:paraId="7D6BB7E0" w14:textId="12DEF045" w:rsidR="00630DED" w:rsidRPr="00D31B6A" w:rsidRDefault="00630DED" w:rsidP="00630DED">
      <w:pPr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Supplementary Figure </w:t>
      </w:r>
      <w:r w:rsidR="00A4321F">
        <w:rPr>
          <w:szCs w:val="24"/>
          <w:lang w:val="en-GB"/>
        </w:rPr>
        <w:t>2</w:t>
      </w:r>
      <w:r>
        <w:rPr>
          <w:szCs w:val="24"/>
          <w:lang w:val="en-GB"/>
        </w:rPr>
        <w:t xml:space="preserve">: </w:t>
      </w:r>
      <w:proofErr w:type="spellStart"/>
      <w:r>
        <w:rPr>
          <w:szCs w:val="24"/>
          <w:lang w:val="en-GB"/>
        </w:rPr>
        <w:t>Hematoxylin</w:t>
      </w:r>
      <w:proofErr w:type="spellEnd"/>
      <w:r>
        <w:rPr>
          <w:szCs w:val="24"/>
          <w:lang w:val="en-GB"/>
        </w:rPr>
        <w:t>-eosin</w:t>
      </w:r>
      <w:r w:rsidRPr="00B60D64">
        <w:rPr>
          <w:szCs w:val="24"/>
          <w:lang w:val="en-GB"/>
        </w:rPr>
        <w:t>-stained testes of</w:t>
      </w:r>
      <w:r>
        <w:rPr>
          <w:szCs w:val="24"/>
          <w:lang w:val="en-GB"/>
        </w:rPr>
        <w:t xml:space="preserve"> wild type (</w:t>
      </w:r>
      <w:r w:rsidRPr="00B60D64">
        <w:rPr>
          <w:szCs w:val="24"/>
          <w:lang w:val="en-GB"/>
        </w:rPr>
        <w:t>WT</w:t>
      </w:r>
      <w:r>
        <w:rPr>
          <w:szCs w:val="24"/>
          <w:lang w:val="en-GB"/>
        </w:rPr>
        <w:t>)</w:t>
      </w:r>
      <w:r w:rsidRPr="00B60D64">
        <w:rPr>
          <w:szCs w:val="24"/>
          <w:lang w:val="en-GB"/>
        </w:rPr>
        <w:t xml:space="preserve"> </w:t>
      </w:r>
      <w:r w:rsidRPr="00B93F20">
        <w:rPr>
          <w:bCs/>
          <w:szCs w:val="24"/>
          <w:lang w:val="en-GB"/>
        </w:rPr>
        <w:t>(</w:t>
      </w:r>
      <w:r w:rsidRPr="00B60D64">
        <w:rPr>
          <w:b/>
          <w:bCs/>
          <w:szCs w:val="24"/>
          <w:lang w:val="en-GB"/>
        </w:rPr>
        <w:t>a</w:t>
      </w:r>
      <w:r w:rsidRPr="00B93F20">
        <w:rPr>
          <w:bCs/>
          <w:szCs w:val="24"/>
          <w:lang w:val="en-GB"/>
        </w:rPr>
        <w:t>,</w:t>
      </w:r>
      <w:r w:rsidRPr="00B60D64">
        <w:rPr>
          <w:b/>
          <w:bCs/>
          <w:szCs w:val="24"/>
          <w:lang w:val="en-GB"/>
        </w:rPr>
        <w:t xml:space="preserve"> c</w:t>
      </w:r>
      <w:r w:rsidRPr="00B93F20">
        <w:rPr>
          <w:bCs/>
          <w:szCs w:val="24"/>
          <w:lang w:val="en-GB"/>
        </w:rPr>
        <w:t>)</w:t>
      </w:r>
      <w:r w:rsidRPr="00B60D64">
        <w:rPr>
          <w:szCs w:val="24"/>
          <w:lang w:val="en-GB"/>
        </w:rPr>
        <w:t xml:space="preserve"> and SCCx43KO</w:t>
      </w:r>
      <w:r w:rsidRPr="00B60D64">
        <w:rPr>
          <w:szCs w:val="24"/>
          <w:vertAlign w:val="superscript"/>
          <w:lang w:val="en-GB"/>
        </w:rPr>
        <w:t>-/-</w:t>
      </w:r>
      <w:r w:rsidRPr="00B60D64">
        <w:rPr>
          <w:szCs w:val="24"/>
          <w:lang w:val="en-GB"/>
        </w:rPr>
        <w:t xml:space="preserve"> </w:t>
      </w:r>
      <w:r w:rsidRPr="00B93F20">
        <w:rPr>
          <w:bCs/>
          <w:szCs w:val="24"/>
          <w:lang w:val="en-GB"/>
        </w:rPr>
        <w:t>(</w:t>
      </w:r>
      <w:r w:rsidRPr="00B60D64">
        <w:rPr>
          <w:b/>
          <w:bCs/>
          <w:szCs w:val="24"/>
          <w:lang w:val="en-GB"/>
        </w:rPr>
        <w:t>b</w:t>
      </w:r>
      <w:r w:rsidRPr="00B93F20">
        <w:rPr>
          <w:bCs/>
          <w:szCs w:val="24"/>
          <w:lang w:val="en-GB"/>
        </w:rPr>
        <w:t>,</w:t>
      </w:r>
      <w:r w:rsidRPr="00B60D64">
        <w:rPr>
          <w:b/>
          <w:bCs/>
          <w:szCs w:val="24"/>
          <w:lang w:val="en-GB"/>
        </w:rPr>
        <w:t xml:space="preserve"> d</w:t>
      </w:r>
      <w:r w:rsidRPr="00B93F20">
        <w:rPr>
          <w:bCs/>
          <w:szCs w:val="24"/>
          <w:lang w:val="en-GB"/>
        </w:rPr>
        <w:t>)</w:t>
      </w:r>
      <w:r w:rsidRPr="00B60D64">
        <w:rPr>
          <w:szCs w:val="24"/>
          <w:lang w:val="en-GB"/>
        </w:rPr>
        <w:t xml:space="preserve"> mice. Most of the seminiferous tubules of SCCx43KO</w:t>
      </w:r>
      <w:r w:rsidRPr="00B60D64">
        <w:rPr>
          <w:szCs w:val="24"/>
          <w:vertAlign w:val="superscript"/>
          <w:lang w:val="en-GB"/>
        </w:rPr>
        <w:t>-/-</w:t>
      </w:r>
      <w:r w:rsidRPr="00B60D64">
        <w:rPr>
          <w:szCs w:val="24"/>
          <w:lang w:val="en-GB"/>
        </w:rPr>
        <w:t xml:space="preserve"> mice </w:t>
      </w:r>
      <w:r>
        <w:rPr>
          <w:szCs w:val="24"/>
          <w:lang w:val="en-GB"/>
        </w:rPr>
        <w:t xml:space="preserve">are highly vacuolated </w:t>
      </w:r>
      <w:r w:rsidRPr="00B93F20">
        <w:rPr>
          <w:szCs w:val="24"/>
          <w:lang w:val="en-GB"/>
        </w:rPr>
        <w:t>(</w:t>
      </w:r>
      <w:r>
        <w:rPr>
          <w:b/>
          <w:szCs w:val="24"/>
          <w:lang w:val="en-GB"/>
        </w:rPr>
        <w:t>c</w:t>
      </w:r>
      <w:r w:rsidRPr="00B93F20">
        <w:rPr>
          <w:szCs w:val="24"/>
          <w:lang w:val="en-GB"/>
        </w:rPr>
        <w:t>,</w:t>
      </w:r>
      <w:r>
        <w:rPr>
          <w:b/>
          <w:szCs w:val="24"/>
          <w:lang w:val="en-GB"/>
        </w:rPr>
        <w:t xml:space="preserve"> d</w:t>
      </w:r>
      <w:r w:rsidRPr="00B93F20">
        <w:rPr>
          <w:szCs w:val="24"/>
          <w:lang w:val="en-GB"/>
        </w:rPr>
        <w:t>,</w:t>
      </w:r>
      <w:r>
        <w:rPr>
          <w:b/>
          <w:szCs w:val="24"/>
          <w:lang w:val="en-GB"/>
        </w:rPr>
        <w:t xml:space="preserve"> black asterisks</w:t>
      </w:r>
      <w:r w:rsidRPr="00B93F20">
        <w:rPr>
          <w:szCs w:val="24"/>
          <w:lang w:val="en-GB"/>
        </w:rPr>
        <w:t>)</w:t>
      </w:r>
      <w:r>
        <w:rPr>
          <w:bCs/>
          <w:szCs w:val="24"/>
          <w:lang w:val="en-GB"/>
        </w:rPr>
        <w:t xml:space="preserve"> and </w:t>
      </w:r>
      <w:r w:rsidRPr="00B60D64">
        <w:rPr>
          <w:szCs w:val="24"/>
          <w:lang w:val="en-GB"/>
        </w:rPr>
        <w:t xml:space="preserve">display a </w:t>
      </w:r>
      <w:r>
        <w:rPr>
          <w:szCs w:val="24"/>
          <w:lang w:val="en-GB"/>
        </w:rPr>
        <w:t>Sertoli-cell-only</w:t>
      </w:r>
      <w:r w:rsidRPr="00B60D64">
        <w:rPr>
          <w:szCs w:val="24"/>
          <w:lang w:val="en-GB"/>
        </w:rPr>
        <w:t xml:space="preserve">-phenotype. </w:t>
      </w:r>
      <w:r>
        <w:rPr>
          <w:szCs w:val="24"/>
          <w:lang w:val="en-GB"/>
        </w:rPr>
        <w:t>Sertoli cells (</w:t>
      </w:r>
      <w:r w:rsidRPr="00B60D64">
        <w:rPr>
          <w:szCs w:val="24"/>
          <w:lang w:val="en-GB"/>
        </w:rPr>
        <w:t>SC</w:t>
      </w:r>
      <w:r>
        <w:rPr>
          <w:szCs w:val="24"/>
          <w:lang w:val="en-GB"/>
        </w:rPr>
        <w:t>)</w:t>
      </w:r>
      <w:r w:rsidRPr="00B60D64">
        <w:rPr>
          <w:szCs w:val="24"/>
          <w:lang w:val="en-GB"/>
        </w:rPr>
        <w:t xml:space="preserve"> </w:t>
      </w:r>
      <w:r>
        <w:rPr>
          <w:szCs w:val="24"/>
          <w:lang w:val="en-GB"/>
        </w:rPr>
        <w:t>are</w:t>
      </w:r>
      <w:r w:rsidRPr="00B60D64">
        <w:rPr>
          <w:szCs w:val="24"/>
          <w:lang w:val="en-GB"/>
        </w:rPr>
        <w:t xml:space="preserve"> </w:t>
      </w:r>
      <w:r>
        <w:rPr>
          <w:szCs w:val="24"/>
          <w:lang w:val="en-GB"/>
        </w:rPr>
        <w:t xml:space="preserve">either </w:t>
      </w:r>
      <w:r w:rsidRPr="00B60D64">
        <w:rPr>
          <w:szCs w:val="24"/>
          <w:lang w:val="en-GB"/>
        </w:rPr>
        <w:t>positioned near the tubules basal lamina or arranged in intratubular SC-clusters</w:t>
      </w:r>
      <w:r>
        <w:rPr>
          <w:szCs w:val="24"/>
          <w:lang w:val="en-GB"/>
        </w:rPr>
        <w:t xml:space="preserve"> </w:t>
      </w:r>
      <w:r w:rsidRPr="00B93F20">
        <w:rPr>
          <w:bCs/>
          <w:szCs w:val="24"/>
          <w:lang w:val="en-GB"/>
        </w:rPr>
        <w:t>(</w:t>
      </w:r>
      <w:r>
        <w:rPr>
          <w:b/>
          <w:bCs/>
          <w:szCs w:val="24"/>
          <w:lang w:val="en-GB"/>
        </w:rPr>
        <w:t>b</w:t>
      </w:r>
      <w:r w:rsidRPr="00B93F20">
        <w:rPr>
          <w:bCs/>
          <w:szCs w:val="24"/>
          <w:lang w:val="en-GB"/>
        </w:rPr>
        <w:t>,</w:t>
      </w:r>
      <w:r>
        <w:rPr>
          <w:b/>
          <w:bCs/>
          <w:szCs w:val="24"/>
          <w:lang w:val="en-GB"/>
        </w:rPr>
        <w:t xml:space="preserve"> d</w:t>
      </w:r>
      <w:r w:rsidRPr="00B93F20">
        <w:rPr>
          <w:bCs/>
          <w:szCs w:val="24"/>
          <w:lang w:val="en-GB"/>
        </w:rPr>
        <w:t>,</w:t>
      </w:r>
      <w:r>
        <w:rPr>
          <w:b/>
          <w:bCs/>
          <w:szCs w:val="24"/>
          <w:lang w:val="en-GB"/>
        </w:rPr>
        <w:t xml:space="preserve"> black arrows</w:t>
      </w:r>
      <w:r w:rsidRPr="00B93F20">
        <w:rPr>
          <w:bCs/>
          <w:szCs w:val="24"/>
          <w:lang w:val="en-GB"/>
        </w:rPr>
        <w:t>)</w:t>
      </w:r>
      <w:r w:rsidRPr="00B60D64">
        <w:rPr>
          <w:szCs w:val="24"/>
          <w:lang w:val="en-GB"/>
        </w:rPr>
        <w:t xml:space="preserve">. Clustered </w:t>
      </w:r>
      <w:r>
        <w:rPr>
          <w:szCs w:val="24"/>
          <w:lang w:val="en-GB"/>
        </w:rPr>
        <w:t>Sertoli cell nuclei (</w:t>
      </w:r>
      <w:r w:rsidRPr="00B60D64">
        <w:rPr>
          <w:szCs w:val="24"/>
          <w:lang w:val="en-GB"/>
        </w:rPr>
        <w:t>SCN</w:t>
      </w:r>
      <w:r>
        <w:rPr>
          <w:szCs w:val="24"/>
          <w:lang w:val="en-GB"/>
        </w:rPr>
        <w:t>)</w:t>
      </w:r>
      <w:r w:rsidRPr="00B60D64">
        <w:rPr>
          <w:szCs w:val="24"/>
          <w:lang w:val="en-GB"/>
        </w:rPr>
        <w:t xml:space="preserve"> </w:t>
      </w:r>
      <w:r>
        <w:rPr>
          <w:szCs w:val="24"/>
          <w:lang w:val="en-GB"/>
        </w:rPr>
        <w:t>are</w:t>
      </w:r>
      <w:r w:rsidRPr="00B60D64">
        <w:rPr>
          <w:szCs w:val="24"/>
          <w:lang w:val="en-GB"/>
        </w:rPr>
        <w:t xml:space="preserve"> noticeably smaller</w:t>
      </w:r>
      <w:r>
        <w:rPr>
          <w:szCs w:val="24"/>
          <w:lang w:val="en-GB"/>
        </w:rPr>
        <w:t xml:space="preserve"> compared to basally located SCN and </w:t>
      </w:r>
      <w:r w:rsidRPr="00B60D64">
        <w:rPr>
          <w:szCs w:val="24"/>
          <w:lang w:val="en-GB"/>
        </w:rPr>
        <w:t>irregular</w:t>
      </w:r>
      <w:r>
        <w:rPr>
          <w:szCs w:val="24"/>
          <w:lang w:val="en-GB"/>
        </w:rPr>
        <w:t>ly</w:t>
      </w:r>
      <w:r w:rsidRPr="00B60D64">
        <w:rPr>
          <w:szCs w:val="24"/>
          <w:lang w:val="en-GB"/>
        </w:rPr>
        <w:t xml:space="preserve"> shaped.</w:t>
      </w:r>
      <w:r>
        <w:rPr>
          <w:szCs w:val="24"/>
          <w:lang w:val="en-GB"/>
        </w:rPr>
        <w:t xml:space="preserve"> Scale bars </w:t>
      </w:r>
      <w:r w:rsidRPr="00B93F20">
        <w:rPr>
          <w:bCs/>
          <w:szCs w:val="24"/>
          <w:lang w:val="en-GB"/>
        </w:rPr>
        <w:t>(</w:t>
      </w:r>
      <w:r>
        <w:rPr>
          <w:b/>
          <w:bCs/>
          <w:szCs w:val="24"/>
          <w:lang w:val="en-GB"/>
        </w:rPr>
        <w:t>a</w:t>
      </w:r>
      <w:r w:rsidRPr="00B93F20">
        <w:rPr>
          <w:bCs/>
          <w:szCs w:val="24"/>
          <w:lang w:val="en-GB"/>
        </w:rPr>
        <w:t>,</w:t>
      </w:r>
      <w:r>
        <w:rPr>
          <w:b/>
          <w:bCs/>
          <w:szCs w:val="24"/>
          <w:lang w:val="en-GB"/>
        </w:rPr>
        <w:t xml:space="preserve"> b</w:t>
      </w:r>
      <w:r w:rsidRPr="00B93F20">
        <w:rPr>
          <w:bCs/>
          <w:szCs w:val="24"/>
          <w:lang w:val="en-GB"/>
        </w:rPr>
        <w:t>)</w:t>
      </w:r>
      <w:r>
        <w:rPr>
          <w:szCs w:val="24"/>
          <w:lang w:val="en-GB"/>
        </w:rPr>
        <w:t xml:space="preserve"> = 50µm, </w:t>
      </w:r>
      <w:r w:rsidRPr="00B93F20">
        <w:rPr>
          <w:bCs/>
          <w:szCs w:val="24"/>
          <w:lang w:val="en-GB"/>
        </w:rPr>
        <w:t>(</w:t>
      </w:r>
      <w:r>
        <w:rPr>
          <w:b/>
          <w:bCs/>
          <w:szCs w:val="24"/>
          <w:lang w:val="en-GB"/>
        </w:rPr>
        <w:t>c</w:t>
      </w:r>
      <w:r w:rsidRPr="00B93F20">
        <w:rPr>
          <w:bCs/>
          <w:szCs w:val="24"/>
          <w:lang w:val="en-GB"/>
        </w:rPr>
        <w:t>,</w:t>
      </w:r>
      <w:r>
        <w:rPr>
          <w:b/>
          <w:bCs/>
          <w:szCs w:val="24"/>
          <w:lang w:val="en-GB"/>
        </w:rPr>
        <w:t xml:space="preserve"> d</w:t>
      </w:r>
      <w:r w:rsidRPr="00B93F20">
        <w:rPr>
          <w:bCs/>
          <w:szCs w:val="24"/>
          <w:lang w:val="en-GB"/>
        </w:rPr>
        <w:t>)</w:t>
      </w:r>
      <w:r>
        <w:rPr>
          <w:szCs w:val="24"/>
          <w:lang w:val="en-GB"/>
        </w:rPr>
        <w:t xml:space="preserve"> = 20µm</w:t>
      </w:r>
    </w:p>
    <w:p w14:paraId="287A095C" w14:textId="77777777" w:rsidR="00630DED" w:rsidRDefault="00630DED" w:rsidP="00630DED">
      <w:pPr>
        <w:jc w:val="both"/>
        <w:rPr>
          <w:lang w:val="en-GB"/>
        </w:rPr>
      </w:pPr>
      <w:r>
        <w:rPr>
          <w:lang w:val="en-GB"/>
        </w:rPr>
        <w:t>Supplementary Video 1: Video sequence of traverse serial block-face scanning electron microscopy sections of a Sertoli cell (SC)-cluster in a SCCx43KO</w:t>
      </w:r>
      <w:r>
        <w:rPr>
          <w:vertAlign w:val="superscript"/>
          <w:lang w:val="en-GB"/>
        </w:rPr>
        <w:t>-/-</w:t>
      </w:r>
      <w:r>
        <w:rPr>
          <w:lang w:val="en-GB"/>
        </w:rPr>
        <w:t xml:space="preserve"> seminiferous tubule. Numerous cytoplasmic lipid droplets can be detected in mutant SCs. Polygonal shaped Sertoli cell nuclei are deeply indented with heterochromatin patches along the nuclear envelope.</w:t>
      </w:r>
    </w:p>
    <w:p w14:paraId="6CC5CEC8" w14:textId="77777777" w:rsidR="00630DED" w:rsidRDefault="00630DED" w:rsidP="00630DED">
      <w:pPr>
        <w:jc w:val="both"/>
        <w:rPr>
          <w:lang w:val="en-GB"/>
        </w:rPr>
      </w:pPr>
      <w:r>
        <w:rPr>
          <w:lang w:val="en-GB"/>
        </w:rPr>
        <w:t>Supplementary Video 2: Video sequence of traverse serial block-face scanning electron microscopy sections</w:t>
      </w:r>
      <w:r w:rsidDel="00792BCA">
        <w:rPr>
          <w:lang w:val="en-GB"/>
        </w:rPr>
        <w:t xml:space="preserve"> </w:t>
      </w:r>
      <w:r>
        <w:rPr>
          <w:lang w:val="en-GB"/>
        </w:rPr>
        <w:t>of a seminiferous tubule of one of the investigated SCCx43KO</w:t>
      </w:r>
      <w:r>
        <w:rPr>
          <w:vertAlign w:val="superscript"/>
          <w:lang w:val="en-GB"/>
        </w:rPr>
        <w:t>-/-</w:t>
      </w:r>
      <w:r>
        <w:rPr>
          <w:lang w:val="en-GB"/>
        </w:rPr>
        <w:t xml:space="preserve"> mice. Seminiferous tubules of mutants are smaller in diameter and filled with apical Sertoli cell (SC)-processes. SC-clusters can be detected in most of the seminiferous tubules.</w:t>
      </w:r>
    </w:p>
    <w:p w14:paraId="00133F30" w14:textId="7D29BDCD" w:rsidR="00630DED" w:rsidRPr="00630DED" w:rsidRDefault="00630DED" w:rsidP="00630DED">
      <w:pPr>
        <w:jc w:val="both"/>
        <w:rPr>
          <w:lang w:val="en-GB"/>
        </w:rPr>
      </w:pPr>
      <w:r>
        <w:rPr>
          <w:lang w:val="en-GB"/>
        </w:rPr>
        <w:t>Supplementary Video 3: Video sequence of traverse serial block-face scanning electron microscopy sections</w:t>
      </w:r>
      <w:r w:rsidDel="00792BCA">
        <w:rPr>
          <w:lang w:val="en-GB"/>
        </w:rPr>
        <w:t xml:space="preserve"> </w:t>
      </w:r>
      <w:r>
        <w:rPr>
          <w:lang w:val="en-GB"/>
        </w:rPr>
        <w:t>of basally located SCCx43KO</w:t>
      </w:r>
      <w:r>
        <w:rPr>
          <w:vertAlign w:val="superscript"/>
          <w:lang w:val="en-GB"/>
        </w:rPr>
        <w:t>-/-</w:t>
      </w:r>
      <w:r>
        <w:rPr>
          <w:lang w:val="en-GB"/>
        </w:rPr>
        <w:t xml:space="preserve"> Sertoli cell nuclei showing a mature phenotype. </w:t>
      </w:r>
    </w:p>
    <w:sectPr w:rsidR="00630DED" w:rsidRPr="00630D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DED"/>
    <w:rsid w:val="001112E1"/>
    <w:rsid w:val="002F3756"/>
    <w:rsid w:val="006138CD"/>
    <w:rsid w:val="00630DED"/>
    <w:rsid w:val="009F090E"/>
    <w:rsid w:val="00A4321F"/>
    <w:rsid w:val="00AC55BE"/>
    <w:rsid w:val="00B31E76"/>
    <w:rsid w:val="00E1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9AC311"/>
  <w15:chartTrackingRefBased/>
  <w15:docId w15:val="{E2E4EEB1-58A2-41A8-B53F-B941D159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3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321F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14D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Staggenborg</dc:creator>
  <cp:keywords/>
  <dc:description/>
  <cp:lastModifiedBy>Sarah Staggenborg</cp:lastModifiedBy>
  <cp:revision>2</cp:revision>
  <dcterms:created xsi:type="dcterms:W3CDTF">2022-06-22T06:26:00Z</dcterms:created>
  <dcterms:modified xsi:type="dcterms:W3CDTF">2022-06-22T06:26:00Z</dcterms:modified>
</cp:coreProperties>
</file>