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F4C77" w14:textId="77777777" w:rsidR="00915F6A" w:rsidRPr="00385F25" w:rsidRDefault="00915F6A" w:rsidP="00915F6A">
      <w:pPr>
        <w:spacing w:line="480" w:lineRule="auto"/>
        <w:rPr>
          <w:b/>
          <w:lang w:val="en-GB"/>
        </w:rPr>
      </w:pPr>
      <w:r w:rsidRPr="00385F25">
        <w:rPr>
          <w:b/>
          <w:lang w:val="en-GB"/>
        </w:rPr>
        <w:t>Supplementary Materials</w:t>
      </w:r>
    </w:p>
    <w:p w14:paraId="2DD53677" w14:textId="77777777" w:rsidR="00915F6A" w:rsidRPr="00CD38FF" w:rsidRDefault="00915F6A" w:rsidP="00915F6A">
      <w:pPr>
        <w:rPr>
          <w:lang w:val="en-GB"/>
        </w:rPr>
      </w:pPr>
      <w:r w:rsidRPr="00CD38FF">
        <w:rPr>
          <w:lang w:val="en-GB"/>
        </w:rPr>
        <w:t>Supplementary Tables</w:t>
      </w:r>
    </w:p>
    <w:p w14:paraId="679746C6" w14:textId="77777777" w:rsidR="00915F6A" w:rsidRPr="00CD38FF" w:rsidRDefault="00915F6A" w:rsidP="00915F6A">
      <w:pPr>
        <w:rPr>
          <w:lang w:val="en-GB"/>
        </w:rPr>
      </w:pPr>
    </w:p>
    <w:p w14:paraId="31830813" w14:textId="77777777" w:rsidR="00915F6A" w:rsidRPr="00CD38FF" w:rsidRDefault="00915F6A" w:rsidP="00CD38FF">
      <w:pPr>
        <w:pStyle w:val="Didascalia"/>
        <w:keepNext/>
        <w:jc w:val="both"/>
        <w:rPr>
          <w:rFonts w:ascii="Times New Roman" w:hAnsi="Times New Roman" w:cs="Times New Roman"/>
          <w:i w:val="0"/>
          <w:iCs w:val="0"/>
          <w:color w:val="000000" w:themeColor="text1"/>
          <w:sz w:val="24"/>
          <w:szCs w:val="24"/>
          <w:lang w:val="en-GB"/>
        </w:rPr>
      </w:pPr>
      <w:r w:rsidRPr="00CD38FF">
        <w:rPr>
          <w:rFonts w:ascii="Times New Roman" w:hAnsi="Times New Roman" w:cs="Times New Roman"/>
          <w:i w:val="0"/>
          <w:iCs w:val="0"/>
          <w:color w:val="000000" w:themeColor="text1"/>
          <w:sz w:val="24"/>
          <w:szCs w:val="24"/>
        </w:rPr>
        <w:t xml:space="preserve">Supplementary Table </w:t>
      </w:r>
      <w:r w:rsidRPr="00CD38FF">
        <w:rPr>
          <w:rFonts w:ascii="Times New Roman" w:hAnsi="Times New Roman" w:cs="Times New Roman"/>
          <w:i w:val="0"/>
          <w:iCs w:val="0"/>
          <w:color w:val="000000" w:themeColor="text1"/>
          <w:sz w:val="24"/>
          <w:szCs w:val="24"/>
        </w:rPr>
        <w:fldChar w:fldCharType="begin"/>
      </w:r>
      <w:r w:rsidRPr="00CD38FF">
        <w:rPr>
          <w:rFonts w:ascii="Times New Roman" w:hAnsi="Times New Roman" w:cs="Times New Roman"/>
          <w:i w:val="0"/>
          <w:iCs w:val="0"/>
          <w:color w:val="000000" w:themeColor="text1"/>
          <w:sz w:val="24"/>
          <w:szCs w:val="24"/>
        </w:rPr>
        <w:instrText>SEQ Supplementary_Table \* ARABIC</w:instrText>
      </w:r>
      <w:r w:rsidRPr="00CD38FF">
        <w:rPr>
          <w:rFonts w:ascii="Times New Roman" w:hAnsi="Times New Roman" w:cs="Times New Roman"/>
          <w:i w:val="0"/>
          <w:iCs w:val="0"/>
          <w:color w:val="000000" w:themeColor="text1"/>
          <w:sz w:val="24"/>
          <w:szCs w:val="24"/>
        </w:rPr>
        <w:fldChar w:fldCharType="separate"/>
      </w:r>
      <w:r w:rsidRPr="00CD38FF">
        <w:rPr>
          <w:rFonts w:ascii="Times New Roman" w:hAnsi="Times New Roman" w:cs="Times New Roman"/>
          <w:i w:val="0"/>
          <w:iCs w:val="0"/>
          <w:noProof/>
          <w:color w:val="000000" w:themeColor="text1"/>
          <w:sz w:val="24"/>
          <w:szCs w:val="24"/>
        </w:rPr>
        <w:t>1</w:t>
      </w:r>
      <w:r w:rsidRPr="00CD38FF">
        <w:rPr>
          <w:rFonts w:ascii="Times New Roman" w:hAnsi="Times New Roman" w:cs="Times New Roman"/>
          <w:i w:val="0"/>
          <w:iCs w:val="0"/>
          <w:color w:val="000000" w:themeColor="text1"/>
          <w:sz w:val="24"/>
          <w:szCs w:val="24"/>
        </w:rPr>
        <w:fldChar w:fldCharType="end"/>
      </w:r>
      <w:r w:rsidRPr="00CD38FF">
        <w:rPr>
          <w:rFonts w:ascii="Times New Roman" w:hAnsi="Times New Roman" w:cs="Times New Roman"/>
          <w:i w:val="0"/>
          <w:iCs w:val="0"/>
          <w:color w:val="000000" w:themeColor="text1"/>
          <w:sz w:val="24"/>
          <w:szCs w:val="24"/>
        </w:rPr>
        <w:t xml:space="preserve">: complete clustering results. </w:t>
      </w:r>
      <w:r w:rsidRPr="00CD38FF">
        <w:rPr>
          <w:rFonts w:ascii="Times New Roman" w:hAnsi="Times New Roman" w:cs="Times New Roman"/>
          <w:i w:val="0"/>
          <w:iCs w:val="0"/>
          <w:color w:val="000000" w:themeColor="text1"/>
          <w:sz w:val="24"/>
          <w:szCs w:val="24"/>
          <w:lang w:val="en-GB"/>
        </w:rPr>
        <w:t>For each solution we report the respective clustering algorithm, whether the data were normalized or used in the original CIELAB values, the number of clusters, as well as the silhouette and adjusted Rand index value.</w:t>
      </w:r>
    </w:p>
    <w:tbl>
      <w:tblPr>
        <w:tblStyle w:val="Tabellagriglia2-colore1"/>
        <w:tblW w:w="8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1866"/>
        <w:gridCol w:w="1300"/>
        <w:gridCol w:w="1372"/>
        <w:gridCol w:w="1372"/>
      </w:tblGrid>
      <w:tr w:rsidR="00915F6A" w:rsidRPr="00385F25" w14:paraId="53FD5057" w14:textId="77777777" w:rsidTr="005A00BB">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73" w:type="dxa"/>
            <w:tcBorders>
              <w:top w:val="none" w:sz="0" w:space="0" w:color="auto"/>
              <w:bottom w:val="none" w:sz="0" w:space="0" w:color="auto"/>
              <w:right w:val="none" w:sz="0" w:space="0" w:color="auto"/>
            </w:tcBorders>
            <w:shd w:val="clear" w:color="auto" w:fill="auto"/>
            <w:noWrap/>
            <w:vAlign w:val="center"/>
            <w:hideMark/>
          </w:tcPr>
          <w:p w14:paraId="0AD99B32" w14:textId="77777777" w:rsidR="00915F6A" w:rsidRPr="00385F25" w:rsidRDefault="00915F6A" w:rsidP="007E7921">
            <w:pPr>
              <w:jc w:val="center"/>
              <w:rPr>
                <w:color w:val="000000"/>
              </w:rPr>
            </w:pPr>
            <w:r w:rsidRPr="00385F25">
              <w:rPr>
                <w:color w:val="000000"/>
                <w:lang w:val="en-GB"/>
              </w:rPr>
              <w:t>Algorithm</w:t>
            </w:r>
          </w:p>
        </w:tc>
        <w:tc>
          <w:tcPr>
            <w:tcW w:w="1866"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59237BEB" w14:textId="77777777" w:rsidR="00915F6A" w:rsidRPr="00385F25" w:rsidRDefault="00915F6A" w:rsidP="007E7921">
            <w:pPr>
              <w:jc w:val="center"/>
              <w:cnfStyle w:val="100000000000" w:firstRow="1" w:lastRow="0" w:firstColumn="0" w:lastColumn="0" w:oddVBand="0" w:evenVBand="0" w:oddHBand="0" w:evenHBand="0" w:firstRowFirstColumn="0" w:firstRowLastColumn="0" w:lastRowFirstColumn="0" w:lastRowLastColumn="0"/>
              <w:rPr>
                <w:color w:val="000000"/>
              </w:rPr>
            </w:pPr>
            <w:r w:rsidRPr="00385F25">
              <w:rPr>
                <w:color w:val="000000"/>
                <w:lang w:val="en-GB"/>
              </w:rPr>
              <w:t xml:space="preserve">Data </w:t>
            </w:r>
            <w:proofErr w:type="spellStart"/>
            <w:r w:rsidRPr="00385F25">
              <w:rPr>
                <w:color w:val="000000"/>
                <w:lang w:val="en-GB"/>
              </w:rPr>
              <w:t>Preprocessing</w:t>
            </w:r>
            <w:proofErr w:type="spellEnd"/>
          </w:p>
        </w:tc>
        <w:tc>
          <w:tcPr>
            <w:tcW w:w="130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4155CD66" w14:textId="77777777" w:rsidR="00915F6A" w:rsidRPr="00385F25" w:rsidRDefault="00915F6A" w:rsidP="007E7921">
            <w:pPr>
              <w:jc w:val="center"/>
              <w:cnfStyle w:val="100000000000" w:firstRow="1" w:lastRow="0" w:firstColumn="0" w:lastColumn="0" w:oddVBand="0" w:evenVBand="0" w:oddHBand="0" w:evenHBand="0" w:firstRowFirstColumn="0" w:firstRowLastColumn="0" w:lastRowFirstColumn="0" w:lastRowLastColumn="0"/>
              <w:rPr>
                <w:color w:val="000000"/>
              </w:rPr>
            </w:pPr>
            <w:r w:rsidRPr="00385F25">
              <w:rPr>
                <w:color w:val="000000"/>
                <w:lang w:val="en-GB"/>
              </w:rPr>
              <w:t>Number of Clusters</w:t>
            </w:r>
          </w:p>
        </w:tc>
        <w:tc>
          <w:tcPr>
            <w:tcW w:w="1372"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3B59288" w14:textId="77777777" w:rsidR="00915F6A" w:rsidRPr="00385F25" w:rsidRDefault="00915F6A" w:rsidP="007E7921">
            <w:pPr>
              <w:jc w:val="center"/>
              <w:cnfStyle w:val="100000000000" w:firstRow="1" w:lastRow="0" w:firstColumn="0" w:lastColumn="0" w:oddVBand="0" w:evenVBand="0" w:oddHBand="0" w:evenHBand="0" w:firstRowFirstColumn="0" w:firstRowLastColumn="0" w:lastRowFirstColumn="0" w:lastRowLastColumn="0"/>
              <w:rPr>
                <w:color w:val="000000"/>
              </w:rPr>
            </w:pPr>
            <w:r w:rsidRPr="00385F25">
              <w:rPr>
                <w:color w:val="000000"/>
                <w:lang w:val="en-GB"/>
              </w:rPr>
              <w:t>Silhouette Value</w:t>
            </w:r>
          </w:p>
        </w:tc>
        <w:tc>
          <w:tcPr>
            <w:tcW w:w="1372" w:type="dxa"/>
            <w:tcBorders>
              <w:top w:val="none" w:sz="0" w:space="0" w:color="auto"/>
              <w:left w:val="none" w:sz="0" w:space="0" w:color="auto"/>
              <w:bottom w:val="none" w:sz="0" w:space="0" w:color="auto"/>
            </w:tcBorders>
            <w:shd w:val="clear" w:color="auto" w:fill="auto"/>
            <w:noWrap/>
            <w:vAlign w:val="center"/>
            <w:hideMark/>
          </w:tcPr>
          <w:p w14:paraId="37C32208" w14:textId="77777777" w:rsidR="00915F6A" w:rsidRPr="00385F25" w:rsidRDefault="00915F6A" w:rsidP="007E7921">
            <w:pPr>
              <w:jc w:val="center"/>
              <w:cnfStyle w:val="100000000000" w:firstRow="1" w:lastRow="0" w:firstColumn="0" w:lastColumn="0" w:oddVBand="0" w:evenVBand="0" w:oddHBand="0" w:evenHBand="0" w:firstRowFirstColumn="0" w:firstRowLastColumn="0" w:lastRowFirstColumn="0" w:lastRowLastColumn="0"/>
              <w:rPr>
                <w:color w:val="000000"/>
              </w:rPr>
            </w:pPr>
            <w:r w:rsidRPr="00385F25">
              <w:rPr>
                <w:color w:val="000000"/>
                <w:lang w:val="en-GB"/>
              </w:rPr>
              <w:t>Adjusted Rand Index</w:t>
            </w:r>
          </w:p>
        </w:tc>
      </w:tr>
      <w:tr w:rsidR="00915F6A" w:rsidRPr="00385F25" w14:paraId="05523C9C" w14:textId="77777777" w:rsidTr="005A00B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380005BA" w14:textId="77777777" w:rsidR="00915F6A" w:rsidRPr="00385F25" w:rsidRDefault="00915F6A" w:rsidP="007E7921">
            <w:pPr>
              <w:jc w:val="center"/>
              <w:rPr>
                <w:color w:val="000000"/>
              </w:rPr>
            </w:pPr>
            <w:r w:rsidRPr="00385F25">
              <w:rPr>
                <w:color w:val="000000"/>
              </w:rPr>
              <w:t>Mean Shift</w:t>
            </w:r>
          </w:p>
        </w:tc>
        <w:tc>
          <w:tcPr>
            <w:tcW w:w="1866" w:type="dxa"/>
            <w:shd w:val="clear" w:color="auto" w:fill="auto"/>
            <w:noWrap/>
            <w:vAlign w:val="center"/>
            <w:hideMark/>
          </w:tcPr>
          <w:p w14:paraId="73E88E87"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normalized data</w:t>
            </w:r>
          </w:p>
        </w:tc>
        <w:tc>
          <w:tcPr>
            <w:tcW w:w="1300" w:type="dxa"/>
            <w:shd w:val="clear" w:color="auto" w:fill="auto"/>
            <w:noWrap/>
            <w:vAlign w:val="center"/>
            <w:hideMark/>
          </w:tcPr>
          <w:p w14:paraId="3BB0C8B4"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2</w:t>
            </w:r>
          </w:p>
        </w:tc>
        <w:tc>
          <w:tcPr>
            <w:tcW w:w="1372" w:type="dxa"/>
            <w:shd w:val="clear" w:color="auto" w:fill="auto"/>
            <w:noWrap/>
            <w:vAlign w:val="center"/>
            <w:hideMark/>
          </w:tcPr>
          <w:p w14:paraId="08107E61"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0.52770001</w:t>
            </w:r>
          </w:p>
        </w:tc>
        <w:tc>
          <w:tcPr>
            <w:tcW w:w="1372" w:type="dxa"/>
            <w:shd w:val="clear" w:color="auto" w:fill="auto"/>
            <w:noWrap/>
            <w:vAlign w:val="center"/>
            <w:hideMark/>
          </w:tcPr>
          <w:p w14:paraId="7BCD12AC"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0.5633894</w:t>
            </w:r>
          </w:p>
        </w:tc>
      </w:tr>
      <w:tr w:rsidR="00915F6A" w:rsidRPr="00385F25" w14:paraId="1AD24CB5" w14:textId="77777777" w:rsidTr="005A00BB">
        <w:trPr>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3EEBE458" w14:textId="77777777" w:rsidR="00915F6A" w:rsidRPr="00385F25" w:rsidRDefault="00915F6A" w:rsidP="007E7921">
            <w:pPr>
              <w:jc w:val="center"/>
              <w:rPr>
                <w:color w:val="000000"/>
              </w:rPr>
            </w:pPr>
            <w:r w:rsidRPr="00385F25">
              <w:rPr>
                <w:color w:val="000000"/>
              </w:rPr>
              <w:t>Mean Shift</w:t>
            </w:r>
          </w:p>
        </w:tc>
        <w:tc>
          <w:tcPr>
            <w:tcW w:w="1866" w:type="dxa"/>
            <w:shd w:val="clear" w:color="auto" w:fill="auto"/>
            <w:noWrap/>
            <w:vAlign w:val="center"/>
            <w:hideMark/>
          </w:tcPr>
          <w:p w14:paraId="7AA3DC3B"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original data</w:t>
            </w:r>
          </w:p>
        </w:tc>
        <w:tc>
          <w:tcPr>
            <w:tcW w:w="1300" w:type="dxa"/>
            <w:shd w:val="clear" w:color="auto" w:fill="auto"/>
            <w:noWrap/>
            <w:vAlign w:val="center"/>
            <w:hideMark/>
          </w:tcPr>
          <w:p w14:paraId="7B44C295"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2</w:t>
            </w:r>
          </w:p>
        </w:tc>
        <w:tc>
          <w:tcPr>
            <w:tcW w:w="1372" w:type="dxa"/>
            <w:shd w:val="clear" w:color="auto" w:fill="auto"/>
            <w:noWrap/>
            <w:vAlign w:val="center"/>
            <w:hideMark/>
          </w:tcPr>
          <w:p w14:paraId="17E9D7C6"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0.48910001</w:t>
            </w:r>
          </w:p>
        </w:tc>
        <w:tc>
          <w:tcPr>
            <w:tcW w:w="1372" w:type="dxa"/>
            <w:shd w:val="clear" w:color="auto" w:fill="auto"/>
            <w:noWrap/>
            <w:vAlign w:val="center"/>
            <w:hideMark/>
          </w:tcPr>
          <w:p w14:paraId="01079456"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0.48546671</w:t>
            </w:r>
          </w:p>
        </w:tc>
      </w:tr>
      <w:tr w:rsidR="00915F6A" w:rsidRPr="00385F25" w14:paraId="2C5DC94F" w14:textId="77777777" w:rsidTr="005A00B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10D58EB4" w14:textId="77777777" w:rsidR="00915F6A" w:rsidRPr="00385F25" w:rsidRDefault="00915F6A" w:rsidP="007E7921">
            <w:pPr>
              <w:jc w:val="center"/>
              <w:rPr>
                <w:color w:val="000000"/>
              </w:rPr>
            </w:pPr>
            <w:r w:rsidRPr="00385F25">
              <w:rPr>
                <w:color w:val="000000"/>
              </w:rPr>
              <w:t>K-means</w:t>
            </w:r>
          </w:p>
        </w:tc>
        <w:tc>
          <w:tcPr>
            <w:tcW w:w="1866" w:type="dxa"/>
            <w:shd w:val="clear" w:color="auto" w:fill="auto"/>
            <w:noWrap/>
            <w:vAlign w:val="center"/>
            <w:hideMark/>
          </w:tcPr>
          <w:p w14:paraId="6BD0514A"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original data</w:t>
            </w:r>
          </w:p>
        </w:tc>
        <w:tc>
          <w:tcPr>
            <w:tcW w:w="1300" w:type="dxa"/>
            <w:shd w:val="clear" w:color="auto" w:fill="auto"/>
            <w:noWrap/>
            <w:vAlign w:val="center"/>
            <w:hideMark/>
          </w:tcPr>
          <w:p w14:paraId="31CB676D"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4</w:t>
            </w:r>
          </w:p>
        </w:tc>
        <w:tc>
          <w:tcPr>
            <w:tcW w:w="1372" w:type="dxa"/>
            <w:shd w:val="clear" w:color="auto" w:fill="auto"/>
            <w:noWrap/>
            <w:vAlign w:val="center"/>
            <w:hideMark/>
          </w:tcPr>
          <w:p w14:paraId="634B933E"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0.4066</w:t>
            </w:r>
          </w:p>
        </w:tc>
        <w:tc>
          <w:tcPr>
            <w:tcW w:w="1372" w:type="dxa"/>
            <w:shd w:val="clear" w:color="auto" w:fill="auto"/>
            <w:noWrap/>
            <w:vAlign w:val="center"/>
            <w:hideMark/>
          </w:tcPr>
          <w:p w14:paraId="655C98C6"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0.33154957</w:t>
            </w:r>
          </w:p>
        </w:tc>
      </w:tr>
      <w:tr w:rsidR="00915F6A" w:rsidRPr="00385F25" w14:paraId="48FF3845" w14:textId="77777777" w:rsidTr="005A00BB">
        <w:trPr>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2500AC53" w14:textId="77777777" w:rsidR="00915F6A" w:rsidRPr="00385F25" w:rsidRDefault="00915F6A" w:rsidP="007E7921">
            <w:pPr>
              <w:jc w:val="center"/>
              <w:rPr>
                <w:color w:val="000000"/>
              </w:rPr>
            </w:pPr>
            <w:r w:rsidRPr="00385F25">
              <w:rPr>
                <w:color w:val="000000"/>
              </w:rPr>
              <w:t>BIRCH</w:t>
            </w:r>
          </w:p>
        </w:tc>
        <w:tc>
          <w:tcPr>
            <w:tcW w:w="1866" w:type="dxa"/>
            <w:shd w:val="clear" w:color="auto" w:fill="auto"/>
            <w:noWrap/>
            <w:vAlign w:val="center"/>
            <w:hideMark/>
          </w:tcPr>
          <w:p w14:paraId="25DFB0B7"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original data</w:t>
            </w:r>
          </w:p>
        </w:tc>
        <w:tc>
          <w:tcPr>
            <w:tcW w:w="1300" w:type="dxa"/>
            <w:shd w:val="clear" w:color="auto" w:fill="auto"/>
            <w:noWrap/>
            <w:vAlign w:val="center"/>
            <w:hideMark/>
          </w:tcPr>
          <w:p w14:paraId="118B17AD"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4</w:t>
            </w:r>
          </w:p>
        </w:tc>
        <w:tc>
          <w:tcPr>
            <w:tcW w:w="1372" w:type="dxa"/>
            <w:shd w:val="clear" w:color="auto" w:fill="auto"/>
            <w:noWrap/>
            <w:vAlign w:val="center"/>
            <w:hideMark/>
          </w:tcPr>
          <w:p w14:paraId="20180E5C"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0.389</w:t>
            </w:r>
          </w:p>
        </w:tc>
        <w:tc>
          <w:tcPr>
            <w:tcW w:w="1372" w:type="dxa"/>
            <w:shd w:val="clear" w:color="auto" w:fill="auto"/>
            <w:noWrap/>
            <w:vAlign w:val="center"/>
            <w:hideMark/>
          </w:tcPr>
          <w:p w14:paraId="55EB8FF9"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0.31465603</w:t>
            </w:r>
          </w:p>
        </w:tc>
      </w:tr>
      <w:tr w:rsidR="00915F6A" w:rsidRPr="00385F25" w14:paraId="30AB9873" w14:textId="77777777" w:rsidTr="005A00B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021E8FBA" w14:textId="77777777" w:rsidR="00915F6A" w:rsidRPr="00385F25" w:rsidRDefault="00915F6A" w:rsidP="007E7921">
            <w:pPr>
              <w:jc w:val="center"/>
              <w:rPr>
                <w:color w:val="000000"/>
              </w:rPr>
            </w:pPr>
            <w:r w:rsidRPr="00385F25">
              <w:rPr>
                <w:color w:val="000000"/>
              </w:rPr>
              <w:t>K-means</w:t>
            </w:r>
          </w:p>
        </w:tc>
        <w:tc>
          <w:tcPr>
            <w:tcW w:w="1866" w:type="dxa"/>
            <w:shd w:val="clear" w:color="auto" w:fill="auto"/>
            <w:noWrap/>
            <w:vAlign w:val="center"/>
            <w:hideMark/>
          </w:tcPr>
          <w:p w14:paraId="697C922F"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normalized data</w:t>
            </w:r>
          </w:p>
        </w:tc>
        <w:tc>
          <w:tcPr>
            <w:tcW w:w="1300" w:type="dxa"/>
            <w:shd w:val="clear" w:color="auto" w:fill="auto"/>
            <w:noWrap/>
            <w:vAlign w:val="center"/>
            <w:hideMark/>
          </w:tcPr>
          <w:p w14:paraId="6B00F715"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4</w:t>
            </w:r>
          </w:p>
        </w:tc>
        <w:tc>
          <w:tcPr>
            <w:tcW w:w="1372" w:type="dxa"/>
            <w:shd w:val="clear" w:color="auto" w:fill="auto"/>
            <w:noWrap/>
            <w:vAlign w:val="center"/>
            <w:hideMark/>
          </w:tcPr>
          <w:p w14:paraId="1F13C197"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0.37239999</w:t>
            </w:r>
          </w:p>
        </w:tc>
        <w:tc>
          <w:tcPr>
            <w:tcW w:w="1372" w:type="dxa"/>
            <w:shd w:val="clear" w:color="auto" w:fill="auto"/>
            <w:noWrap/>
            <w:vAlign w:val="center"/>
            <w:hideMark/>
          </w:tcPr>
          <w:p w14:paraId="53F67321"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0.3811878</w:t>
            </w:r>
          </w:p>
        </w:tc>
      </w:tr>
      <w:tr w:rsidR="00915F6A" w:rsidRPr="00385F25" w14:paraId="1B18EA9C" w14:textId="77777777" w:rsidTr="005A00BB">
        <w:trPr>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420436FD" w14:textId="77777777" w:rsidR="00915F6A" w:rsidRPr="00385F25" w:rsidRDefault="00915F6A" w:rsidP="007E7921">
            <w:pPr>
              <w:jc w:val="center"/>
              <w:rPr>
                <w:color w:val="000000"/>
              </w:rPr>
            </w:pPr>
            <w:r w:rsidRPr="00385F25">
              <w:rPr>
                <w:color w:val="000000"/>
              </w:rPr>
              <w:t>Hierarchical Clustering</w:t>
            </w:r>
          </w:p>
        </w:tc>
        <w:tc>
          <w:tcPr>
            <w:tcW w:w="1866" w:type="dxa"/>
            <w:shd w:val="clear" w:color="auto" w:fill="auto"/>
            <w:noWrap/>
            <w:vAlign w:val="center"/>
            <w:hideMark/>
          </w:tcPr>
          <w:p w14:paraId="36BE5F21"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original data</w:t>
            </w:r>
          </w:p>
        </w:tc>
        <w:tc>
          <w:tcPr>
            <w:tcW w:w="1300" w:type="dxa"/>
            <w:shd w:val="clear" w:color="auto" w:fill="auto"/>
            <w:noWrap/>
            <w:vAlign w:val="center"/>
            <w:hideMark/>
          </w:tcPr>
          <w:p w14:paraId="405438F3"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4</w:t>
            </w:r>
          </w:p>
        </w:tc>
        <w:tc>
          <w:tcPr>
            <w:tcW w:w="1372" w:type="dxa"/>
            <w:shd w:val="clear" w:color="auto" w:fill="auto"/>
            <w:noWrap/>
            <w:vAlign w:val="center"/>
            <w:hideMark/>
          </w:tcPr>
          <w:p w14:paraId="7A199273"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0.3511</w:t>
            </w:r>
          </w:p>
        </w:tc>
        <w:tc>
          <w:tcPr>
            <w:tcW w:w="1372" w:type="dxa"/>
            <w:shd w:val="clear" w:color="auto" w:fill="auto"/>
            <w:noWrap/>
            <w:vAlign w:val="center"/>
            <w:hideMark/>
          </w:tcPr>
          <w:p w14:paraId="42142D41"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0.23090465</w:t>
            </w:r>
          </w:p>
        </w:tc>
      </w:tr>
      <w:tr w:rsidR="00915F6A" w:rsidRPr="00385F25" w14:paraId="70951778" w14:textId="77777777" w:rsidTr="005A00B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25ED2DE7" w14:textId="77777777" w:rsidR="00915F6A" w:rsidRPr="00385F25" w:rsidRDefault="00915F6A" w:rsidP="007E7921">
            <w:pPr>
              <w:jc w:val="center"/>
              <w:rPr>
                <w:color w:val="000000"/>
              </w:rPr>
            </w:pPr>
            <w:r w:rsidRPr="00385F25">
              <w:rPr>
                <w:color w:val="000000"/>
              </w:rPr>
              <w:t>Hierarchical Clustering</w:t>
            </w:r>
          </w:p>
        </w:tc>
        <w:tc>
          <w:tcPr>
            <w:tcW w:w="1866" w:type="dxa"/>
            <w:shd w:val="clear" w:color="auto" w:fill="auto"/>
            <w:noWrap/>
            <w:vAlign w:val="center"/>
            <w:hideMark/>
          </w:tcPr>
          <w:p w14:paraId="1706B87C"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normalized data</w:t>
            </w:r>
          </w:p>
        </w:tc>
        <w:tc>
          <w:tcPr>
            <w:tcW w:w="1300" w:type="dxa"/>
            <w:shd w:val="clear" w:color="auto" w:fill="auto"/>
            <w:noWrap/>
            <w:vAlign w:val="center"/>
            <w:hideMark/>
          </w:tcPr>
          <w:p w14:paraId="77E01E0C"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4</w:t>
            </w:r>
          </w:p>
        </w:tc>
        <w:tc>
          <w:tcPr>
            <w:tcW w:w="1372" w:type="dxa"/>
            <w:shd w:val="clear" w:color="auto" w:fill="auto"/>
            <w:noWrap/>
            <w:vAlign w:val="center"/>
            <w:hideMark/>
          </w:tcPr>
          <w:p w14:paraId="6BEDAA9E"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0.3493</w:t>
            </w:r>
          </w:p>
        </w:tc>
        <w:tc>
          <w:tcPr>
            <w:tcW w:w="1372" w:type="dxa"/>
            <w:shd w:val="clear" w:color="auto" w:fill="auto"/>
            <w:noWrap/>
            <w:vAlign w:val="center"/>
            <w:hideMark/>
          </w:tcPr>
          <w:p w14:paraId="17B75DC5"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0.33875248</w:t>
            </w:r>
          </w:p>
        </w:tc>
      </w:tr>
      <w:tr w:rsidR="00915F6A" w:rsidRPr="00385F25" w14:paraId="10EED77F" w14:textId="77777777" w:rsidTr="005A00BB">
        <w:trPr>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22B24CAF" w14:textId="77777777" w:rsidR="00915F6A" w:rsidRPr="00385F25" w:rsidRDefault="00915F6A" w:rsidP="007E7921">
            <w:pPr>
              <w:jc w:val="center"/>
              <w:rPr>
                <w:color w:val="000000"/>
              </w:rPr>
            </w:pPr>
            <w:r w:rsidRPr="00385F25">
              <w:rPr>
                <w:color w:val="000000"/>
              </w:rPr>
              <w:t>K-medoids</w:t>
            </w:r>
          </w:p>
        </w:tc>
        <w:tc>
          <w:tcPr>
            <w:tcW w:w="1866" w:type="dxa"/>
            <w:shd w:val="clear" w:color="auto" w:fill="auto"/>
            <w:noWrap/>
            <w:vAlign w:val="center"/>
            <w:hideMark/>
          </w:tcPr>
          <w:p w14:paraId="2D34933E"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normalized data</w:t>
            </w:r>
          </w:p>
        </w:tc>
        <w:tc>
          <w:tcPr>
            <w:tcW w:w="1300" w:type="dxa"/>
            <w:shd w:val="clear" w:color="auto" w:fill="auto"/>
            <w:noWrap/>
            <w:vAlign w:val="center"/>
            <w:hideMark/>
          </w:tcPr>
          <w:p w14:paraId="550177CE"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4</w:t>
            </w:r>
          </w:p>
        </w:tc>
        <w:tc>
          <w:tcPr>
            <w:tcW w:w="1372" w:type="dxa"/>
            <w:shd w:val="clear" w:color="auto" w:fill="auto"/>
            <w:noWrap/>
            <w:vAlign w:val="center"/>
            <w:hideMark/>
          </w:tcPr>
          <w:p w14:paraId="345E0236"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0.34195504</w:t>
            </w:r>
          </w:p>
        </w:tc>
        <w:tc>
          <w:tcPr>
            <w:tcW w:w="1372" w:type="dxa"/>
            <w:shd w:val="clear" w:color="auto" w:fill="auto"/>
            <w:noWrap/>
            <w:vAlign w:val="center"/>
            <w:hideMark/>
          </w:tcPr>
          <w:p w14:paraId="1587AC6F"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0.3811878</w:t>
            </w:r>
          </w:p>
        </w:tc>
      </w:tr>
      <w:tr w:rsidR="00915F6A" w:rsidRPr="00385F25" w14:paraId="43462101" w14:textId="77777777" w:rsidTr="005A00B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35CDED51" w14:textId="77777777" w:rsidR="00915F6A" w:rsidRPr="00385F25" w:rsidRDefault="00915F6A" w:rsidP="007E7921">
            <w:pPr>
              <w:jc w:val="center"/>
              <w:rPr>
                <w:color w:val="000000"/>
              </w:rPr>
            </w:pPr>
            <w:r w:rsidRPr="00385F25">
              <w:rPr>
                <w:color w:val="000000"/>
              </w:rPr>
              <w:t>K-medoids</w:t>
            </w:r>
          </w:p>
        </w:tc>
        <w:tc>
          <w:tcPr>
            <w:tcW w:w="1866" w:type="dxa"/>
            <w:shd w:val="clear" w:color="auto" w:fill="auto"/>
            <w:noWrap/>
            <w:vAlign w:val="center"/>
            <w:hideMark/>
          </w:tcPr>
          <w:p w14:paraId="38160F86"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original data</w:t>
            </w:r>
          </w:p>
        </w:tc>
        <w:tc>
          <w:tcPr>
            <w:tcW w:w="1300" w:type="dxa"/>
            <w:shd w:val="clear" w:color="auto" w:fill="auto"/>
            <w:noWrap/>
            <w:vAlign w:val="center"/>
            <w:hideMark/>
          </w:tcPr>
          <w:p w14:paraId="415E4C04"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4</w:t>
            </w:r>
          </w:p>
        </w:tc>
        <w:tc>
          <w:tcPr>
            <w:tcW w:w="1372" w:type="dxa"/>
            <w:shd w:val="clear" w:color="auto" w:fill="auto"/>
            <w:noWrap/>
            <w:vAlign w:val="center"/>
            <w:hideMark/>
          </w:tcPr>
          <w:p w14:paraId="5997021B"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0.30958319</w:t>
            </w:r>
          </w:p>
        </w:tc>
        <w:tc>
          <w:tcPr>
            <w:tcW w:w="1372" w:type="dxa"/>
            <w:shd w:val="clear" w:color="auto" w:fill="auto"/>
            <w:noWrap/>
            <w:vAlign w:val="center"/>
            <w:hideMark/>
          </w:tcPr>
          <w:p w14:paraId="113898AF"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0.33154957</w:t>
            </w:r>
          </w:p>
        </w:tc>
      </w:tr>
      <w:tr w:rsidR="00915F6A" w:rsidRPr="00385F25" w14:paraId="6473FE60" w14:textId="77777777" w:rsidTr="005A00BB">
        <w:trPr>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746CFC60" w14:textId="77777777" w:rsidR="00915F6A" w:rsidRPr="00385F25" w:rsidRDefault="00915F6A" w:rsidP="007E7921">
            <w:pPr>
              <w:jc w:val="center"/>
              <w:rPr>
                <w:color w:val="000000"/>
              </w:rPr>
            </w:pPr>
            <w:r w:rsidRPr="00385F25">
              <w:rPr>
                <w:color w:val="000000"/>
              </w:rPr>
              <w:t>AP</w:t>
            </w:r>
          </w:p>
        </w:tc>
        <w:tc>
          <w:tcPr>
            <w:tcW w:w="1866" w:type="dxa"/>
            <w:shd w:val="clear" w:color="auto" w:fill="auto"/>
            <w:noWrap/>
            <w:vAlign w:val="center"/>
            <w:hideMark/>
          </w:tcPr>
          <w:p w14:paraId="141AE6FD"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original data</w:t>
            </w:r>
          </w:p>
        </w:tc>
        <w:tc>
          <w:tcPr>
            <w:tcW w:w="1300" w:type="dxa"/>
            <w:shd w:val="clear" w:color="auto" w:fill="auto"/>
            <w:noWrap/>
            <w:vAlign w:val="center"/>
            <w:hideMark/>
          </w:tcPr>
          <w:p w14:paraId="671C31FA"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17</w:t>
            </w:r>
          </w:p>
        </w:tc>
        <w:tc>
          <w:tcPr>
            <w:tcW w:w="1372" w:type="dxa"/>
            <w:shd w:val="clear" w:color="auto" w:fill="auto"/>
            <w:noWrap/>
            <w:vAlign w:val="center"/>
            <w:hideMark/>
          </w:tcPr>
          <w:p w14:paraId="3FB63B42"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0.30899999</w:t>
            </w:r>
          </w:p>
        </w:tc>
        <w:tc>
          <w:tcPr>
            <w:tcW w:w="1372" w:type="dxa"/>
            <w:shd w:val="clear" w:color="auto" w:fill="auto"/>
            <w:noWrap/>
            <w:vAlign w:val="center"/>
            <w:hideMark/>
          </w:tcPr>
          <w:p w14:paraId="4D0C1AFB"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0.09132933</w:t>
            </w:r>
          </w:p>
        </w:tc>
      </w:tr>
      <w:tr w:rsidR="00915F6A" w:rsidRPr="00385F25" w14:paraId="06B195DB" w14:textId="77777777" w:rsidTr="005A00B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50F297FE" w14:textId="77777777" w:rsidR="00915F6A" w:rsidRPr="00385F25" w:rsidRDefault="00915F6A" w:rsidP="007E7921">
            <w:pPr>
              <w:jc w:val="center"/>
              <w:rPr>
                <w:color w:val="000000"/>
              </w:rPr>
            </w:pPr>
            <w:r w:rsidRPr="00385F25">
              <w:rPr>
                <w:color w:val="000000"/>
              </w:rPr>
              <w:t>SC</w:t>
            </w:r>
          </w:p>
        </w:tc>
        <w:tc>
          <w:tcPr>
            <w:tcW w:w="1866" w:type="dxa"/>
            <w:shd w:val="clear" w:color="auto" w:fill="auto"/>
            <w:noWrap/>
            <w:vAlign w:val="center"/>
            <w:hideMark/>
          </w:tcPr>
          <w:p w14:paraId="05BDD36D"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normalized data</w:t>
            </w:r>
          </w:p>
        </w:tc>
        <w:tc>
          <w:tcPr>
            <w:tcW w:w="1300" w:type="dxa"/>
            <w:shd w:val="clear" w:color="auto" w:fill="auto"/>
            <w:noWrap/>
            <w:vAlign w:val="center"/>
            <w:hideMark/>
          </w:tcPr>
          <w:p w14:paraId="5E64C281"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4</w:t>
            </w:r>
          </w:p>
        </w:tc>
        <w:tc>
          <w:tcPr>
            <w:tcW w:w="1372" w:type="dxa"/>
            <w:shd w:val="clear" w:color="auto" w:fill="auto"/>
            <w:noWrap/>
            <w:vAlign w:val="center"/>
            <w:hideMark/>
          </w:tcPr>
          <w:p w14:paraId="5A86BAC2"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0.3089</w:t>
            </w:r>
          </w:p>
        </w:tc>
        <w:tc>
          <w:tcPr>
            <w:tcW w:w="1372" w:type="dxa"/>
            <w:shd w:val="clear" w:color="auto" w:fill="auto"/>
            <w:noWrap/>
            <w:vAlign w:val="center"/>
            <w:hideMark/>
          </w:tcPr>
          <w:p w14:paraId="7DB793E4"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0.39571553</w:t>
            </w:r>
          </w:p>
        </w:tc>
      </w:tr>
      <w:tr w:rsidR="00915F6A" w:rsidRPr="00385F25" w14:paraId="6DE798B7" w14:textId="77777777" w:rsidTr="005A00BB">
        <w:trPr>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65CEA821" w14:textId="77777777" w:rsidR="00915F6A" w:rsidRPr="00385F25" w:rsidRDefault="00915F6A" w:rsidP="007E7921">
            <w:pPr>
              <w:jc w:val="center"/>
              <w:rPr>
                <w:color w:val="000000"/>
              </w:rPr>
            </w:pPr>
            <w:r w:rsidRPr="00385F25">
              <w:rPr>
                <w:color w:val="000000"/>
              </w:rPr>
              <w:t>SC</w:t>
            </w:r>
          </w:p>
        </w:tc>
        <w:tc>
          <w:tcPr>
            <w:tcW w:w="1866" w:type="dxa"/>
            <w:shd w:val="clear" w:color="auto" w:fill="auto"/>
            <w:noWrap/>
            <w:vAlign w:val="center"/>
            <w:hideMark/>
          </w:tcPr>
          <w:p w14:paraId="4414F552"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original data</w:t>
            </w:r>
          </w:p>
        </w:tc>
        <w:tc>
          <w:tcPr>
            <w:tcW w:w="1300" w:type="dxa"/>
            <w:shd w:val="clear" w:color="auto" w:fill="auto"/>
            <w:noWrap/>
            <w:vAlign w:val="center"/>
            <w:hideMark/>
          </w:tcPr>
          <w:p w14:paraId="731423E0"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4</w:t>
            </w:r>
          </w:p>
        </w:tc>
        <w:tc>
          <w:tcPr>
            <w:tcW w:w="1372" w:type="dxa"/>
            <w:shd w:val="clear" w:color="auto" w:fill="auto"/>
            <w:noWrap/>
            <w:vAlign w:val="center"/>
            <w:hideMark/>
          </w:tcPr>
          <w:p w14:paraId="66B14774"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0.3044</w:t>
            </w:r>
          </w:p>
        </w:tc>
        <w:tc>
          <w:tcPr>
            <w:tcW w:w="1372" w:type="dxa"/>
            <w:shd w:val="clear" w:color="auto" w:fill="auto"/>
            <w:noWrap/>
            <w:vAlign w:val="center"/>
            <w:hideMark/>
          </w:tcPr>
          <w:p w14:paraId="3A0F0961"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0.05672896</w:t>
            </w:r>
          </w:p>
        </w:tc>
      </w:tr>
      <w:tr w:rsidR="00915F6A" w:rsidRPr="00385F25" w14:paraId="5969A9E7" w14:textId="77777777" w:rsidTr="005A00B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68DA9372" w14:textId="77777777" w:rsidR="00915F6A" w:rsidRPr="00385F25" w:rsidRDefault="00915F6A" w:rsidP="007E7921">
            <w:pPr>
              <w:jc w:val="center"/>
              <w:rPr>
                <w:color w:val="000000"/>
              </w:rPr>
            </w:pPr>
            <w:r w:rsidRPr="00385F25">
              <w:rPr>
                <w:color w:val="000000"/>
              </w:rPr>
              <w:t>AP</w:t>
            </w:r>
          </w:p>
        </w:tc>
        <w:tc>
          <w:tcPr>
            <w:tcW w:w="1866" w:type="dxa"/>
            <w:shd w:val="clear" w:color="auto" w:fill="auto"/>
            <w:noWrap/>
            <w:vAlign w:val="center"/>
            <w:hideMark/>
          </w:tcPr>
          <w:p w14:paraId="24577D11"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normalized data</w:t>
            </w:r>
          </w:p>
        </w:tc>
        <w:tc>
          <w:tcPr>
            <w:tcW w:w="1300" w:type="dxa"/>
            <w:shd w:val="clear" w:color="auto" w:fill="auto"/>
            <w:noWrap/>
            <w:vAlign w:val="center"/>
            <w:hideMark/>
          </w:tcPr>
          <w:p w14:paraId="4B65CA4B"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15</w:t>
            </w:r>
          </w:p>
        </w:tc>
        <w:tc>
          <w:tcPr>
            <w:tcW w:w="1372" w:type="dxa"/>
            <w:shd w:val="clear" w:color="auto" w:fill="auto"/>
            <w:noWrap/>
            <w:vAlign w:val="center"/>
            <w:hideMark/>
          </w:tcPr>
          <w:p w14:paraId="1B0E8646"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0.29519999</w:t>
            </w:r>
          </w:p>
        </w:tc>
        <w:tc>
          <w:tcPr>
            <w:tcW w:w="1372" w:type="dxa"/>
            <w:shd w:val="clear" w:color="auto" w:fill="auto"/>
            <w:noWrap/>
            <w:vAlign w:val="center"/>
            <w:hideMark/>
          </w:tcPr>
          <w:p w14:paraId="1741FBE8"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0.12487027</w:t>
            </w:r>
          </w:p>
        </w:tc>
      </w:tr>
      <w:tr w:rsidR="00915F6A" w:rsidRPr="00385F25" w14:paraId="2AD377AE" w14:textId="77777777" w:rsidTr="005A00BB">
        <w:trPr>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45A7ECB7" w14:textId="77777777" w:rsidR="00915F6A" w:rsidRPr="00385F25" w:rsidRDefault="00915F6A" w:rsidP="007E7921">
            <w:pPr>
              <w:jc w:val="center"/>
              <w:rPr>
                <w:color w:val="000000"/>
              </w:rPr>
            </w:pPr>
            <w:r w:rsidRPr="00385F25">
              <w:rPr>
                <w:color w:val="000000"/>
              </w:rPr>
              <w:t>DBSCAN</w:t>
            </w:r>
          </w:p>
        </w:tc>
        <w:tc>
          <w:tcPr>
            <w:tcW w:w="1866" w:type="dxa"/>
            <w:shd w:val="clear" w:color="auto" w:fill="auto"/>
            <w:noWrap/>
            <w:vAlign w:val="center"/>
            <w:hideMark/>
          </w:tcPr>
          <w:p w14:paraId="5631149A"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original data</w:t>
            </w:r>
          </w:p>
        </w:tc>
        <w:tc>
          <w:tcPr>
            <w:tcW w:w="1300" w:type="dxa"/>
            <w:shd w:val="clear" w:color="auto" w:fill="auto"/>
            <w:noWrap/>
            <w:vAlign w:val="center"/>
            <w:hideMark/>
          </w:tcPr>
          <w:p w14:paraId="33F035E8"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1</w:t>
            </w:r>
          </w:p>
        </w:tc>
        <w:tc>
          <w:tcPr>
            <w:tcW w:w="1372" w:type="dxa"/>
            <w:shd w:val="clear" w:color="auto" w:fill="auto"/>
            <w:noWrap/>
            <w:vAlign w:val="center"/>
            <w:hideMark/>
          </w:tcPr>
          <w:p w14:paraId="2150D695"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w:t>
            </w:r>
          </w:p>
        </w:tc>
        <w:tc>
          <w:tcPr>
            <w:tcW w:w="1372" w:type="dxa"/>
            <w:shd w:val="clear" w:color="auto" w:fill="auto"/>
            <w:noWrap/>
            <w:vAlign w:val="center"/>
            <w:hideMark/>
          </w:tcPr>
          <w:p w14:paraId="3544C8AD"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w:t>
            </w:r>
          </w:p>
        </w:tc>
      </w:tr>
      <w:tr w:rsidR="00915F6A" w:rsidRPr="00385F25" w14:paraId="1791EA1F" w14:textId="77777777" w:rsidTr="005A00B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0DA31818" w14:textId="77777777" w:rsidR="00915F6A" w:rsidRPr="00385F25" w:rsidRDefault="00915F6A" w:rsidP="007E7921">
            <w:pPr>
              <w:jc w:val="center"/>
              <w:rPr>
                <w:color w:val="000000"/>
              </w:rPr>
            </w:pPr>
            <w:r w:rsidRPr="00385F25">
              <w:rPr>
                <w:color w:val="000000"/>
              </w:rPr>
              <w:t>DBSCAN</w:t>
            </w:r>
          </w:p>
        </w:tc>
        <w:tc>
          <w:tcPr>
            <w:tcW w:w="1866" w:type="dxa"/>
            <w:shd w:val="clear" w:color="auto" w:fill="auto"/>
            <w:noWrap/>
            <w:vAlign w:val="center"/>
            <w:hideMark/>
          </w:tcPr>
          <w:p w14:paraId="44E007F1"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normalized data</w:t>
            </w:r>
          </w:p>
        </w:tc>
        <w:tc>
          <w:tcPr>
            <w:tcW w:w="1300" w:type="dxa"/>
            <w:shd w:val="clear" w:color="auto" w:fill="auto"/>
            <w:noWrap/>
            <w:vAlign w:val="center"/>
            <w:hideMark/>
          </w:tcPr>
          <w:p w14:paraId="619D7D5E"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1</w:t>
            </w:r>
          </w:p>
        </w:tc>
        <w:tc>
          <w:tcPr>
            <w:tcW w:w="1372" w:type="dxa"/>
            <w:shd w:val="clear" w:color="auto" w:fill="auto"/>
            <w:noWrap/>
            <w:vAlign w:val="center"/>
            <w:hideMark/>
          </w:tcPr>
          <w:p w14:paraId="71DF70A9"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w:t>
            </w:r>
          </w:p>
        </w:tc>
        <w:tc>
          <w:tcPr>
            <w:tcW w:w="1372" w:type="dxa"/>
            <w:shd w:val="clear" w:color="auto" w:fill="auto"/>
            <w:noWrap/>
            <w:vAlign w:val="center"/>
            <w:hideMark/>
          </w:tcPr>
          <w:p w14:paraId="23F20AB8"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w:t>
            </w:r>
          </w:p>
        </w:tc>
      </w:tr>
      <w:tr w:rsidR="00915F6A" w:rsidRPr="00385F25" w14:paraId="1A643BD5" w14:textId="77777777" w:rsidTr="005A00BB">
        <w:trPr>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53CF605B" w14:textId="77777777" w:rsidR="00915F6A" w:rsidRPr="00385F25" w:rsidRDefault="00915F6A" w:rsidP="007E7921">
            <w:pPr>
              <w:jc w:val="center"/>
              <w:rPr>
                <w:color w:val="000000"/>
              </w:rPr>
            </w:pPr>
            <w:r w:rsidRPr="00385F25">
              <w:rPr>
                <w:color w:val="000000"/>
              </w:rPr>
              <w:t>BIRTCH</w:t>
            </w:r>
          </w:p>
        </w:tc>
        <w:tc>
          <w:tcPr>
            <w:tcW w:w="1866" w:type="dxa"/>
            <w:shd w:val="clear" w:color="auto" w:fill="auto"/>
            <w:noWrap/>
            <w:vAlign w:val="center"/>
            <w:hideMark/>
          </w:tcPr>
          <w:p w14:paraId="55B06CA2"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normalized data</w:t>
            </w:r>
          </w:p>
        </w:tc>
        <w:tc>
          <w:tcPr>
            <w:tcW w:w="1300" w:type="dxa"/>
            <w:shd w:val="clear" w:color="auto" w:fill="auto"/>
            <w:noWrap/>
            <w:vAlign w:val="center"/>
            <w:hideMark/>
          </w:tcPr>
          <w:p w14:paraId="6C445A11"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1</w:t>
            </w:r>
          </w:p>
        </w:tc>
        <w:tc>
          <w:tcPr>
            <w:tcW w:w="1372" w:type="dxa"/>
            <w:shd w:val="clear" w:color="auto" w:fill="auto"/>
            <w:noWrap/>
            <w:vAlign w:val="center"/>
            <w:hideMark/>
          </w:tcPr>
          <w:p w14:paraId="15402881"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w:t>
            </w:r>
          </w:p>
        </w:tc>
        <w:tc>
          <w:tcPr>
            <w:tcW w:w="1372" w:type="dxa"/>
            <w:shd w:val="clear" w:color="auto" w:fill="auto"/>
            <w:noWrap/>
            <w:vAlign w:val="center"/>
            <w:hideMark/>
          </w:tcPr>
          <w:p w14:paraId="595E86BF"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w:t>
            </w:r>
          </w:p>
        </w:tc>
      </w:tr>
      <w:tr w:rsidR="00915F6A" w:rsidRPr="00385F25" w14:paraId="6FE66762" w14:textId="77777777" w:rsidTr="005A00B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12582A2E" w14:textId="77777777" w:rsidR="00915F6A" w:rsidRPr="00385F25" w:rsidRDefault="00915F6A" w:rsidP="007E7921">
            <w:pPr>
              <w:jc w:val="center"/>
              <w:rPr>
                <w:color w:val="000000"/>
              </w:rPr>
            </w:pPr>
            <w:r w:rsidRPr="00385F25">
              <w:rPr>
                <w:color w:val="000000"/>
              </w:rPr>
              <w:t>OPTICS</w:t>
            </w:r>
          </w:p>
        </w:tc>
        <w:tc>
          <w:tcPr>
            <w:tcW w:w="1866" w:type="dxa"/>
            <w:shd w:val="clear" w:color="auto" w:fill="auto"/>
            <w:noWrap/>
            <w:vAlign w:val="center"/>
            <w:hideMark/>
          </w:tcPr>
          <w:p w14:paraId="5B56EB58"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original data</w:t>
            </w:r>
          </w:p>
        </w:tc>
        <w:tc>
          <w:tcPr>
            <w:tcW w:w="1300" w:type="dxa"/>
            <w:shd w:val="clear" w:color="auto" w:fill="auto"/>
            <w:noWrap/>
            <w:vAlign w:val="center"/>
            <w:hideMark/>
          </w:tcPr>
          <w:p w14:paraId="308F777F"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12</w:t>
            </w:r>
          </w:p>
        </w:tc>
        <w:tc>
          <w:tcPr>
            <w:tcW w:w="1372" w:type="dxa"/>
            <w:shd w:val="clear" w:color="auto" w:fill="auto"/>
            <w:noWrap/>
            <w:vAlign w:val="center"/>
            <w:hideMark/>
          </w:tcPr>
          <w:p w14:paraId="0AE80587"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-0.2278</w:t>
            </w:r>
          </w:p>
        </w:tc>
        <w:tc>
          <w:tcPr>
            <w:tcW w:w="1372" w:type="dxa"/>
            <w:shd w:val="clear" w:color="auto" w:fill="auto"/>
            <w:noWrap/>
            <w:vAlign w:val="center"/>
            <w:hideMark/>
          </w:tcPr>
          <w:p w14:paraId="0228BCFA"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-0.0009027</w:t>
            </w:r>
          </w:p>
        </w:tc>
      </w:tr>
      <w:tr w:rsidR="00915F6A" w:rsidRPr="00385F25" w14:paraId="27FB8D6B" w14:textId="77777777" w:rsidTr="005A00BB">
        <w:trPr>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75190D04" w14:textId="77777777" w:rsidR="00915F6A" w:rsidRPr="00385F25" w:rsidRDefault="00915F6A" w:rsidP="007E7921">
            <w:pPr>
              <w:jc w:val="center"/>
              <w:rPr>
                <w:color w:val="000000"/>
              </w:rPr>
            </w:pPr>
            <w:r w:rsidRPr="00385F25">
              <w:rPr>
                <w:color w:val="000000"/>
              </w:rPr>
              <w:t>OPTICS</w:t>
            </w:r>
          </w:p>
        </w:tc>
        <w:tc>
          <w:tcPr>
            <w:tcW w:w="1866" w:type="dxa"/>
            <w:shd w:val="clear" w:color="auto" w:fill="auto"/>
            <w:noWrap/>
            <w:vAlign w:val="center"/>
            <w:hideMark/>
          </w:tcPr>
          <w:p w14:paraId="5D15514E"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normalized data</w:t>
            </w:r>
          </w:p>
        </w:tc>
        <w:tc>
          <w:tcPr>
            <w:tcW w:w="1300" w:type="dxa"/>
            <w:shd w:val="clear" w:color="auto" w:fill="auto"/>
            <w:noWrap/>
            <w:vAlign w:val="center"/>
            <w:hideMark/>
          </w:tcPr>
          <w:p w14:paraId="15DD0B1C"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10</w:t>
            </w:r>
          </w:p>
        </w:tc>
        <w:tc>
          <w:tcPr>
            <w:tcW w:w="1372" w:type="dxa"/>
            <w:shd w:val="clear" w:color="auto" w:fill="auto"/>
            <w:noWrap/>
            <w:vAlign w:val="center"/>
            <w:hideMark/>
          </w:tcPr>
          <w:p w14:paraId="5BFFE89E"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-0.256</w:t>
            </w:r>
          </w:p>
        </w:tc>
        <w:tc>
          <w:tcPr>
            <w:tcW w:w="1372" w:type="dxa"/>
            <w:shd w:val="clear" w:color="auto" w:fill="auto"/>
            <w:noWrap/>
            <w:vAlign w:val="center"/>
            <w:hideMark/>
          </w:tcPr>
          <w:p w14:paraId="038BDF20"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0.00462037</w:t>
            </w:r>
          </w:p>
        </w:tc>
      </w:tr>
      <w:tr w:rsidR="00915F6A" w:rsidRPr="00385F25" w14:paraId="55D73F9C" w14:textId="77777777" w:rsidTr="005A00BB">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786CFD96" w14:textId="77777777" w:rsidR="00915F6A" w:rsidRPr="00385F25" w:rsidRDefault="00915F6A" w:rsidP="007E7921">
            <w:pPr>
              <w:jc w:val="center"/>
              <w:rPr>
                <w:color w:val="000000"/>
              </w:rPr>
            </w:pPr>
            <w:r w:rsidRPr="00385F25">
              <w:rPr>
                <w:color w:val="000000"/>
              </w:rPr>
              <w:t>K-modes</w:t>
            </w:r>
          </w:p>
        </w:tc>
        <w:tc>
          <w:tcPr>
            <w:tcW w:w="1866" w:type="dxa"/>
            <w:shd w:val="clear" w:color="auto" w:fill="auto"/>
            <w:noWrap/>
            <w:vAlign w:val="center"/>
            <w:hideMark/>
          </w:tcPr>
          <w:p w14:paraId="08495AC8"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original data</w:t>
            </w:r>
          </w:p>
        </w:tc>
        <w:tc>
          <w:tcPr>
            <w:tcW w:w="1300" w:type="dxa"/>
            <w:shd w:val="clear" w:color="auto" w:fill="auto"/>
            <w:noWrap/>
            <w:vAlign w:val="center"/>
            <w:hideMark/>
          </w:tcPr>
          <w:p w14:paraId="012C64BB"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4</w:t>
            </w:r>
          </w:p>
        </w:tc>
        <w:tc>
          <w:tcPr>
            <w:tcW w:w="1372" w:type="dxa"/>
            <w:shd w:val="clear" w:color="auto" w:fill="auto"/>
            <w:noWrap/>
            <w:vAlign w:val="center"/>
            <w:hideMark/>
          </w:tcPr>
          <w:p w14:paraId="1F2104A5"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-0.3124</w:t>
            </w:r>
          </w:p>
        </w:tc>
        <w:tc>
          <w:tcPr>
            <w:tcW w:w="1372" w:type="dxa"/>
            <w:shd w:val="clear" w:color="auto" w:fill="auto"/>
            <w:noWrap/>
            <w:vAlign w:val="center"/>
            <w:hideMark/>
          </w:tcPr>
          <w:p w14:paraId="50BBF5F3" w14:textId="77777777" w:rsidR="00915F6A" w:rsidRPr="00385F25" w:rsidRDefault="00915F6A" w:rsidP="007E7921">
            <w:pPr>
              <w:jc w:val="center"/>
              <w:cnfStyle w:val="000000100000" w:firstRow="0" w:lastRow="0" w:firstColumn="0" w:lastColumn="0" w:oddVBand="0" w:evenVBand="0" w:oddHBand="1" w:evenHBand="0" w:firstRowFirstColumn="0" w:firstRowLastColumn="0" w:lastRowFirstColumn="0" w:lastRowLastColumn="0"/>
              <w:rPr>
                <w:color w:val="000000"/>
              </w:rPr>
            </w:pPr>
            <w:r w:rsidRPr="00385F25">
              <w:rPr>
                <w:color w:val="000000"/>
              </w:rPr>
              <w:t>-0.0021754</w:t>
            </w:r>
          </w:p>
        </w:tc>
      </w:tr>
      <w:tr w:rsidR="00915F6A" w:rsidRPr="00385F25" w14:paraId="4BEEDB5E" w14:textId="77777777" w:rsidTr="005A00BB">
        <w:trPr>
          <w:trHeight w:val="320"/>
          <w:jc w:val="center"/>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noWrap/>
            <w:vAlign w:val="center"/>
            <w:hideMark/>
          </w:tcPr>
          <w:p w14:paraId="3DB01B0A" w14:textId="77777777" w:rsidR="00915F6A" w:rsidRPr="00385F25" w:rsidRDefault="00915F6A" w:rsidP="007E7921">
            <w:pPr>
              <w:jc w:val="center"/>
              <w:rPr>
                <w:color w:val="000000"/>
              </w:rPr>
            </w:pPr>
            <w:r w:rsidRPr="00385F25">
              <w:rPr>
                <w:color w:val="000000"/>
              </w:rPr>
              <w:t>K-modes</w:t>
            </w:r>
          </w:p>
        </w:tc>
        <w:tc>
          <w:tcPr>
            <w:tcW w:w="1866" w:type="dxa"/>
            <w:shd w:val="clear" w:color="auto" w:fill="auto"/>
            <w:noWrap/>
            <w:vAlign w:val="center"/>
            <w:hideMark/>
          </w:tcPr>
          <w:p w14:paraId="280A2088"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normalized data</w:t>
            </w:r>
          </w:p>
        </w:tc>
        <w:tc>
          <w:tcPr>
            <w:tcW w:w="1300" w:type="dxa"/>
            <w:shd w:val="clear" w:color="auto" w:fill="auto"/>
            <w:noWrap/>
            <w:vAlign w:val="center"/>
            <w:hideMark/>
          </w:tcPr>
          <w:p w14:paraId="278EC957"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4</w:t>
            </w:r>
          </w:p>
        </w:tc>
        <w:tc>
          <w:tcPr>
            <w:tcW w:w="1372" w:type="dxa"/>
            <w:shd w:val="clear" w:color="auto" w:fill="auto"/>
            <w:noWrap/>
            <w:vAlign w:val="center"/>
            <w:hideMark/>
          </w:tcPr>
          <w:p w14:paraId="2BCED078"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-0.3688</w:t>
            </w:r>
          </w:p>
        </w:tc>
        <w:tc>
          <w:tcPr>
            <w:tcW w:w="1372" w:type="dxa"/>
            <w:shd w:val="clear" w:color="auto" w:fill="auto"/>
            <w:noWrap/>
            <w:vAlign w:val="center"/>
            <w:hideMark/>
          </w:tcPr>
          <w:p w14:paraId="38205879" w14:textId="77777777" w:rsidR="00915F6A" w:rsidRPr="00385F25" w:rsidRDefault="00915F6A" w:rsidP="007E7921">
            <w:pPr>
              <w:jc w:val="center"/>
              <w:cnfStyle w:val="000000000000" w:firstRow="0" w:lastRow="0" w:firstColumn="0" w:lastColumn="0" w:oddVBand="0" w:evenVBand="0" w:oddHBand="0" w:evenHBand="0" w:firstRowFirstColumn="0" w:firstRowLastColumn="0" w:lastRowFirstColumn="0" w:lastRowLastColumn="0"/>
              <w:rPr>
                <w:color w:val="000000"/>
              </w:rPr>
            </w:pPr>
            <w:r w:rsidRPr="00385F25">
              <w:rPr>
                <w:color w:val="000000"/>
              </w:rPr>
              <w:t>-0.0021754</w:t>
            </w:r>
          </w:p>
        </w:tc>
      </w:tr>
    </w:tbl>
    <w:p w14:paraId="256294F2" w14:textId="77777777" w:rsidR="00915F6A" w:rsidRPr="00385F25" w:rsidRDefault="00915F6A" w:rsidP="00915F6A">
      <w:pPr>
        <w:spacing w:line="480" w:lineRule="auto"/>
        <w:rPr>
          <w:bCs/>
          <w:lang w:val="en-GB"/>
        </w:rPr>
      </w:pPr>
    </w:p>
    <w:p w14:paraId="51F8BBB0" w14:textId="77777777" w:rsidR="00915F6A" w:rsidRPr="00385F25" w:rsidRDefault="00915F6A" w:rsidP="00915F6A">
      <w:pPr>
        <w:spacing w:line="480" w:lineRule="auto"/>
        <w:jc w:val="both"/>
        <w:rPr>
          <w:bCs/>
          <w:lang w:val="en-GB"/>
        </w:rPr>
      </w:pPr>
    </w:p>
    <w:p w14:paraId="4E453C7B" w14:textId="77777777" w:rsidR="00915F6A" w:rsidRPr="00385F25" w:rsidRDefault="00915F6A" w:rsidP="00915F6A">
      <w:pPr>
        <w:spacing w:line="480" w:lineRule="auto"/>
        <w:jc w:val="both"/>
        <w:rPr>
          <w:bCs/>
          <w:lang w:val="en-GB"/>
        </w:rPr>
      </w:pPr>
    </w:p>
    <w:p w14:paraId="512E29F4" w14:textId="77777777" w:rsidR="00915F6A" w:rsidRPr="000B2F17" w:rsidRDefault="00915F6A" w:rsidP="00915F6A">
      <w:pPr>
        <w:spacing w:line="480" w:lineRule="auto"/>
        <w:jc w:val="both"/>
        <w:rPr>
          <w:bCs/>
          <w:lang w:val="en-GB"/>
        </w:rPr>
      </w:pPr>
    </w:p>
    <w:p w14:paraId="730C455D" w14:textId="77777777" w:rsidR="00915F6A" w:rsidRPr="000B2F17" w:rsidRDefault="00915F6A" w:rsidP="00915F6A">
      <w:pPr>
        <w:spacing w:line="480" w:lineRule="auto"/>
        <w:jc w:val="both"/>
        <w:rPr>
          <w:bCs/>
          <w:lang w:val="en-GB"/>
        </w:rPr>
      </w:pPr>
    </w:p>
    <w:p w14:paraId="38CDE4D1" w14:textId="77777777" w:rsidR="00915F6A" w:rsidRPr="000B2F17" w:rsidRDefault="00915F6A" w:rsidP="00915F6A">
      <w:pPr>
        <w:spacing w:line="480" w:lineRule="auto"/>
        <w:jc w:val="both"/>
        <w:rPr>
          <w:bCs/>
          <w:lang w:val="en-GB"/>
        </w:rPr>
      </w:pPr>
    </w:p>
    <w:p w14:paraId="4DCFEC48" w14:textId="77777777" w:rsidR="00915F6A" w:rsidRPr="000B2F17" w:rsidRDefault="00915F6A" w:rsidP="00915F6A">
      <w:pPr>
        <w:spacing w:line="480" w:lineRule="auto"/>
        <w:jc w:val="both"/>
        <w:rPr>
          <w:bCs/>
          <w:lang w:val="en-GB"/>
        </w:rPr>
      </w:pPr>
    </w:p>
    <w:p w14:paraId="3CA87580" w14:textId="77777777" w:rsidR="00915F6A" w:rsidRDefault="00915F6A" w:rsidP="00915F6A">
      <w:pPr>
        <w:spacing w:after="160" w:line="259" w:lineRule="auto"/>
        <w:rPr>
          <w:b/>
          <w:lang w:val="en-GB"/>
        </w:rPr>
      </w:pPr>
      <w:r>
        <w:rPr>
          <w:b/>
          <w:lang w:val="en-GB"/>
        </w:rPr>
        <w:br w:type="page"/>
      </w:r>
    </w:p>
    <w:p w14:paraId="25B08632" w14:textId="77777777" w:rsidR="00915F6A" w:rsidRPr="00CD38FF" w:rsidRDefault="00915F6A" w:rsidP="00915F6A">
      <w:pPr>
        <w:spacing w:line="480" w:lineRule="auto"/>
        <w:jc w:val="both"/>
        <w:rPr>
          <w:bCs/>
          <w:lang w:val="en-GB"/>
        </w:rPr>
      </w:pPr>
      <w:r w:rsidRPr="00CD38FF">
        <w:rPr>
          <w:bCs/>
          <w:lang w:val="en-GB"/>
        </w:rPr>
        <w:lastRenderedPageBreak/>
        <w:t>Supplementary Figures</w:t>
      </w:r>
    </w:p>
    <w:p w14:paraId="0018E5B7" w14:textId="77777777" w:rsidR="00915F6A" w:rsidRDefault="00915F6A" w:rsidP="00915F6A">
      <w:pPr>
        <w:keepNext/>
        <w:spacing w:line="480" w:lineRule="auto"/>
        <w:jc w:val="both"/>
      </w:pPr>
      <w:r>
        <w:rPr>
          <w:bCs/>
          <w:noProof/>
          <w:lang w:val="en-GB"/>
        </w:rPr>
        <w:drawing>
          <wp:inline distT="0" distB="0" distL="0" distR="0" wp14:anchorId="2C81E35B" wp14:editId="0DFBF0C1">
            <wp:extent cx="6120130" cy="3399790"/>
            <wp:effectExtent l="0" t="0" r="127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3399790"/>
                    </a:xfrm>
                    <a:prstGeom prst="rect">
                      <a:avLst/>
                    </a:prstGeom>
                  </pic:spPr>
                </pic:pic>
              </a:graphicData>
            </a:graphic>
          </wp:inline>
        </w:drawing>
      </w:r>
    </w:p>
    <w:p w14:paraId="56313DC6" w14:textId="77777777" w:rsidR="00915F6A" w:rsidRPr="00CD38FF" w:rsidRDefault="00915F6A" w:rsidP="00915F6A">
      <w:pPr>
        <w:pStyle w:val="Didascalia"/>
        <w:jc w:val="both"/>
        <w:rPr>
          <w:rFonts w:ascii="Times New Roman" w:hAnsi="Times New Roman" w:cs="Times New Roman"/>
          <w:i w:val="0"/>
          <w:iCs w:val="0"/>
          <w:color w:val="000000" w:themeColor="text1"/>
          <w:sz w:val="24"/>
          <w:szCs w:val="24"/>
        </w:rPr>
      </w:pPr>
      <w:r w:rsidRPr="00CD38FF">
        <w:rPr>
          <w:rFonts w:ascii="Times New Roman" w:hAnsi="Times New Roman" w:cs="Times New Roman"/>
          <w:i w:val="0"/>
          <w:iCs w:val="0"/>
          <w:color w:val="000000" w:themeColor="text1"/>
          <w:sz w:val="24"/>
          <w:szCs w:val="24"/>
        </w:rPr>
        <w:t xml:space="preserve">Supplementary Figure </w:t>
      </w:r>
      <w:r w:rsidRPr="00CD38FF">
        <w:rPr>
          <w:rFonts w:ascii="Times New Roman" w:hAnsi="Times New Roman" w:cs="Times New Roman"/>
          <w:i w:val="0"/>
          <w:iCs w:val="0"/>
          <w:color w:val="000000" w:themeColor="text1"/>
          <w:sz w:val="24"/>
          <w:szCs w:val="24"/>
        </w:rPr>
        <w:fldChar w:fldCharType="begin"/>
      </w:r>
      <w:r w:rsidRPr="00CD38FF">
        <w:rPr>
          <w:rFonts w:ascii="Times New Roman" w:hAnsi="Times New Roman" w:cs="Times New Roman"/>
          <w:i w:val="0"/>
          <w:iCs w:val="0"/>
          <w:color w:val="000000" w:themeColor="text1"/>
          <w:sz w:val="24"/>
          <w:szCs w:val="24"/>
        </w:rPr>
        <w:instrText>SEQ Supplementary_Figure \* ARABIC</w:instrText>
      </w:r>
      <w:r w:rsidRPr="00CD38FF">
        <w:rPr>
          <w:rFonts w:ascii="Times New Roman" w:hAnsi="Times New Roman" w:cs="Times New Roman"/>
          <w:i w:val="0"/>
          <w:iCs w:val="0"/>
          <w:color w:val="000000" w:themeColor="text1"/>
          <w:sz w:val="24"/>
          <w:szCs w:val="24"/>
        </w:rPr>
        <w:fldChar w:fldCharType="separate"/>
      </w:r>
      <w:r w:rsidRPr="00CD38FF">
        <w:rPr>
          <w:rFonts w:ascii="Times New Roman" w:hAnsi="Times New Roman" w:cs="Times New Roman"/>
          <w:i w:val="0"/>
          <w:iCs w:val="0"/>
          <w:noProof/>
          <w:color w:val="000000" w:themeColor="text1"/>
          <w:sz w:val="24"/>
          <w:szCs w:val="24"/>
        </w:rPr>
        <w:t>1</w:t>
      </w:r>
      <w:r w:rsidRPr="00CD38FF">
        <w:rPr>
          <w:rFonts w:ascii="Times New Roman" w:hAnsi="Times New Roman" w:cs="Times New Roman"/>
          <w:i w:val="0"/>
          <w:iCs w:val="0"/>
          <w:color w:val="000000" w:themeColor="text1"/>
          <w:sz w:val="24"/>
          <w:szCs w:val="24"/>
        </w:rPr>
        <w:fldChar w:fldCharType="end"/>
      </w:r>
      <w:r w:rsidRPr="00CD38FF">
        <w:rPr>
          <w:rFonts w:ascii="Times New Roman" w:hAnsi="Times New Roman" w:cs="Times New Roman"/>
          <w:i w:val="0"/>
          <w:iCs w:val="0"/>
          <w:color w:val="000000" w:themeColor="text1"/>
          <w:sz w:val="24"/>
          <w:szCs w:val="24"/>
        </w:rPr>
        <w:t>: alluvial plot showing sample distributions across different classifications. From left to right: ternary classification as used in the IrisPlex system, initial visual classification, and clustering groups as defined by k-means applied on the normalized CIELAB values.</w:t>
      </w:r>
    </w:p>
    <w:p w14:paraId="3A1BB9C9" w14:textId="77777777" w:rsidR="00915F6A" w:rsidRDefault="00915F6A" w:rsidP="00915F6A">
      <w:pPr>
        <w:spacing w:line="480" w:lineRule="auto"/>
        <w:jc w:val="both"/>
        <w:rPr>
          <w:bCs/>
          <w:lang w:val="en-GB"/>
        </w:rPr>
      </w:pPr>
    </w:p>
    <w:p w14:paraId="54B327DD" w14:textId="77777777" w:rsidR="00915F6A" w:rsidRDefault="00915F6A" w:rsidP="00915F6A">
      <w:pPr>
        <w:keepNext/>
        <w:spacing w:line="480" w:lineRule="auto"/>
        <w:jc w:val="both"/>
      </w:pPr>
      <w:r>
        <w:rPr>
          <w:bCs/>
          <w:noProof/>
          <w:lang w:val="en-GB"/>
        </w:rPr>
        <w:drawing>
          <wp:inline distT="0" distB="0" distL="0" distR="0" wp14:anchorId="154FD5A9" wp14:editId="32C47B0E">
            <wp:extent cx="6120130" cy="3399790"/>
            <wp:effectExtent l="0" t="0" r="127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3399790"/>
                    </a:xfrm>
                    <a:prstGeom prst="rect">
                      <a:avLst/>
                    </a:prstGeom>
                  </pic:spPr>
                </pic:pic>
              </a:graphicData>
            </a:graphic>
          </wp:inline>
        </w:drawing>
      </w:r>
    </w:p>
    <w:p w14:paraId="1DA952A0" w14:textId="51DB88F4" w:rsidR="00AE40DD" w:rsidRPr="00CD38FF" w:rsidRDefault="00915F6A" w:rsidP="00915F6A">
      <w:pPr>
        <w:pStyle w:val="Didascalia"/>
        <w:jc w:val="both"/>
        <w:rPr>
          <w:rFonts w:ascii="Times New Roman" w:hAnsi="Times New Roman" w:cs="Times New Roman"/>
          <w:i w:val="0"/>
          <w:iCs w:val="0"/>
          <w:color w:val="000000" w:themeColor="text1"/>
          <w:sz w:val="24"/>
          <w:szCs w:val="24"/>
        </w:rPr>
      </w:pPr>
      <w:r w:rsidRPr="00CD38FF">
        <w:rPr>
          <w:rFonts w:ascii="Times New Roman" w:hAnsi="Times New Roman" w:cs="Times New Roman"/>
          <w:i w:val="0"/>
          <w:iCs w:val="0"/>
          <w:color w:val="000000" w:themeColor="text1"/>
          <w:sz w:val="24"/>
          <w:szCs w:val="24"/>
        </w:rPr>
        <w:t xml:space="preserve">Supplementary Figure </w:t>
      </w:r>
      <w:r w:rsidRPr="00CD38FF">
        <w:rPr>
          <w:rFonts w:ascii="Times New Roman" w:hAnsi="Times New Roman" w:cs="Times New Roman"/>
          <w:i w:val="0"/>
          <w:iCs w:val="0"/>
          <w:color w:val="000000" w:themeColor="text1"/>
          <w:sz w:val="24"/>
          <w:szCs w:val="24"/>
        </w:rPr>
        <w:fldChar w:fldCharType="begin"/>
      </w:r>
      <w:r w:rsidRPr="00CD38FF">
        <w:rPr>
          <w:rFonts w:ascii="Times New Roman" w:hAnsi="Times New Roman" w:cs="Times New Roman"/>
          <w:i w:val="0"/>
          <w:iCs w:val="0"/>
          <w:color w:val="000000" w:themeColor="text1"/>
          <w:sz w:val="24"/>
          <w:szCs w:val="24"/>
        </w:rPr>
        <w:instrText>SEQ Supplementary_Figure \* ARABIC</w:instrText>
      </w:r>
      <w:r w:rsidRPr="00CD38FF">
        <w:rPr>
          <w:rFonts w:ascii="Times New Roman" w:hAnsi="Times New Roman" w:cs="Times New Roman"/>
          <w:i w:val="0"/>
          <w:iCs w:val="0"/>
          <w:color w:val="000000" w:themeColor="text1"/>
          <w:sz w:val="24"/>
          <w:szCs w:val="24"/>
        </w:rPr>
        <w:fldChar w:fldCharType="separate"/>
      </w:r>
      <w:r w:rsidRPr="00CD38FF">
        <w:rPr>
          <w:rFonts w:ascii="Times New Roman" w:hAnsi="Times New Roman" w:cs="Times New Roman"/>
          <w:i w:val="0"/>
          <w:iCs w:val="0"/>
          <w:noProof/>
          <w:color w:val="000000" w:themeColor="text1"/>
          <w:sz w:val="24"/>
          <w:szCs w:val="24"/>
        </w:rPr>
        <w:t>2</w:t>
      </w:r>
      <w:r w:rsidRPr="00CD38FF">
        <w:rPr>
          <w:rFonts w:ascii="Times New Roman" w:hAnsi="Times New Roman" w:cs="Times New Roman"/>
          <w:i w:val="0"/>
          <w:iCs w:val="0"/>
          <w:color w:val="000000" w:themeColor="text1"/>
          <w:sz w:val="24"/>
          <w:szCs w:val="24"/>
        </w:rPr>
        <w:fldChar w:fldCharType="end"/>
      </w:r>
      <w:r w:rsidRPr="00CD38FF">
        <w:rPr>
          <w:rFonts w:ascii="Times New Roman" w:hAnsi="Times New Roman" w:cs="Times New Roman"/>
          <w:i w:val="0"/>
          <w:iCs w:val="0"/>
          <w:color w:val="000000" w:themeColor="text1"/>
          <w:sz w:val="24"/>
          <w:szCs w:val="24"/>
        </w:rPr>
        <w:t>: alluvial plot showing sample distributions across different classifications. From left to right: ternary classification as used in the IrisPlex system, initial visual classification, and clustering groups as defined by SC applied on the normalized CIELAB values.</w:t>
      </w:r>
    </w:p>
    <w:sectPr w:rsidR="00AE40DD" w:rsidRPr="00CD38FF">
      <w:pgSz w:w="11906" w:h="16838"/>
      <w:pgMar w:top="1417" w:right="1134"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F6A"/>
    <w:rsid w:val="00385F25"/>
    <w:rsid w:val="005A00BB"/>
    <w:rsid w:val="00915F6A"/>
    <w:rsid w:val="00AE40DD"/>
    <w:rsid w:val="00CD38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E05B"/>
  <w15:chartTrackingRefBased/>
  <w15:docId w15:val="{51DB3B46-246F-4E8E-B59B-8BDB433B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15F6A"/>
    <w:pPr>
      <w:spacing w:after="0" w:line="240" w:lineRule="auto"/>
    </w:pPr>
    <w:rPr>
      <w:rFonts w:ascii="Times New Roman" w:eastAsia="Times New Roman" w:hAnsi="Times New Roman" w:cs="Times New Roman"/>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915F6A"/>
    <w:pPr>
      <w:spacing w:after="200"/>
    </w:pPr>
    <w:rPr>
      <w:rFonts w:ascii="Calibri" w:eastAsia="Calibri" w:hAnsi="Calibri" w:cs="Calibri"/>
      <w:i/>
      <w:iCs/>
      <w:color w:val="44546A" w:themeColor="text2"/>
      <w:sz w:val="18"/>
      <w:szCs w:val="18"/>
      <w:lang w:eastAsia="en-GB"/>
    </w:rPr>
  </w:style>
  <w:style w:type="table" w:styleId="Tabellagriglia2-colore1">
    <w:name w:val="Grid Table 2 Accent 1"/>
    <w:basedOn w:val="Tabellanormale"/>
    <w:uiPriority w:val="47"/>
    <w:rsid w:val="00915F6A"/>
    <w:pPr>
      <w:spacing w:after="0" w:line="240" w:lineRule="auto"/>
    </w:pPr>
    <w:rPr>
      <w:rFonts w:ascii="Calibri" w:eastAsia="Calibri" w:hAnsi="Calibri" w:cs="Calibri"/>
      <w:lang w:val="en-US" w:eastAsia="en-GB"/>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300</Words>
  <Characters>1711</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montesanto</dc:creator>
  <cp:keywords/>
  <dc:description/>
  <cp:lastModifiedBy>ERSILIA PAPARAZZO</cp:lastModifiedBy>
  <cp:revision>4</cp:revision>
  <dcterms:created xsi:type="dcterms:W3CDTF">2022-03-29T12:12:00Z</dcterms:created>
  <dcterms:modified xsi:type="dcterms:W3CDTF">2022-03-30T14:13:00Z</dcterms:modified>
</cp:coreProperties>
</file>