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E3D52" w14:textId="77777777" w:rsidR="00822D13" w:rsidRDefault="00822D13" w:rsidP="00822D13">
      <w:pPr>
        <w:spacing w:after="0" w:line="300" w:lineRule="auto"/>
        <w:jc w:val="both"/>
        <w:rPr>
          <w:b/>
          <w:bCs/>
          <w:lang w:val="en-GB"/>
        </w:rPr>
      </w:pPr>
      <w:r>
        <w:rPr>
          <w:b/>
          <w:bCs/>
          <w:lang w:val="en-GB"/>
        </w:rPr>
        <w:t>Supplementary file belonging to:</w:t>
      </w:r>
    </w:p>
    <w:p w14:paraId="54F334CD" w14:textId="02F520A6" w:rsidR="00822D13" w:rsidRPr="007D001E" w:rsidRDefault="00822D13" w:rsidP="00822D13">
      <w:pPr>
        <w:spacing w:after="0" w:line="300" w:lineRule="auto"/>
        <w:jc w:val="both"/>
        <w:rPr>
          <w:b/>
          <w:bCs/>
          <w:lang w:val="en-GB"/>
        </w:rPr>
      </w:pPr>
      <w:r w:rsidRPr="007D001E">
        <w:rPr>
          <w:b/>
          <w:bCs/>
          <w:lang w:val="en-GB"/>
        </w:rPr>
        <w:t xml:space="preserve">Differential gene expression </w:t>
      </w:r>
      <w:r w:rsidR="00A044F5">
        <w:rPr>
          <w:b/>
          <w:bCs/>
          <w:lang w:val="en-GB"/>
        </w:rPr>
        <w:t>in</w:t>
      </w:r>
      <w:r w:rsidRPr="007D001E">
        <w:rPr>
          <w:b/>
          <w:bCs/>
          <w:lang w:val="en-GB"/>
        </w:rPr>
        <w:t xml:space="preserve"> iPSC derived human intestinal epitheli</w:t>
      </w:r>
      <w:r>
        <w:rPr>
          <w:b/>
          <w:bCs/>
          <w:lang w:val="en-GB"/>
        </w:rPr>
        <w:t>al cell layers</w:t>
      </w:r>
      <w:r w:rsidRPr="007D001E">
        <w:rPr>
          <w:b/>
          <w:bCs/>
          <w:lang w:val="en-GB"/>
        </w:rPr>
        <w:t xml:space="preserve"> following exposure to </w:t>
      </w:r>
      <w:r w:rsidR="00592FC4">
        <w:rPr>
          <w:b/>
          <w:bCs/>
          <w:lang w:val="en-GB"/>
        </w:rPr>
        <w:t>two</w:t>
      </w:r>
      <w:r>
        <w:rPr>
          <w:b/>
          <w:bCs/>
          <w:lang w:val="en-GB"/>
        </w:rPr>
        <w:t xml:space="preserve"> concentration</w:t>
      </w:r>
      <w:r w:rsidR="00592FC4">
        <w:rPr>
          <w:b/>
          <w:bCs/>
          <w:lang w:val="en-GB"/>
        </w:rPr>
        <w:t>s</w:t>
      </w:r>
      <w:r>
        <w:rPr>
          <w:b/>
          <w:bCs/>
          <w:lang w:val="en-GB"/>
        </w:rPr>
        <w:t xml:space="preserve"> of the Short Chain Fatty Acids butyrate, propionate and acetate</w:t>
      </w:r>
    </w:p>
    <w:p w14:paraId="113D774A" w14:textId="77777777" w:rsidR="00822D13" w:rsidRPr="007D001E" w:rsidRDefault="00822D13" w:rsidP="00822D13">
      <w:pPr>
        <w:spacing w:after="0" w:line="300" w:lineRule="auto"/>
        <w:jc w:val="both"/>
        <w:rPr>
          <w:b/>
          <w:bCs/>
          <w:lang w:val="en-GB"/>
        </w:rPr>
      </w:pPr>
    </w:p>
    <w:p w14:paraId="7E160B0D" w14:textId="459083A1" w:rsidR="00822D13" w:rsidRPr="006B1DB2" w:rsidRDefault="00822D13" w:rsidP="00822D13">
      <w:pPr>
        <w:spacing w:after="0" w:line="300" w:lineRule="auto"/>
        <w:jc w:val="both"/>
        <w:rPr>
          <w:vertAlign w:val="superscript"/>
          <w:lang w:val="nl-NL"/>
        </w:rPr>
      </w:pPr>
      <w:r w:rsidRPr="003B75AD">
        <w:rPr>
          <w:lang w:val="nl-NL"/>
        </w:rPr>
        <w:t>Menno Grouls</w:t>
      </w:r>
      <w:r w:rsidRPr="003B75AD">
        <w:rPr>
          <w:vertAlign w:val="superscript"/>
          <w:lang w:val="nl-NL"/>
        </w:rPr>
        <w:t>1</w:t>
      </w:r>
      <w:r w:rsidRPr="003B75AD">
        <w:rPr>
          <w:lang w:val="nl-NL"/>
        </w:rPr>
        <w:t>, Aafke</w:t>
      </w:r>
      <w:r w:rsidR="00914058">
        <w:rPr>
          <w:lang w:val="nl-NL"/>
        </w:rPr>
        <w:t xml:space="preserve"> W.F.</w:t>
      </w:r>
      <w:r w:rsidRPr="003B75AD">
        <w:rPr>
          <w:lang w:val="nl-NL"/>
        </w:rPr>
        <w:t xml:space="preserve"> Jan</w:t>
      </w:r>
      <w:r w:rsidR="00914058">
        <w:rPr>
          <w:lang w:val="nl-NL"/>
        </w:rPr>
        <w:t>s</w:t>
      </w:r>
      <w:r w:rsidRPr="003B75AD">
        <w:rPr>
          <w:lang w:val="nl-NL"/>
        </w:rPr>
        <w:t>sen</w:t>
      </w:r>
      <w:r w:rsidRPr="003B75AD">
        <w:rPr>
          <w:vertAlign w:val="superscript"/>
          <w:lang w:val="nl-NL"/>
        </w:rPr>
        <w:t>2</w:t>
      </w:r>
      <w:r w:rsidRPr="003B75AD">
        <w:rPr>
          <w:lang w:val="nl-NL"/>
        </w:rPr>
        <w:t xml:space="preserve">, </w:t>
      </w:r>
      <w:r>
        <w:rPr>
          <w:lang w:val="nl-NL"/>
        </w:rPr>
        <w:t>Loes P.M. Duivenvoorde</w:t>
      </w:r>
      <w:r w:rsidRPr="003B75AD">
        <w:rPr>
          <w:vertAlign w:val="superscript"/>
          <w:lang w:val="nl-NL"/>
        </w:rPr>
        <w:t>2</w:t>
      </w:r>
      <w:r>
        <w:rPr>
          <w:lang w:val="nl-NL"/>
        </w:rPr>
        <w:t xml:space="preserve">, </w:t>
      </w:r>
      <w:r w:rsidRPr="003B75AD">
        <w:rPr>
          <w:lang w:val="nl-NL"/>
        </w:rPr>
        <w:t>Guido J.E.J. Hooiveld</w:t>
      </w:r>
      <w:r w:rsidRPr="003B75AD">
        <w:rPr>
          <w:vertAlign w:val="superscript"/>
          <w:lang w:val="nl-NL"/>
        </w:rPr>
        <w:t>3</w:t>
      </w:r>
      <w:r w:rsidRPr="003B75AD">
        <w:rPr>
          <w:lang w:val="nl-NL"/>
        </w:rPr>
        <w:t>, Hans Bouwmeester</w:t>
      </w:r>
      <w:r w:rsidRPr="003B75AD">
        <w:rPr>
          <w:vertAlign w:val="superscript"/>
          <w:lang w:val="nl-NL"/>
        </w:rPr>
        <w:t>1</w:t>
      </w:r>
      <w:r>
        <w:rPr>
          <w:lang w:val="nl-NL"/>
        </w:rPr>
        <w:t>, and</w:t>
      </w:r>
      <w:r w:rsidRPr="008A162E">
        <w:rPr>
          <w:lang w:val="nl-NL"/>
        </w:rPr>
        <w:t xml:space="preserve"> </w:t>
      </w:r>
      <w:r w:rsidRPr="00975318">
        <w:rPr>
          <w:lang w:val="nl-NL"/>
        </w:rPr>
        <w:t>Meike van der Zande</w:t>
      </w:r>
      <w:r w:rsidRPr="00975318">
        <w:rPr>
          <w:vertAlign w:val="superscript"/>
          <w:lang w:val="nl-NL"/>
        </w:rPr>
        <w:t>2</w:t>
      </w:r>
    </w:p>
    <w:p w14:paraId="2EB2E244" w14:textId="77777777" w:rsidR="00822D13" w:rsidRPr="006B1DB2" w:rsidRDefault="00822D13" w:rsidP="00822D13">
      <w:pPr>
        <w:spacing w:after="0" w:line="300" w:lineRule="auto"/>
        <w:jc w:val="both"/>
        <w:rPr>
          <w:lang w:val="nl-NL"/>
        </w:rPr>
      </w:pPr>
    </w:p>
    <w:p w14:paraId="1F9F1DF3" w14:textId="5F7E942C" w:rsidR="00822D13" w:rsidRPr="007D001E" w:rsidRDefault="00822D13" w:rsidP="00822D13">
      <w:pPr>
        <w:spacing w:after="0" w:line="300" w:lineRule="auto"/>
        <w:jc w:val="both"/>
        <w:rPr>
          <w:lang w:val="en-GB"/>
        </w:rPr>
      </w:pPr>
      <w:r w:rsidRPr="007D001E">
        <w:rPr>
          <w:vertAlign w:val="superscript"/>
          <w:lang w:val="en-GB"/>
        </w:rPr>
        <w:t>1</w:t>
      </w:r>
      <w:r w:rsidRPr="007D001E">
        <w:rPr>
          <w:lang w:val="en-GB"/>
        </w:rPr>
        <w:t xml:space="preserve"> Division of Toxicology, Wageningen University, Wageningen University &amp; Research</w:t>
      </w:r>
      <w:r w:rsidR="00F30AD6">
        <w:rPr>
          <w:lang w:val="en-GB"/>
        </w:rPr>
        <w:t xml:space="preserve">, </w:t>
      </w:r>
      <w:r w:rsidR="00F30AD6">
        <w:rPr>
          <w:lang w:val="en-GB"/>
        </w:rPr>
        <w:t>Postbus 8000, 6700 EA, Wageningen, The Netherlands</w:t>
      </w:r>
    </w:p>
    <w:p w14:paraId="364CC58D" w14:textId="325E93EF" w:rsidR="00822D13" w:rsidRDefault="00822D13" w:rsidP="00822D13">
      <w:pPr>
        <w:spacing w:after="0" w:line="300" w:lineRule="auto"/>
        <w:jc w:val="both"/>
        <w:rPr>
          <w:lang w:val="en-GB"/>
        </w:rPr>
      </w:pPr>
      <w:r w:rsidRPr="007D001E">
        <w:rPr>
          <w:vertAlign w:val="superscript"/>
          <w:lang w:val="en-GB"/>
        </w:rPr>
        <w:t>2</w:t>
      </w:r>
      <w:r w:rsidRPr="007D001E">
        <w:rPr>
          <w:lang w:val="en-GB"/>
        </w:rPr>
        <w:t xml:space="preserve"> Wageningen Food Safety Research, Wageningen University &amp; Research</w:t>
      </w:r>
      <w:r w:rsidR="00F30AD6">
        <w:rPr>
          <w:lang w:val="en-GB"/>
        </w:rPr>
        <w:t xml:space="preserve">, </w:t>
      </w:r>
      <w:r w:rsidR="00F30AD6">
        <w:rPr>
          <w:lang w:val="en-GB"/>
        </w:rPr>
        <w:t>Wageningen, The Netherlands</w:t>
      </w:r>
    </w:p>
    <w:p w14:paraId="3A4376A2" w14:textId="78AB384C" w:rsidR="00822D13" w:rsidRPr="007D001E" w:rsidRDefault="00822D13" w:rsidP="00822D13">
      <w:pPr>
        <w:spacing w:after="0" w:line="300" w:lineRule="auto"/>
        <w:jc w:val="both"/>
        <w:rPr>
          <w:lang w:val="en-GB"/>
        </w:rPr>
      </w:pPr>
      <w:r w:rsidRPr="005960DE">
        <w:rPr>
          <w:vertAlign w:val="superscript"/>
          <w:lang w:val="en-GB"/>
        </w:rPr>
        <w:t>3</w:t>
      </w:r>
      <w:r>
        <w:rPr>
          <w:lang w:val="en-GB"/>
        </w:rPr>
        <w:t xml:space="preserve"> </w:t>
      </w:r>
      <w:r w:rsidR="00FD75FE">
        <w:rPr>
          <w:lang w:val="en-GB"/>
        </w:rPr>
        <w:t xml:space="preserve">Division of </w:t>
      </w:r>
      <w:r>
        <w:rPr>
          <w:lang w:val="en-GB"/>
        </w:rPr>
        <w:t xml:space="preserve">Human Nutrition, </w:t>
      </w:r>
      <w:r w:rsidRPr="007D001E">
        <w:rPr>
          <w:lang w:val="en-GB"/>
        </w:rPr>
        <w:t>Wageningen University, Wageningen University &amp; Research</w:t>
      </w:r>
      <w:r w:rsidR="00F30AD6">
        <w:rPr>
          <w:lang w:val="en-GB"/>
        </w:rPr>
        <w:t xml:space="preserve">, </w:t>
      </w:r>
      <w:r w:rsidR="00F30AD6">
        <w:rPr>
          <w:lang w:val="en-GB"/>
        </w:rPr>
        <w:t>Wageningen, The Netherlands</w:t>
      </w:r>
    </w:p>
    <w:p w14:paraId="492AF879" w14:textId="77777777" w:rsidR="00822D13" w:rsidRDefault="00822D13" w:rsidP="00822D13">
      <w:pPr>
        <w:spacing w:after="0" w:line="300" w:lineRule="auto"/>
        <w:jc w:val="both"/>
        <w:rPr>
          <w:lang w:val="en-GB"/>
        </w:rPr>
      </w:pPr>
    </w:p>
    <w:p w14:paraId="108B08B6" w14:textId="77777777" w:rsidR="00822D13" w:rsidRPr="007D001E" w:rsidRDefault="00822D13" w:rsidP="00822D13">
      <w:pPr>
        <w:spacing w:after="0" w:line="300" w:lineRule="auto"/>
        <w:jc w:val="both"/>
        <w:rPr>
          <w:lang w:val="en-GB"/>
        </w:rPr>
      </w:pPr>
      <w:r>
        <w:rPr>
          <w:lang w:val="en-GB"/>
        </w:rPr>
        <w:t>Table S</w:t>
      </w:r>
      <w:r w:rsidRPr="007D001E">
        <w:rPr>
          <w:lang w:val="en-GB"/>
        </w:rPr>
        <w:t xml:space="preserve"> 1 </w:t>
      </w:r>
      <w:r>
        <w:rPr>
          <w:lang w:val="en-GB"/>
        </w:rPr>
        <w:t>b</w:t>
      </w:r>
      <w:r w:rsidRPr="007D001E">
        <w:rPr>
          <w:lang w:val="en-GB"/>
        </w:rPr>
        <w:t>uty</w:t>
      </w:r>
      <w:r>
        <w:rPr>
          <w:lang w:val="en-GB"/>
        </w:rPr>
        <w:t>rate</w:t>
      </w:r>
      <w:r w:rsidRPr="007D001E">
        <w:rPr>
          <w:lang w:val="en-GB"/>
        </w:rPr>
        <w:t xml:space="preserve"> 10 mM references</w:t>
      </w:r>
      <w:r>
        <w:rPr>
          <w:lang w:val="en-GB"/>
        </w:rPr>
        <w:t xml:space="preserve"> indicating their role or relationship to the intestine</w:t>
      </w:r>
      <w:r w:rsidRPr="007D001E">
        <w:rPr>
          <w:lang w:val="en-GB"/>
        </w:rPr>
        <w:t xml:space="preserve"> </w:t>
      </w:r>
    </w:p>
    <w:tbl>
      <w:tblPr>
        <w:tblW w:w="8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14"/>
        <w:gridCol w:w="4252"/>
      </w:tblGrid>
      <w:tr w:rsidR="00822D13" w:rsidRPr="007D001E" w14:paraId="4961A093" w14:textId="77777777" w:rsidTr="00890C83">
        <w:trPr>
          <w:trHeight w:val="300"/>
          <w:jc w:val="center"/>
        </w:trPr>
        <w:tc>
          <w:tcPr>
            <w:tcW w:w="4214" w:type="dxa"/>
            <w:shd w:val="clear" w:color="auto" w:fill="auto"/>
            <w:noWrap/>
            <w:vAlign w:val="bottom"/>
            <w:hideMark/>
          </w:tcPr>
          <w:p w14:paraId="40D9DDEC"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KEGG pathway name</w:t>
            </w:r>
          </w:p>
        </w:tc>
        <w:tc>
          <w:tcPr>
            <w:tcW w:w="4252" w:type="dxa"/>
            <w:shd w:val="clear" w:color="auto" w:fill="auto"/>
            <w:noWrap/>
            <w:vAlign w:val="bottom"/>
            <w:hideMark/>
          </w:tcPr>
          <w:p w14:paraId="01237C3B"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Reference</w:t>
            </w:r>
          </w:p>
        </w:tc>
      </w:tr>
      <w:tr w:rsidR="00822D13" w:rsidRPr="007D001E" w14:paraId="3630762D" w14:textId="77777777" w:rsidTr="00890C83">
        <w:trPr>
          <w:trHeight w:val="300"/>
          <w:jc w:val="center"/>
        </w:trPr>
        <w:tc>
          <w:tcPr>
            <w:tcW w:w="8466" w:type="dxa"/>
            <w:gridSpan w:val="2"/>
            <w:shd w:val="clear" w:color="auto" w:fill="auto"/>
            <w:noWrap/>
            <w:vAlign w:val="bottom"/>
            <w:hideMark/>
          </w:tcPr>
          <w:p w14:paraId="415A09A2" w14:textId="77777777" w:rsidR="00822D13" w:rsidRPr="007D001E" w:rsidRDefault="00822D13" w:rsidP="00890C83">
            <w:pPr>
              <w:spacing w:after="0" w:line="300" w:lineRule="auto"/>
              <w:jc w:val="both"/>
              <w:rPr>
                <w:rFonts w:ascii="Calibri" w:eastAsia="Times New Roman" w:hAnsi="Calibri" w:cs="Calibri"/>
                <w:b/>
                <w:bCs/>
                <w:color w:val="000000"/>
                <w:lang w:val="en-GB" w:eastAsia="nl-NL"/>
              </w:rPr>
            </w:pPr>
            <w:r w:rsidRPr="007D001E">
              <w:rPr>
                <w:rFonts w:ascii="Calibri" w:eastAsia="Times New Roman" w:hAnsi="Calibri" w:cs="Calibri"/>
                <w:b/>
                <w:bCs/>
                <w:color w:val="000000"/>
                <w:lang w:val="en-GB" w:eastAsia="nl-NL"/>
              </w:rPr>
              <w:t>Upregulated pathways</w:t>
            </w:r>
          </w:p>
        </w:tc>
      </w:tr>
      <w:tr w:rsidR="00822D13" w:rsidRPr="007D001E" w14:paraId="27096CBE" w14:textId="77777777" w:rsidTr="00890C83">
        <w:trPr>
          <w:trHeight w:val="300"/>
          <w:jc w:val="center"/>
        </w:trPr>
        <w:tc>
          <w:tcPr>
            <w:tcW w:w="4214" w:type="dxa"/>
            <w:shd w:val="clear" w:color="auto" w:fill="auto"/>
            <w:noWrap/>
            <w:vAlign w:val="bottom"/>
            <w:hideMark/>
          </w:tcPr>
          <w:p w14:paraId="7C326C85"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DNA replication</w:t>
            </w:r>
          </w:p>
        </w:tc>
        <w:tc>
          <w:tcPr>
            <w:tcW w:w="4252" w:type="dxa"/>
            <w:shd w:val="clear" w:color="auto" w:fill="auto"/>
            <w:noWrap/>
          </w:tcPr>
          <w:p w14:paraId="357A11CB" w14:textId="1C8B356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{"citationItems":[{"id":"ITEM-1","itemData":{"DOI":"10.1146/annurev.biochem.67.1.721","ISSN":"00664154","PMID":"9759502","abstract":"Replication of the two template strands at eukaryotic cell DNA replication forks is a highly coordinated process that ensures accurate and efficient genome duplication. Biochemical studies, principally of plasmid DNAs containing the Simian Virus 40 origin of DNA replication, and yeast genetic studies have uncovered the fundamental mechanisms of replication fork progression. At least two different DNA polymerases, a single-stranded DNA- binding protein, a clamp-loading complex, and a polymerase clamp combine to replicate DNA. Okazaki fragment synthesis involves a DNA polymerase-switching mechanism, and maturation occurs by the recruitment of specific nucleases, a helicase, and a ligase. The process of DNA replication is also coupled to cell-cycle progression and to DNA repair to maintain genome integrity.","author":[{"dropping-particle":"","family":"Waga","given":"Shou","non-dropping-particle":"","parse-names":false,"suffix":""},{"dropping-particle":"","family":"Stillman","given":"Bruce","non-dropping-particle":"","parse-names":false,"suffix":""}],"container-title":"Annual Review of Biochemistry","id":"ITEM-1","issued":{"date-parts":[["1998","11","28"]]},"page":"721-751","publisher":" Annual Reviews  4139 El Camino Way, P.O. Box 10139, Palo Alto, CA 94303-0139, USA  ","title":"The DNA replication fork in eukaryotic cells","type":"article","volume":"67"},"uris":["http://www.mendeley.com/documents/?uuid=a3982248-9149-393e-a72c-3b9353cf2fab"]}],"mendeley":{"formattedCitation":"&lt;sup&gt;1&lt;/sup&gt;","plainTextFormattedCitation":"1","previouslyFormattedCitation":"&lt;sup&gt;1&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1</w:t>
            </w:r>
            <w:r w:rsidRPr="007D001E">
              <w:rPr>
                <w:rFonts w:ascii="Calibri" w:eastAsia="Times New Roman" w:hAnsi="Calibri" w:cs="Calibri"/>
                <w:color w:val="000000"/>
                <w:lang w:val="en-GB" w:eastAsia="nl-NL"/>
              </w:rPr>
              <w:fldChar w:fldCharType="end"/>
            </w:r>
          </w:p>
        </w:tc>
      </w:tr>
      <w:tr w:rsidR="00822D13" w:rsidRPr="007D001E" w14:paraId="734338B6" w14:textId="77777777" w:rsidTr="00890C83">
        <w:trPr>
          <w:trHeight w:val="300"/>
          <w:jc w:val="center"/>
        </w:trPr>
        <w:tc>
          <w:tcPr>
            <w:tcW w:w="4214" w:type="dxa"/>
            <w:shd w:val="clear" w:color="auto" w:fill="auto"/>
            <w:noWrap/>
            <w:vAlign w:val="bottom"/>
            <w:hideMark/>
          </w:tcPr>
          <w:p w14:paraId="2F9D8041"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Mismatch repair</w:t>
            </w:r>
          </w:p>
        </w:tc>
        <w:tc>
          <w:tcPr>
            <w:tcW w:w="4252" w:type="dxa"/>
            <w:shd w:val="clear" w:color="auto" w:fill="auto"/>
            <w:noWrap/>
          </w:tcPr>
          <w:p w14:paraId="484DFF2D" w14:textId="0F093A1F" w:rsidR="00822D13" w:rsidRPr="007D001E" w:rsidRDefault="00493503" w:rsidP="00890C83">
            <w:pPr>
              <w:spacing w:after="0" w:line="300" w:lineRule="auto"/>
              <w:jc w:val="both"/>
              <w:rPr>
                <w:rFonts w:ascii="Calibri" w:eastAsia="Times New Roman" w:hAnsi="Calibri" w:cs="Calibri"/>
                <w:color w:val="000000"/>
                <w:lang w:val="en-GB" w:eastAsia="nl-NL"/>
              </w:rPr>
            </w:pPr>
            <w:r>
              <w:rPr>
                <w:rFonts w:ascii="Calibri" w:eastAsia="Times New Roman" w:hAnsi="Calibri" w:cs="Calibri"/>
                <w:color w:val="000000"/>
                <w:lang w:val="en-GB" w:eastAsia="nl-NL"/>
              </w:rPr>
              <w:fldChar w:fldCharType="begin" w:fldLock="1"/>
            </w:r>
            <w:r>
              <w:rPr>
                <w:rFonts w:ascii="Calibri" w:eastAsia="Times New Roman" w:hAnsi="Calibri" w:cs="Calibri"/>
                <w:color w:val="000000"/>
                <w:lang w:val="en-GB" w:eastAsia="nl-NL"/>
              </w:rPr>
              <w:instrText>ADDIN CSL_CITATION {"citationItems":[{"id":"ITEM-1","itemData":{"DOI":"10.1038/cr.2007.115","ISSN":"10010602","PMID":"18157157","abstract":"DNA mismatch repair (MMR) is a highly conserved biological pathway that plays a key role in maintaining genomic stability. The specificity of MMR is primarily for base-base mismatches and insertion/deletion mispairs generated during DNA replication and recombination. MMR also suppresses homeologous recombination and was recently shown to play a role in DNA damage signaling in eukaryotic cells. Escherichia coli MutS and MutL and their eukaryotic homologs, MutSα and MutLα, respectively, are key players in MMR-associated genome maintenance. Many other protein components that participate in various DNA metabolic pathways, such as PCNA and RPA, are also essential for MMR. Defects in MMR are associated with genome-wide instability, predisposition to certain types of cancer including hereditary non-polyposis colorectal cancer, resistance to certain chemotherapeutic agents, and abnormalities in meiosis and sterility in mammalian systems. © 2008 IBCB, SIBS, CAS. All rights reserved.","author":[{"dropping-particle":"","family":"Li","given":"Guo Min","non-dropping-particle":"","parse-names":false,"suffix":""}],"container-title":"Cell Research","id":"ITEM-1","issue":"1","issued":{"date-parts":[["2008","1","24"]]},"page":"85-98","publisher":"Nature Publishing Group","title":"Mechanisms and functions of DNA mismatch repair","type":"article","volume":"18"},"uris":["http://www.mendeley.com/documents/?uuid=5cf405e4-854c-361c-8137-fdbb0a51af37"]},{"id":"ITEM-2","itemData":{"DOI":"10.1038/nrm1907","ISSN":"14710072","PMID":"16612326","abstract":"By removing biosynthetic errors from newly synthesized DNA, mismatch repair (MMR) improves the fidelity of DNA replication by several orders of magnitude. Loss of MMR brings about a mutator phenotype, which causes a predisposition to cancer. But MMR status also affects meiotic and mitotic recombination, DNA-damage signalling, apoptosis and cell-type-specific processes such as class-switch recombination, somatic hypermutation and triplet-repeat expansion. This article reviews our current understanding of this multifaceted DNA-repair system in human cells.","author":[{"dropping-particle":"","family":"Jiricny","given":"Josef","non-dropping-particle":"","parse-names":false,"suffix":""}],"container-title":"Nature Reviews Molecular Cell Biology","id":"ITEM-2","issue":"5","issued":{"date-parts":[["2006","5","12"]]},"page":"335-346","publisher":"Nature Publishing Group","title":"The multifaceted mismatch-repair system","type":"article","volume":"7"},"uris":["http://www.mendeley.com/documents/?uuid=c657f4e8-47a3-30ae-9865-27f3175b2124"]}],"mendeley":{"formattedCitation":"&lt;sup&gt;2,3&lt;/sup&gt;","plainTextFormattedCitation":"2,3"},"properties":{"noteIndex":0},"schema":"https://github.com/citation-style-language/schema/raw/master/csl-citation.json"}</w:instrText>
            </w:r>
            <w:r>
              <w:rPr>
                <w:rFonts w:ascii="Calibri" w:eastAsia="Times New Roman" w:hAnsi="Calibri" w:cs="Calibri"/>
                <w:color w:val="000000"/>
                <w:lang w:val="en-GB" w:eastAsia="nl-NL"/>
              </w:rPr>
              <w:fldChar w:fldCharType="separate"/>
            </w:r>
            <w:r w:rsidRPr="00493503">
              <w:rPr>
                <w:rFonts w:ascii="Calibri" w:eastAsia="Times New Roman" w:hAnsi="Calibri" w:cs="Calibri"/>
                <w:noProof/>
                <w:color w:val="000000"/>
                <w:vertAlign w:val="superscript"/>
                <w:lang w:val="en-GB" w:eastAsia="nl-NL"/>
              </w:rPr>
              <w:t>2,3</w:t>
            </w:r>
            <w:r>
              <w:rPr>
                <w:rFonts w:ascii="Calibri" w:eastAsia="Times New Roman" w:hAnsi="Calibri" w:cs="Calibri"/>
                <w:color w:val="000000"/>
                <w:lang w:val="en-GB" w:eastAsia="nl-NL"/>
              </w:rPr>
              <w:fldChar w:fldCharType="end"/>
            </w:r>
          </w:p>
        </w:tc>
      </w:tr>
      <w:tr w:rsidR="00822D13" w:rsidRPr="007D001E" w14:paraId="38776CCB" w14:textId="77777777" w:rsidTr="00890C83">
        <w:trPr>
          <w:trHeight w:val="300"/>
          <w:jc w:val="center"/>
        </w:trPr>
        <w:tc>
          <w:tcPr>
            <w:tcW w:w="4214" w:type="dxa"/>
            <w:shd w:val="clear" w:color="auto" w:fill="auto"/>
            <w:noWrap/>
            <w:vAlign w:val="bottom"/>
            <w:hideMark/>
          </w:tcPr>
          <w:p w14:paraId="74E39660"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Fanconi anemia pathway</w:t>
            </w:r>
          </w:p>
        </w:tc>
        <w:tc>
          <w:tcPr>
            <w:tcW w:w="4252" w:type="dxa"/>
            <w:shd w:val="clear" w:color="auto" w:fill="auto"/>
            <w:noWrap/>
          </w:tcPr>
          <w:p w14:paraId="5A0CCF3E" w14:textId="302AE33B"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{"citationItems":[{"id":"ITEM-1","itemData":{"PMID":"20301575","abstract":"Fanconi anemia is a phenotypically and genotypically heterogeneous syndrome in which patients manifest various congenital abnormalities, bone marrow failure, and predisposition to malignancy. The primary dermatologic manifestations are pigmentation abnormalities (hyperpigmentation, hypopigmentation, café-au-lait spots) and cutaneous malignancies. The gene for one of the complementation groups (FACC) has been cloned, and the gene product has been shown to have a cytoplasmic localization, ruling out a direct role for the Fanconi anemia gene in DNA repair. A better understanding of the function of the FACC polypeptide, and the cloning of genes for the other Fanconi anemia complementation groups, should lead to a better understanding of the basic problems of birth defects and cancer predisposition and the interaction of genetic and epigenetic factors in the pathogenesis of these problems.","author":[{"dropping-particle":"","family":"Hays","given":"Laura","non-dropping-particle":"","parse-names":false,"suffix":""},{"dropping-particle":"","family":"Frohnmayer","given":"Dave","non-dropping-particle":"","parse-names":false,"suffix":""},{"dropping-particle":"","family":"Frohnmayer","given":"Lynn","non-dropping-particle":"","parse-names":false,"suffix":""},{"dropping-particle":"","family":"Larsen","given":"Kim","non-dropping-particle":"","parse-names":false,"suffix":""},{"dropping-particle":"","family":"Owen","given":"Joyce","non-dropping-particle":"","parse-names":false,"suffix":""}],"container-title":"Fanconi Anemia Research Fund, Inc.","id":"ITEM-1","issued":{"date-parts":[["2014","6","3"]]},"page":"1-391","publisher":"University of Washington, Seattle","title":"Fanconi Anemia: Guidelines for Diagnosis and Management","type":"article-journal"},"uris":["http://www.mendeley.com/documents/?uuid=07aa30f2-ca8c-3e43-a8d5-8d4940516ad6"]},{"id":"ITEM-2","itemData":{"DOI":"10.1146/annurev-genet-102108-134222","ISSN":"00664197","PMID":"19686080","abstract":"Fanconi Anemia (FA) is an inherited genomic instability disorder, caused by mutations in genes regulating replication-dependent removal of interstrand DNA crosslinks. The Fanconi Anemia pathway is thought to coordinate a complex mechanism that enlists elements of three classic DNA repair pathways, namely homologous recombination, nucleotide excision repair, and mutagenic translesion synthesis, in response to genotoxic insults. To this end, the Fanconi Anemia pathway employs a unique nuclear protein complex that ubiquitinates FANCD2 and FANCI, leading to formation of DNA repair structures. Lack of obvious enzymatic activities among most FA members has made it challenging to unravel its precise modus operandi. Here we review the current understanding of how the Fanconi Anemia pathway components participate in DNA repair and discuss the mechanisms that regulate this pathway to ensure timely, efficient, and correct restoration of chromosomal integrity. Copyright © 2009 by Annual Reviews. All rights reserved.","author":[{"dropping-particle":"","family":"Moldovan","given":"George Lucian","non-dropping-particle":"","parse-names":false,"suffix":""},{"dropping-particle":"","family":"D'Andrea","given":"Alan D.","non-dropping-particle":"","parse-names":false,"suffix":""}],"container-title":"Annual Review of Genetics","id":"ITEM-2","issued":{"date-parts":[["2009","12","1"]]},"page":"223-249","publisher":" Annual Reviews ","title":"How the fanconi anemia pathway guards the genome","type":"article","volume":"43"},"uris":["http://www.mendeley.com/documents/?uuid=74537dbb-df20-32e7-b7e5-9a853e8dccd2"]}],"mendeley":{"formattedCitation":"&lt;sup&gt;4,5&lt;/sup&gt;","plainTextFormattedCitation":"4,5","previouslyFormattedCitation":"&lt;sup&gt;4,5&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4,5</w:t>
            </w:r>
            <w:r w:rsidRPr="007D001E">
              <w:rPr>
                <w:rFonts w:ascii="Calibri" w:eastAsia="Times New Roman" w:hAnsi="Calibri" w:cs="Calibri"/>
                <w:color w:val="000000"/>
                <w:lang w:val="en-GB" w:eastAsia="nl-NL"/>
              </w:rPr>
              <w:fldChar w:fldCharType="end"/>
            </w:r>
          </w:p>
        </w:tc>
      </w:tr>
      <w:tr w:rsidR="00822D13" w:rsidRPr="007D001E" w14:paraId="39AB3269" w14:textId="77777777" w:rsidTr="00890C83">
        <w:trPr>
          <w:trHeight w:val="300"/>
          <w:jc w:val="center"/>
        </w:trPr>
        <w:tc>
          <w:tcPr>
            <w:tcW w:w="4214" w:type="dxa"/>
            <w:shd w:val="clear" w:color="auto" w:fill="auto"/>
            <w:noWrap/>
            <w:vAlign w:val="bottom"/>
            <w:hideMark/>
          </w:tcPr>
          <w:p w14:paraId="58957778"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Homologous recombination</w:t>
            </w:r>
          </w:p>
        </w:tc>
        <w:tc>
          <w:tcPr>
            <w:tcW w:w="4252" w:type="dxa"/>
            <w:shd w:val="clear" w:color="auto" w:fill="auto"/>
            <w:noWrap/>
          </w:tcPr>
          <w:p w14:paraId="79151A9F" w14:textId="74F74BDC"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{"citationItems":[{"id":"ITEM-1","itemData":{"DOI":"10.1016/j.dnarep.2007.02.016","ISSN":"15687864","PMID":"17395553","abstract":"Recombination proteins play crucial roles in the rescue of inactivated replication forks in Escherichia coli. The enzymes that catalyze the repair of DNA double-strand breaks by a classical strand-exchange reaction (RecBCD, RecA) act in two well-characterized fork repair pathways. They repair the DNA double-strand end made when a replication fork runs into a single-strand interruption. They reset the DNA double-strand end generated by replication fork reversal when a component of the replication machinery is inactivated. In addition, recombination proteins also act at replication forks in ways other than the classical strand-exchange reaction. For example, the RuvAB enzyme that catalyzes Holliday junction branch-migration during homologous recombination is also able to catalyze replication fork reversal in certain replication mutants, i.e. to convert certain blocked replication forks into Holliday junctions. Finally, some of the actions of recombination proteins after replication impairment are still unclear, as for example in UV-irradiated cells, where RecFOR and RecA catalyze gap repair but also participate, in a yet undefined way, in \"replisome reactivation\". © 2007 Elsevier B.V. All rights reserved.","author":[{"dropping-particle":"","family":"Michel","given":"Bénédicte","non-dropping-particle":"","parse-names":false,"suffix":""},{"dropping-particle":"","family":"Boubakri","given":"Hasna","non-dropping-particle":"","parse-names":false,"suffix":""},{"dropping-particle":"","family":"Baharoglu","given":"Zeynep","non-dropping-particle":"","parse-names":false,"suffix":""},{"dropping-particle":"","family":"LeMasson","given":"Marie","non-dropping-particle":"","parse-names":false,"suffix":""},{"dropping-particle":"","family":"Lestini","given":"Roxane","non-dropping-particle":"","parse-names":false,"suffix":""}],"container-title":"DNA Repair","id":"ITEM-1","issue":"7","issued":{"date-parts":[["2007","7","1"]]},"page":"967-980","publisher":"Elsevier","title":"Recombination proteins and rescue of arrested replication forks","type":"article-journal","volume":"6"},"uris":["http://www.mendeley.com/documents/?uuid=21731be5-7e40-360e-8bd4-aab8aef69430"]},{"id":"ITEM-2","itemData":{"DOI":"10.1128/mcb.01651-07","ISSN":"0270-7306","PMID":"18086882","abstract":" DNA polymerases play a central role during homologous recombination (HR), but the identity of the enzyme(s) implicated remains elusive. The pol3-ct allele of the gene encoding the catalytic subunit of DNA polymerase δ (Polδ) has highlighted a role for this polymerase in meiotic HR. We now address the ubiquitous role of Polδ during HR in somatic cells. We find that pol3-ct affects gene conversion tract length during mitotic recombination whether the event is initiated by single-strand gaps following UV irradiation or by site-specific double-strand breaks. We show that the pol3-ct effects on gene conversion are completely independent of mismatch repair, indicating that shorter gene conversion tracts in pol3-ct correspond to shorter extensions of primed DNA synthesis. Interestingly, we find that shorter repair tracts do not favor synthesis-dependent strand annealing at the expense of double-strand-break repair. Finally, we show that the DNA polymerases that have been previously suspected to mediate HR repair synthesis (Polε and Polη) do not affect gene conversion during induced HR, including in the pol3-ct background. Our results argue strongly for the preferential recruitment of Polδ during HR. ","author":[{"dropping-particle":"","family":"Maloisel","given":"Laurent","non-dropping-particle":"","parse-names":false,"suffix":""},{"dropping-particle":"","family":"Fabre","given":"Francis","non-dropping-particle":"","parse-names":false,"suffix":""},{"dropping-particle":"","family":"Gangloff","given":"Serge","non-dropping-particle":"","parse-names":false,"suffix":""}],"container-title":"Molecular and Cellular Biology","id":"ITEM-2","issue":"4","issued":{"date-parts":[["2008","2","15"]]},"page":"1373-1382","publisher":"American Society for Microbiology","title":"DNA Polymerase δ Is Preferentially Recruited during Homologous Recombination To Promote Heteroduplex DNA Extension","type":"article-journal","volume":"28"},"uris":["http://www.mendeley.com/documents/?uuid=b2b902ed-04e3-3bca-8ee2-cf2ccd02a86c"]}],"mendeley":{"formattedCitation":"&lt;sup&gt;6,7&lt;/sup&gt;","plainTextFormattedCitation":"6,7","previouslyFormattedCitation":"&lt;sup&gt;6,7&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6,7</w:t>
            </w:r>
            <w:r w:rsidRPr="007D001E">
              <w:rPr>
                <w:rFonts w:ascii="Calibri" w:eastAsia="Times New Roman" w:hAnsi="Calibri" w:cs="Calibri"/>
                <w:color w:val="000000"/>
                <w:lang w:val="en-GB" w:eastAsia="nl-NL"/>
              </w:rPr>
              <w:fldChar w:fldCharType="end"/>
            </w:r>
          </w:p>
        </w:tc>
      </w:tr>
      <w:tr w:rsidR="00822D13" w:rsidRPr="007D001E" w14:paraId="0382A070" w14:textId="77777777" w:rsidTr="00890C83">
        <w:trPr>
          <w:trHeight w:val="300"/>
          <w:jc w:val="center"/>
        </w:trPr>
        <w:tc>
          <w:tcPr>
            <w:tcW w:w="4214" w:type="dxa"/>
            <w:shd w:val="clear" w:color="auto" w:fill="auto"/>
            <w:noWrap/>
            <w:vAlign w:val="bottom"/>
            <w:hideMark/>
          </w:tcPr>
          <w:p w14:paraId="77B9A84E"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RNA polymerase</w:t>
            </w:r>
          </w:p>
        </w:tc>
        <w:tc>
          <w:tcPr>
            <w:tcW w:w="4252" w:type="dxa"/>
            <w:shd w:val="clear" w:color="auto" w:fill="auto"/>
            <w:noWrap/>
          </w:tcPr>
          <w:p w14:paraId="287AA116" w14:textId="0CB38A4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{"citationItems":[{"id":"ITEM-1","itemData":{"DOI":"10.1146/annurev.biophys.37.032807.130008","ISBN":"9780824318376","ISSN":"1936122X","PMID":"18573085","abstract":"The eukaryotic RNA polymerases Pol I, Pol II, and Pol III are the central multiprotein machines that synthesize ribosomal, messenger, and transfer RNA, respectively. Here we provide a catalog of available structural information for these three enzymes. Most structural data have been accumulated for Pol II and its functional complexes. These studies have provided insights into many aspects of the transcription mechanism, including initiation at promoter DNA, elongation of the mRNA chain, tunability of the polymerase active site, which supports RNA synthesis and cleavage, and the response of Pol II to DNA lesions. Detailed structural studies of Pol I and Pol III were reported recently and showed that the active center region and core enzymes are similar to Pol II and that strong structural differences on the surfaces account for gene class-specific functions. Copyright © 2008 by Annual Reviews. All rights reserved.","author":[{"dropping-particle":"","family":"Cramer","given":"P.","non-dropping-particle":"","parse-names":false,"suffix":""},{"dropping-particle":"","family":"Armache","given":"K. J.","non-dropping-particle":"","parse-names":false,"suffix":""},{"dropping-particle":"","family":"Baumli","given":"S.","non-dropping-particle":"","parse-names":false,"suffix":""},{"dropping-particle":"","family":"Benkert","given":"S.","non-dropping-particle":"","parse-names":false,"suffix":""},{"dropping-particle":"","family":"Brueckner","given":"F.","non-dropping-particle":"","parse-names":false,"suffix":""},{"dropping-particle":"","family":"Buchen","given":"C.","non-dropping-particle":"","parse-names":false,"suffix":""},{"dropping-particle":"","family":"Damsma","given":"G. E.","non-dropping-particle":"","parse-names":false,"suffix":""},{"dropping-particle":"","family":"Dengl","given":"S.","non-dropping-particle":"","parse-names":false,"suffix":""},{"dropping-particle":"","family":"Geiger","given":"S. R.","non-dropping-particle":"","parse-names":false,"suffix":""},{"dropping-particle":"","family":"Jasiak","given":"A. J.","non-dropping-particle":"","parse-names":false,"suffix":""},{"dropping-particle":"","family":"Jawhari","given":"A.","non-dropping-particle":"","parse-names":false,"suffix":""},{"dropping-particle":"","family":"Jennebach","given":"S.","non-dropping-particle":"","parse-names":false,"suffix":""},{"dropping-particle":"","family":"Kamenski","given":"T.","non-dropping-particle":"","parse-names":false,"suffix":""},{"dropping-particle":"","family":"Kettenberger","given":"H.","non-dropping-particle":"","parse-names":false,"suffix":""},{"dropping-particle":"","family":"Kuhn","given":"C. D.","non-dropping-particle":"","parse-names":false,"suffix":""},{"dropping-particle":"","family":"Lehmann","given":"E.","non-dropping-particle":"","parse-names":false,"suffix":""},{"dropping-particle":"","family":"Leike","given":"K.","non-dropping-particle":"","parse-names":false,"suffix":""},{"dropping-particle":"","family":"Sydow","given":"J. F.","non-dropping-particle":"","parse-names":false,"suffix":""},{"dropping-particle":"","family":"Vannini","given":"A.","non-dropping-particle":"","parse-names":false,"suffix":""}],"container-title":"Annual Review of Biophysics","id":"ITEM-1","issued":{"date-parts":[["2008","5","7"]]},"page":"337-352","publisher":" Annual Reviews ","title":"Structure of eukaryotic RNA polymerases","type":"article","volume":"37"},"uris":["http://www.mendeley.com/documents/?uuid=5783c3b3-01f0-3994-a47b-e12b998bcbf1"]}],"mendeley":{"formattedCitation":"&lt;sup&gt;8&lt;/sup&gt;","plainTextFormattedCitation":"8","previouslyFormattedCitation":"&lt;sup&gt;8&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8</w:t>
            </w:r>
            <w:r w:rsidRPr="007D001E">
              <w:rPr>
                <w:rFonts w:ascii="Calibri" w:eastAsia="Times New Roman" w:hAnsi="Calibri" w:cs="Calibri"/>
                <w:color w:val="000000"/>
                <w:lang w:val="en-GB" w:eastAsia="nl-NL"/>
              </w:rPr>
              <w:fldChar w:fldCharType="end"/>
            </w:r>
          </w:p>
        </w:tc>
      </w:tr>
      <w:tr w:rsidR="00822D13" w:rsidRPr="007D001E" w14:paraId="3EF5CB46" w14:textId="77777777" w:rsidTr="00890C83">
        <w:trPr>
          <w:trHeight w:val="300"/>
          <w:jc w:val="center"/>
        </w:trPr>
        <w:tc>
          <w:tcPr>
            <w:tcW w:w="4214" w:type="dxa"/>
            <w:shd w:val="clear" w:color="auto" w:fill="auto"/>
            <w:noWrap/>
            <w:vAlign w:val="bottom"/>
            <w:hideMark/>
          </w:tcPr>
          <w:p w14:paraId="45519B30"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Fatty acid biosynthesis</w:t>
            </w:r>
          </w:p>
        </w:tc>
        <w:tc>
          <w:tcPr>
            <w:tcW w:w="4252" w:type="dxa"/>
            <w:shd w:val="clear" w:color="auto" w:fill="auto"/>
            <w:noWrap/>
          </w:tcPr>
          <w:p w14:paraId="66BB6A9C" w14:textId="7B6A1E40"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{"citationItems":[{"id":"ITEM-1","itemData":{"DOI":"10.1016/j.plipres.2009.08.001","ISSN":"01637827","PMID":"19686777","abstract":"The highly conserved fatty acid de novo synthesis pathway in mitochondria proceeds in an acyl carrier protein-dependent manner through a discrete set of enzymes. Saccharomyces cerevisiae has served as a model for studies of mitochondrial fatty acid synthesis type II (FAS II) and as a template for identification of mammalian components. Inactivation of mitochondrial FAS II in yeast results in respiratory deficiency and loss of cytochromes. The pathway produces the octanoyl-ACP substrate for lipoic acid synthesis, but several pieces of evidence indicate that it is capable of the generation of longer fatty acids. A number of structures of mitochondrial FAS II enzymes have been published in the past few years, allowing for a comparison with their prokaryotic counterparts, several of which have been described as promising targets for antibiotics. Recently, novel links between mitochondrial FAS and RNA processing in yeast and vertebrates have been reported. In S. cerevisiae, deficiency in mitochondrial FAS results in failure of maturation of mitochondrial RNAse P, while, in mammals, mitochondrial 3-hydroxyacyl thioester dehydratase and the RPP14 subunit of RNase P are encoded by the same bicistronic transcript. The first publications linking mitochondrial FAS II to disease states in mammals are emerging. © 2009 Elsevier Ltd. All rights reserved.","author":[{"dropping-particle":"","family":"Hiltunen","given":"J. Kalervo","non-dropping-particle":"","parse-names":false,"suffix":""},{"dropping-particle":"","family":"Chen","given":"Zhijun","non-dropping-particle":"","parse-names":false,"suffix":""},{"dropping-particle":"","family":"Haapalainen","given":"Antti M.","non-dropping-particle":"","parse-names":false,"suffix":""},{"dropping-particle":"","family":"Wierenga","given":"Rik K.","non-dropping-particle":"","parse-names":false,"suffix":""},{"dropping-particle":"","family":"Kastaniotis","given":"Alexander J.","non-dropping-particle":"","parse-names":false,"suffix":""}],"container-title":"Progress in Lipid Research","id":"ITEM-1","issue":"1","issued":{"date-parts":[["2010","1","1"]]},"page":"27-45","publisher":"Pergamon","title":"Mitochondrial fatty acid synthesis - An adopted set of enzymes making a pathway of major importance for the cellular metabolism","type":"article","volume":"49"},"uris":["http://www.mendeley.com/documents/?uuid=bb915fd8-f678-3f5c-bc71-ff8ccd0492ff"]},{"id":"ITEM-2","itemData":{"DOI":"10.1016/j.bbalip.2016.08.011","ISSN":"18792618","PMID":"27553474","abstract":"Mitochondria and fatty acids are tightly connected to a multiplicity of cellular processes that go far beyond mitochondrial fatty acid metabolism. In line with this view, there is hardly any common metabolic disorder that is not associated with disturbed mitochondrial lipid handling. Among other aspects of mitochondrial lipid metabolism, apparently all eukaryotes are capable of carrying out de novo fatty acid synthesis (FAS) in this cellular compartment in an acyl carrier protein (ACP)-dependent manner. The dual localization of FAS in eukaryotic cells raises the questions why eukaryotes have maintained the FAS in mitochondria in addition to the “classic” cytoplasmic FAS and what the products are that cannot be substituted by delivery of fatty acids of extramitochondrial origin. The current evidence indicates that mitochondrial FAS is essential for cellular respiration and mitochondrial biogenesis. Although both β-oxidation and FAS utilize thioester chemistry, CoA acts as acyl-group carrier in the breakdown pathway whereas ACP assumes this role in the synthetic direction. This arrangement metabolically separates these two pathways running towards opposite directions and prevents futile cycling. A role of this pathway in mitochondrial metabolic sensing has recently been proposed. This article is part of a Special Issue entitled: Lipids of Mitochondria edited by Guenther Daum.","author":[{"dropping-particle":"","family":"Kastaniotis","given":"Alexander J.","non-dropping-particle":"","parse-names":false,"suffix":""},{"dropping-particle":"","family":"Autio","given":"Kaija J.","non-dropping-particle":"","parse-names":false,"suffix":""},{"dropping-particle":"","family":"Kerätär","given":"Juha M.","non-dropping-particle":"","parse-names":false,"suffix":""},{"dropping-particle":"","family":"Monteuuis","given":"Geoffray","non-dropping-particle":"","parse-names":false,"suffix":""},{"dropping-particle":"","family":"Mäkelä","given":"Anne M.","non-dropping-particle":"","parse-names":false,"suffix":""},{"dropping-particle":"","family":"Nair","given":"Remya R.","non-dropping-particle":"","parse-names":false,"suffix":""},{"dropping-particle":"","family":"Pietikäinen","given":"Laura P.","non-dropping-particle":"","parse-names":false,"suffix":""},{"dropping-particle":"","family":"Shvetsova","given":"Antonina","non-dropping-particle":"","parse-names":false,"suffix":""},{"dropping-particle":"","family":"Chen","given":"Zhijun","non-dropping-particle":"","parse-names":false,"suffix":""},{"dropping-particle":"","family":"Hiltunen","given":"J. Kalervo","non-dropping-particle":"","parse-names":false,"suffix":""}],"container-title":"Biochimica et Biophysica Acta - Molecular and Cell Biology of Lipids","id":"ITEM-2","issue":"1","issued":{"date-parts":[["2017","1","1"]]},"page":"39-48","publisher":"Elsevier B.V.","title":"Mitochondrial fatty acid synthesis, fatty acids and mitochondrial physiology","type":"article","volume":"1862"},"uris":["http://www.mendeley.com/documents/?uuid=ab012435-19f0-3f0c-ba05-45a771647bc9"]}],"mendeley":{"formattedCitation":"&lt;sup&gt;9,10&lt;/sup&gt;","plainTextFormattedCitation":"9,10","previouslyFormattedCitation":"&lt;sup&gt;9,10&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9,10</w:t>
            </w:r>
            <w:r w:rsidRPr="007D001E">
              <w:rPr>
                <w:rFonts w:ascii="Calibri" w:eastAsia="Times New Roman" w:hAnsi="Calibri" w:cs="Calibri"/>
                <w:color w:val="000000"/>
                <w:lang w:val="en-GB" w:eastAsia="nl-NL"/>
              </w:rPr>
              <w:fldChar w:fldCharType="end"/>
            </w:r>
          </w:p>
        </w:tc>
      </w:tr>
      <w:tr w:rsidR="00822D13" w:rsidRPr="007D001E" w14:paraId="19F2FA42" w14:textId="77777777" w:rsidTr="00890C83">
        <w:trPr>
          <w:trHeight w:val="300"/>
          <w:jc w:val="center"/>
        </w:trPr>
        <w:tc>
          <w:tcPr>
            <w:tcW w:w="4214" w:type="dxa"/>
            <w:shd w:val="clear" w:color="auto" w:fill="auto"/>
            <w:noWrap/>
            <w:vAlign w:val="bottom"/>
            <w:hideMark/>
          </w:tcPr>
          <w:p w14:paraId="768405C8"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Nucleotide excision repair</w:t>
            </w:r>
          </w:p>
        </w:tc>
        <w:tc>
          <w:tcPr>
            <w:tcW w:w="4252" w:type="dxa"/>
            <w:shd w:val="clear" w:color="auto" w:fill="auto"/>
            <w:noWrap/>
          </w:tcPr>
          <w:p w14:paraId="41DEC331" w14:textId="11360FB0" w:rsidR="00822D13" w:rsidRPr="007D001E" w:rsidRDefault="00822D13" w:rsidP="00890C83">
            <w:pPr>
              <w:spacing w:after="0" w:line="300" w:lineRule="auto"/>
              <w:jc w:val="both"/>
              <w:rPr>
                <w:rFonts w:ascii="Calibri" w:eastAsia="Times New Roman" w:hAnsi="Calibri" w:cs="Calibri"/>
                <w:color w:val="000000"/>
                <w:lang w:val="en-GB" w:eastAsia="nl-NL"/>
              </w:rPr>
            </w:pPr>
            <w:r>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{"citationItems":[{"id":"ITEM-1","itemData":{"DOI":"10.1038/35094000","ISSN":"1474-175X","PMID":"11900249","abstract":"Eukaryotic cells can repair many types of DNA damage. Among the known DNA repair processes in humans, one type - nucleotide excision repair (NER) - specifically protects against mutations caused indirectly by environmental carcinogens. Humans with a hereditary defect in NER suffer from xeroderma pigmentosum and have a marked predisposition to skin cancer caused by sunlight exposure. How does NER protect against skin cancer and possibly other types of environmentally induced cancer in humans?","author":[{"dropping-particle":"","family":"Friedberg","given":"Errol C.","non-dropping-particle":"","parse-names":false,"suffix":""}],"container-title":"Nature reviews. Cancer","id":"ITEM-1","issue":"1","issued":{"date-parts":[["2001"]]},"page":"22-33","publisher":"Nat Rev Cancer","title":"How nucleotide excision repair protects against cancer","type":"article-journal","volume":"1"},"uris":["http://www.mendeley.com/documents/?uuid=36ec4873-a6a8-3afe-bd91-21a4bc4d18ce"]}],"mendeley":{"formattedCitation":"&lt;sup&gt;11&lt;/sup&gt;","plainTextFormattedCitation":"11","previouslyFormattedCitation":"&lt;sup&gt;11&lt;/sup&gt;"},"properties":{"noteIndex":0},"schema":"https://github.com/citation-style-language/schema/raw/master/csl-citation.json"}</w:instrText>
            </w:r>
            <w:r>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11</w:t>
            </w:r>
            <w:r>
              <w:rPr>
                <w:rFonts w:ascii="Calibri" w:eastAsia="Times New Roman" w:hAnsi="Calibri" w:cs="Calibri"/>
                <w:color w:val="000000"/>
                <w:lang w:val="en-GB" w:eastAsia="nl-NL"/>
              </w:rPr>
              <w:fldChar w:fldCharType="end"/>
            </w:r>
          </w:p>
        </w:tc>
      </w:tr>
      <w:tr w:rsidR="00822D13" w:rsidRPr="007D001E" w14:paraId="0C9C5FE0" w14:textId="77777777" w:rsidTr="00890C83">
        <w:trPr>
          <w:trHeight w:val="300"/>
          <w:jc w:val="center"/>
        </w:trPr>
        <w:tc>
          <w:tcPr>
            <w:tcW w:w="4214" w:type="dxa"/>
            <w:shd w:val="clear" w:color="auto" w:fill="auto"/>
            <w:noWrap/>
            <w:vAlign w:val="bottom"/>
          </w:tcPr>
          <w:p w14:paraId="19776615"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Endocrine and other factor regulated calcium reabsoprtion</w:t>
            </w:r>
          </w:p>
        </w:tc>
        <w:tc>
          <w:tcPr>
            <w:tcW w:w="4252" w:type="dxa"/>
            <w:shd w:val="clear" w:color="auto" w:fill="auto"/>
            <w:noWrap/>
            <w:vAlign w:val="bottom"/>
          </w:tcPr>
          <w:p w14:paraId="1493FEA3" w14:textId="4A5CD045"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{"citationItems":[{"id":"ITEM-1","itemData":{"DOI":"10.1152/ajpgi.00036.2003","ISSN":"01931857","PMID":"12620887","abstract":"The epithelial Ca2+ channels TRPV5 and TRPV6 are localized to the brush border membrane of intestinal cells and constitute the postulated rate-limiting entry step of active Ca2+ absorption. The aim of the present study was to investigate the hormonal regulation of these channels. To this end, the effect of 17β-estradiol (17β-E2), 1,25-dihydroxyvitamin D3 [1,25(OH)2D3], and dietary Ca2+ on the expression of the duodenal Ca2+ transport proteins was investigated in vivo and analyzed using realtime quantitative PCR. Supplementation with 17β-E2 increased duodenal gene expression of TRPV5 and TRPV6 but also calbindin-D9K and plasma membrane Ca2+-ATPase (PMCA1b) in ovariectomized rats. 25-Hydroxyvitamin D3-1α hydroxylase (1α-OHase) knockout mice are characterized by hyperparathyroidism, rickets, hypocalcemia, and undetectable levels of 1,25(OH)2D3 and were used to study the 1,25(OH)2D3-dependency of the stimulatory effects of 17β-E2. Treatment with 17β-E2 upregulated mRNA levels of duodenal TRPV6 in these 1α-OHase knockout mice, which was accompanied by increased serum Ca2+ concentrations from 1.69 ± 0.10 to 2.03 ± 0.12 mM (P &lt; 0.05). In addition, high dietary Ca2+ intake normalized serum Ca2+ in these mice and upregulated expression of genes encoding the duodenal Ca2+ transport proteins except for PMCA1b. Supplementation with 1,25(OH)2D3 resulted in increased expression of TRPV6, calbindin-D9K, and PMCA1b and normalization of serum Ca2+. Expression levels of duodenal TRPV5 mRNA are below detection limits in these 1α-OHase knockout mice, but supplementation with 1,25(OH)2D3 upregulated the expression to significant levels. In conclusion, TRPV5 and TRPV6 are regulated by 17β-E2 and 1,25(OH)2D3, whereas dietary Ca2+ is positively involved in the regulation of TRPV6 only.","author":[{"dropping-particle":"","family":"Abel","given":"Monique","non-dropping-particle":"Van","parse-names":false,"suffix":""},{"dropping-particle":"","family":"Hoenderop","given":"Joost G.J.","non-dropping-particle":"","parse-names":false,"suffix":""},{"dropping-particle":"","family":"Kemp","given":"Annemiete W.C.M.","non-dropping-particle":"Van der","parse-names":false,"suffix":""},{"dropping-particle":"","family":"Leeuwen","given":"Johannes P.T.M.","non-dropping-particle":"Van","parse-names":false,"suffix":""},{"dropping-particle":"","family":"Bindels","given":"René J.M.","non-dropping-particle":"","parse-names":false,"suffix":""}],"container-title":"American Journal of Physiology - Gastrointestinal and Liver Physiology","id":"ITEM-1","issue":"1 48-1","issued":{"date-parts":[["2003","7","1"]]},"publisher":"American Physiological Society","title":"Regulation of the epithelial Ca2+ channels in small intestine as studied by quantitative mRNA detection","type":"article-journal","volume":"285"},"uris":["http://www.mendeley.com/documents/?uuid=41d3274f-7742-33f0-b454-9038471561b2"]},{"id":"ITEM-2","itemData":{"DOI":"10.1073/pnas.231474698","ISSN":"00278424","PMID":"11687634","abstract":"Rickets and hyperparathyroidism caused by a defective vitamin D receptor (VDR) can be prevented in humans and animals by high calcium intake, suggesting that intestinal calcium absorption is critical for 1,25(OH)2 vitamin D [1,25(OH)2D3] action on calcium homeostasis. We assessed the rate of serum 45Ca accumulation within 10 min of oral gavage in two strains of VDR-knockout (KO) mice (Leuven and Tokyo KO) and observed a 3-fold lower area under the curve in both KO strains. Moreover, we evaluated the expression of intestinal candidate genes involved in transcellular calcium transport. The calcium transport protein1 (CAT1) was more abundantly expressed at mRNA level than the epithelial calcium channel (ECaC) in duodenum, but both were considerably reduced (CAT1&gt;90%, ECaC&gt;60%) in the two VDR-KO strains on a normal calcium diet. Calbindin-D9K expression was decreased only in the Tokyo KO, whereas plasma membrane calcium ATPase (PMCA1b) expression was normal in both VDR-KOs. In Leuven wild-type mice, a high calcium diet inhibited (&gt;90%) and 1,25(OH)2D3 injection or low calcium diet induced (6-fold) duodenal CaT1 expression and, to a lesser degree, ECaC and calbindin-D9K expression. In Leuven KO mice, however, high or low calcium intake decreased calbindin-D9K and PMCA1b expression, whereas CaT1 and ECaC expression remained consistently low on any diet. These results suggest that the expression of the novel duodenal epithelial calcium channels (in particular CAT1) is strongly vitamin D-dependent, and that calcium influx, probably interacting with calbindin-D9K, should be considered as a rate-limiting step in the process of vitamin D-dependent active calcium absorption.","author":[{"dropping-particle":"","family":"Cromphaut","given":"Sophie J.","non-dropping-particle":"Van","parse-names":false,"suffix":""},{"dropping-particle":"","family":"Dewerchin","given":"Mieke","non-dropping-particle":"","parse-names":false,"suffix":""},{"dropping-particle":"","family":"Hoenderop","given":"Joost G.J.","non-dropping-particle":"","parse-names":false,"suffix":""},{"dropping-particle":"","family":"Stockmans","given":"Ingrid","non-dropping-particle":"","parse-names":false,"suffix":""},{"dropping-particle":"","family":"Herck","given":"Erik","non-dropping-particle":"Van","parse-names":false,"suffix":""},{"dropping-particle":"","family":"Kato","given":"Shigeaki","non-dropping-particle":"","parse-names":false,"suffix":""},{"dropping-particle":"","family":"Bindels","given":"René J.M.","non-dropping-particle":"","parse-names":false,"suffix":""},{"dropping-particle":"","family":"Collen","given":"Désiré","non-dropping-particle":"","parse-names":false,"suffix":""},{"dropping-particle":"","family":"Carmeliet","given":"Peter","non-dropping-particle":"","parse-names":false,"suffix":""},{"dropping-particle":"","family":"Bouillon","given":"Roger","non-dropping-particle":"","parse-names":false,"suffix":""},{"dropping-particle":"","family":"Carmeliet","given":"Geert","non-dropping-particle":"","parse-names":false,"suffix":""}],"container-title":"Proceedings of the National Academy of Sciences of the United States of America","id":"ITEM-2","issue":"23","issued":{"date-parts":[["2001","11","6"]]},"page":"13324-13329","publisher":"National Academy of Sciences","title":"Duodenal calcium absorption in vitamin D receptor-knockout mice: Functional and molecular aspects","type":"article-journal","volume":"98"},"uris":["http://www.mendeley.com/documents/?uuid=3ca5c627-ca08-3029-9d1a-c8aca695fed4"]}],"mendeley":{"formattedCitation":"&lt;sup&gt;12,13&lt;/sup&gt;","plainTextFormattedCitation":"12,13","previouslyFormattedCitation":"&lt;sup&gt;12,13&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12,13</w:t>
            </w:r>
            <w:r w:rsidRPr="007D001E">
              <w:rPr>
                <w:rFonts w:ascii="Calibri" w:eastAsia="Times New Roman" w:hAnsi="Calibri" w:cs="Calibri"/>
                <w:lang w:val="en-GB" w:eastAsia="nl-NL"/>
              </w:rPr>
              <w:fldChar w:fldCharType="end"/>
            </w:r>
          </w:p>
        </w:tc>
      </w:tr>
      <w:tr w:rsidR="00822D13" w:rsidRPr="007D001E" w14:paraId="0938029C" w14:textId="77777777" w:rsidTr="00890C83">
        <w:trPr>
          <w:trHeight w:val="300"/>
          <w:jc w:val="center"/>
        </w:trPr>
        <w:tc>
          <w:tcPr>
            <w:tcW w:w="4214" w:type="dxa"/>
            <w:shd w:val="clear" w:color="auto" w:fill="auto"/>
            <w:noWrap/>
            <w:vAlign w:val="bottom"/>
          </w:tcPr>
          <w:p w14:paraId="6616D1BD"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Alanine, aspartate and glutamate metabolism</w:t>
            </w:r>
          </w:p>
        </w:tc>
        <w:tc>
          <w:tcPr>
            <w:tcW w:w="4252" w:type="dxa"/>
            <w:shd w:val="clear" w:color="auto" w:fill="auto"/>
            <w:noWrap/>
          </w:tcPr>
          <w:p w14:paraId="147936CD" w14:textId="094F0F09"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{"citationItems":[{"id":"ITEM-1","itemData":{"DOI":"10.1093/jn/128.8.1249","ISSN":"00223166","PMID":"9687539","abstract":"The small intestine is not only responsible for terminal digestion and absorption of nutrients, but it also plays an important role in catabolism of arterial glutamine and dietary amino acids. Most of glutamine and almost all of glutamine and aspartate in the diet are catabolized by small intestinal mucosa, and CO2 accounts for 56-64% of their metabolized carbons. The small intestinal mucosa also plays an important role in degrading arginine, proline and branched-chain amino acids, and perhaps methionine, lysine, phenylalanine, threonine, glycine and serine in the diet, such that 30-50% of these dietary amino acids are not available to extraintestinal tissues. Dietary amino acids are major fuels for the small intestinal mucosa and are essential precursors for intestinal synthesis of glutathione, nitric oxide, polyamines, purine and pyrimidine nucleotides, and amino acids (alanine, citrulline and proline), and are obligatory for maintaining intestinal mucosal mass and integrity. Because intestinal amino acid catabolism plays an important role in modulating dietary amino acid availability to extraintestinal tissues, it has important implications for the utilization efficiency of dietary protein and amino acids in animals and humans.","author":[{"dropping-particle":"","family":"Wu","given":"Guoyao","non-dropping-particle":"","parse-names":false,"suffix":""}],"container-title":"Journal of Nutrition","id":"ITEM-1","issue":"8","issued":{"date-parts":[["1998","8","1"]]},"page":"1249","publisher":"American Society for Nutrition","title":"Intestinal mucosal amino acid catabolism","type":"article-journal","volume":"128"},"uris":["http://www.mendeley.com/documents/?uuid=4a92a9b6-caae-3092-838f-448eaec5d698"]}],"mendeley":{"formattedCitation":"&lt;sup&gt;14&lt;/sup&gt;","plainTextFormattedCitation":"14","previouslyFormattedCitation":"&lt;sup&gt;14&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14</w:t>
            </w:r>
            <w:r w:rsidRPr="007D001E">
              <w:rPr>
                <w:rFonts w:ascii="Calibri" w:eastAsia="Times New Roman" w:hAnsi="Calibri" w:cs="Calibri"/>
                <w:lang w:val="en-GB" w:eastAsia="nl-NL"/>
              </w:rPr>
              <w:fldChar w:fldCharType="end"/>
            </w:r>
          </w:p>
        </w:tc>
      </w:tr>
      <w:tr w:rsidR="00822D13" w:rsidRPr="007D001E" w14:paraId="201D917A" w14:textId="77777777" w:rsidTr="00890C83">
        <w:trPr>
          <w:trHeight w:val="300"/>
          <w:jc w:val="center"/>
        </w:trPr>
        <w:tc>
          <w:tcPr>
            <w:tcW w:w="4214" w:type="dxa"/>
            <w:shd w:val="clear" w:color="auto" w:fill="auto"/>
            <w:noWrap/>
            <w:vAlign w:val="bottom"/>
          </w:tcPr>
          <w:p w14:paraId="44C8CDA0"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Mineral absorption</w:t>
            </w:r>
          </w:p>
        </w:tc>
        <w:tc>
          <w:tcPr>
            <w:tcW w:w="4252" w:type="dxa"/>
            <w:shd w:val="clear" w:color="auto" w:fill="auto"/>
            <w:noWrap/>
          </w:tcPr>
          <w:p w14:paraId="66853A61" w14:textId="28CF3289"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{"citationItems":[{"id":"ITEM-1","itemData":{"DOI":"10.1097/MOG.0b013e3282f37b59","ISSN":"02671379","PMID":"18301276","abstract":"PURPOSE OF REVIEW: Recent identification and characterization of novel Mg transporters have clarified our understanding of intestinal magnesium absorption. The predominant Mg transporters include TRPM6 and TRPM7, members of the transient receptor potential melastatin family of cation channels. Mutations of TRPM6 result in a primary disorder termed hypomagnesemia with secondary hypocalcemia. RECENT FINDINGS: Both TRPM6 and TRPM7 channels possess an atypical α-kinase domain. Recent studies have shown that TRPM7 channel activity is regulated by intracellular Mg and magnesium-nucleotides and modulated via this phosphotransferase kinase. TRPM6 channel function and intestinal magnesium absorption is altered by a variety of hormones and factors. Although it is apparent that TRPM6 and TRPM7 form heteromeric ion channels, controversy surrounds the nature of this interaction. Some studies show that TRPM6 may function on its own whereas other research concludes that TRPM7 is required for effective trafficking of TRPM6 to the plasma membrane. Finally, a number of other Mg transporters have been identified in intestinal epithelial cells but the role of these proteins is unclear. SUMMARY: The recent developments in intestinal magnesium absorption and cellular magnesium homeostasis provide a basis for understanding magnesium deficiency disorders and provide a platform for future investigations. © 2008 Lippincott Williams &amp; Wilkins, Inc.","author":[{"dropping-particle":"","family":"Quamme","given":"Gary A.","non-dropping-particle":"","parse-names":false,"suffix":""}],"container-title":"Current Opinion in Gastroenterology","id":"ITEM-1","issue":"2","issued":{"date-parts":[["2008","3"]]},"page":"230-235","title":"Recent developments in intestinal magnesium absorption","type":"article","volume":"24"},"uris":["http://www.mendeley.com/documents/?uuid=c788e143-24b9-3ffa-b954-d2739c5cb078"]},{"id":"ITEM-2","itemData":{"DOI":"10.1146/annurev-nutr-033009-083312","ISSN":"01999885","PMID":"19400752","abstract":"Research advances defining how zinc is transported into and out of cells and organelles have increased exponentially within the past five years. Research has progressed through application of molecular techniques including genomic analysis, cell transfection, RNA interference, kinetic analysis of ion transport, and application of cell and animal models including knockout mice. The knowledge base has increased for most of 10 members of the ZnT family and 14 members of the Zrt-, Irtlike protein (ZIP) family. Relative to the handling of dietary zinc is the involvement of ZnT1, ZIP4, and ZIP5 in intestinal zinc transport, involvement of ZIP10 and ZnT1 in renal zinc reabsorption, and the roles of ZIP5, ZnT2, and ZnT1 in pancreatic release of endogenous zinc. These events are major factors in regulation of zinc homeostasis. Other salient findings are the involvement of ZnT2 in lactation, ZIP14 in the hypozincemia of inflammation, ZIP6, ZIP7, and ZIP10 in metastatic breast cancer, and ZnT8 in insulin processing and as an autoantigen in diabetes. Copyright © 2009 by Annual Reviews. All rights reserved.","author":[{"dropping-particle":"","family":"Lichten","given":"Louis A.","non-dropping-particle":"","parse-names":false,"suffix":""},{"dropping-particle":"","family":"Cousins","given":"Robert J.","non-dropping-particle":"","parse-names":false,"suffix":""}],"container-title":"Annual Review of Nutrition","id":"ITEM-2","issued":{"date-parts":[["2009","8","22"]]},"page":"153-176","publisher":" Annual Reviews ","title":"Mammalian zinc transporters: Nutritional and physiologic regulation","type":"article","volume":"29"},"uris":["http://www.mendeley.com/documents/?uuid=7f2b8e34-a44f-3f73-9bb0-6a39e105e1a4"]},{"id":"ITEM-3","itemData":{"DOI":"10.1093/ajcn/88.3.846s","ISSN":"00029165","PMID":"18779306","abstract":"Stable-isotope studies in human infants and adults have shown that copper homeostasis occurs, but the contribution of the small intestine to this regulation is still not well understood. Copper first needs to be reduced to the cuprous form, most likely by Steap proteins on the apical membrane. Copper is subsequently absorbed by Ctr1 and then transferred in the enterocyte by the chaperone Atox1 to reach ATP7A for export from the cell. The role of ATP7B, shown to be present in the small intestine, is still poorly understood. In situations of high copper exposure, Ctr1 is endocytosed, metallothionein is induced, and ATP7A moves to a more basolateral localization. However, the ontogeny of regulation of copper homeostasis has received little attention. In rat pups, tissue copper and total-body 67Cu retention decrease throughout postnatal development, whereas liver 67Cu retention, serum copper, and ceruloplasmin activity increase. Total 67Cu absorption decreases and intestinal 67Cu retention increases with increased copper intake. During early infancy (day 10), copper supplementation increases intestinal copper and metallothionein gene expression, and Ctr1 protein levels increase, whereas Atp7A and Atp7B are unaffected. However, during late infancy (day 20), intestinal copper concentrations are unaffected by supplementation, but Ctr1, ATP7A, and Atp7B protein levels are higher than in controls. Thus, maturation of small intestine copper transport occurs through increased abundance and altered localization of Ctr1, Atp7A, and Atp7B. The mechanisms behind this maturation, including both transcriptional and posttranscriptional regulation, require further studies. © 2008 American Society for Nutrition.","author":[{"dropping-particle":"","family":"Lönnerdal","given":"Bo","non-dropping-particle":"","parse-names":false,"suffix":""}],"container-title":"American Journal of Clinical Nutrition","id":"ITEM-3","issue":"3","issued":{"date-parts":[["2008","9","1"]]},"page":"846S-850S","publisher":"American Society for Nutrition","title":"Intestinal regulation of copper homeostasis: A developmental perspective","type":"paper-conference","volume":"88"},"uris":["http://www.mendeley.com/documents/?uuid=44d1aea0-3f9a-384b-8468-374aa7255b17"]},{"id":"ITEM-4","itemData":{"DOI":"10.1016/j.tcb.2006.12.003","ISSN":"09628924","PMID":"17194590","abstract":"Iron is an essential element for metabolic processes intrinsic to life, and yet the properties that make iron a necessity also make it potentially deleterious. To avoid harm, iron homeostasis is achieved through iron transport, storage and regulatory proteins. The functions of some of these molecules are well described, for example transferrin and transferrin receptor-1, whereas the roles of others, such as the transferrin homolog melanotransferrin, remain unclear. The past decade has seen the identification of new molecules involved in iron metabolism, such as divalent metal transporter-1, ferroportin-1, hepcidin, hemojuvelin and heme carrier protein-1. Here, we focus on these intriguing new molecules and the insights gained from them into cellular iron uptake and the regulation of iron metabolism. © 2006 Elsevier Ltd. All rights reserved.","author":[{"dropping-particle":"","family":"Dunn","given":"Louise L.","non-dropping-particle":"","parse-names":false,"suffix":""},{"dropping-particle":"","family":"Rahmanto","given":"Yohan Suryo","non-dropping-particle":"","parse-names":false,"suffix":""},{"dropping-particle":"","family":"Richardson","given":"Des R.","non-dropping-particle":"","parse-names":false,"suffix":""}],"container-title":"Trends in Cell Biology","id":"ITEM-4","issue":"2","issued":{"date-parts":[["2007","2","1"]]},"page":"93-100","publisher":"Elsevier Current Trends","title":"Iron uptake and metabolism in the new millennium","type":"article","volume":"17"},"uris":["http://www.mendeley.com/documents/?uuid=f9eab95b-0518-346b-8e28-4b83014f70b9"]}],"mendeley":{"formattedCitation":"&lt;sup&gt;15–18&lt;/sup&gt;","plainTextFormattedCitation":"15–18","previouslyFormattedCitation":"&lt;sup&gt;15–18&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15–18</w:t>
            </w:r>
            <w:r w:rsidRPr="007D001E">
              <w:rPr>
                <w:rFonts w:ascii="Calibri" w:eastAsia="Times New Roman" w:hAnsi="Calibri" w:cs="Calibri"/>
                <w:lang w:val="en-GB" w:eastAsia="nl-NL"/>
              </w:rPr>
              <w:fldChar w:fldCharType="end"/>
            </w:r>
          </w:p>
        </w:tc>
      </w:tr>
      <w:tr w:rsidR="00822D13" w:rsidRPr="007D001E" w14:paraId="4C900223" w14:textId="77777777" w:rsidTr="00890C83">
        <w:trPr>
          <w:trHeight w:val="300"/>
          <w:jc w:val="center"/>
        </w:trPr>
        <w:tc>
          <w:tcPr>
            <w:tcW w:w="8466" w:type="dxa"/>
            <w:gridSpan w:val="2"/>
            <w:shd w:val="clear" w:color="auto" w:fill="auto"/>
            <w:noWrap/>
            <w:vAlign w:val="bottom"/>
            <w:hideMark/>
          </w:tcPr>
          <w:p w14:paraId="2962C0ED" w14:textId="77777777" w:rsidR="00822D13" w:rsidRPr="007D001E" w:rsidRDefault="00822D13" w:rsidP="00890C83">
            <w:pPr>
              <w:spacing w:after="0" w:line="300" w:lineRule="auto"/>
              <w:jc w:val="both"/>
              <w:rPr>
                <w:rFonts w:ascii="Calibri" w:eastAsia="Times New Roman" w:hAnsi="Calibri" w:cs="Calibri"/>
                <w:b/>
                <w:bCs/>
                <w:lang w:val="en-GB" w:eastAsia="nl-NL"/>
              </w:rPr>
            </w:pPr>
            <w:r w:rsidRPr="007D001E">
              <w:rPr>
                <w:rFonts w:ascii="Calibri" w:eastAsia="Times New Roman" w:hAnsi="Calibri" w:cs="Calibri"/>
                <w:b/>
                <w:bCs/>
                <w:lang w:val="en-GB" w:eastAsia="nl-NL"/>
              </w:rPr>
              <w:t>Downregulated pathways</w:t>
            </w:r>
          </w:p>
        </w:tc>
      </w:tr>
      <w:tr w:rsidR="00822D13" w:rsidRPr="007D001E" w14:paraId="11991611" w14:textId="77777777" w:rsidTr="00890C83">
        <w:trPr>
          <w:trHeight w:val="300"/>
          <w:jc w:val="center"/>
        </w:trPr>
        <w:tc>
          <w:tcPr>
            <w:tcW w:w="4214" w:type="dxa"/>
            <w:shd w:val="clear" w:color="auto" w:fill="auto"/>
            <w:noWrap/>
            <w:vAlign w:val="bottom"/>
            <w:hideMark/>
          </w:tcPr>
          <w:p w14:paraId="4BAEE1D7"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P53 signaling pathway</w:t>
            </w:r>
          </w:p>
        </w:tc>
        <w:tc>
          <w:tcPr>
            <w:tcW w:w="4252" w:type="dxa"/>
            <w:shd w:val="clear" w:color="auto" w:fill="auto"/>
            <w:noWrap/>
          </w:tcPr>
          <w:p w14:paraId="0F1AC8E1" w14:textId="41A803A7"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{"citationItems":[{"id":"ITEM-1","itemData":{"DOI":"10.1038/sj.onc.1208615","ISSN":"09509232","PMID":"15838523","abstract":"The p53 pathway responds to stresses that can disrupt the fidelity of DNA replication and cell division. A stress signal is transmitted to the p53 protein by post-translational modifications. This results in the activation of the p53 protein as a transcription factor that initiates a program of cell cycle arrest, cellular senescence or apoptosis. The transcriptional network of p53-responsive genes produces proteins that interact with a large number of other signal transduction pathways in the cell and a number of positive and negative autoregulatory feedback loops act upon the p53 response. There are at least seven negative and three positive feedback loops described here, and of these, six act through the MDM-2 protein to regulate p53 activity. The p53 circuit communicates with the Wnt-beta-catenin, IGF-1-AKT, Rb-E2F, p38 MAP kinase, cyclin-cdk, p14/19 ARF pathways and the cyclin G-PP2A, and p73 gene products. There are at least three different ubiquitin ligases that can regulate p53 in an autoregulatory manner: MDM-2, Cop-1 and Pirh-2. The meaning of this redundancy and the relative activity of each of these feedback loops in different cell types or stages of development remains to be elucidated. The interconnections between signal transduction pathways will play a central role in our understanding of cancer. © 2005 Nature Publishing Group All rights reserved.","author":[{"dropping-particle":"","family":"Harris","given":"Sandra L.","non-dropping-particle":"","parse-names":false,"suffix":""},{"dropping-particle":"","family":"Levine","given":"Arnold J.","non-dropping-particle":"","parse-names":false,"suffix":""}],"container-title":"Oncogene","id":"ITEM-1","issue":"17","issued":{"date-parts":[["2005","4","18"]]},"page":"2899-2908","publisher":"Nature Publishing Group","title":"The p53 pathway: Positive and negative feedback loops","type":"article","volume":"24"},"uris":["http://www.mendeley.com/documents/?uuid=f080f5c0-993a-35a5-853c-e552f71bd31f"]}],"mendeley":{"formattedCitation":"&lt;sup&gt;19&lt;/sup&gt;","plainTextFormattedCitation":"19","previouslyFormattedCitation":"&lt;sup&gt;19&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19</w:t>
            </w:r>
            <w:r w:rsidRPr="007D001E">
              <w:rPr>
                <w:rFonts w:ascii="Calibri" w:eastAsia="Times New Roman" w:hAnsi="Calibri" w:cs="Calibri"/>
                <w:lang w:val="en-GB" w:eastAsia="nl-NL"/>
              </w:rPr>
              <w:fldChar w:fldCharType="end"/>
            </w:r>
          </w:p>
        </w:tc>
      </w:tr>
      <w:tr w:rsidR="00822D13" w:rsidRPr="007D001E" w14:paraId="2CD67B62" w14:textId="77777777" w:rsidTr="00890C83">
        <w:trPr>
          <w:trHeight w:val="300"/>
          <w:jc w:val="center"/>
        </w:trPr>
        <w:tc>
          <w:tcPr>
            <w:tcW w:w="4214" w:type="dxa"/>
            <w:shd w:val="clear" w:color="auto" w:fill="auto"/>
            <w:noWrap/>
            <w:vAlign w:val="bottom"/>
            <w:hideMark/>
          </w:tcPr>
          <w:p w14:paraId="38F031BD"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Pathogenic Escherichia Coli infection</w:t>
            </w:r>
          </w:p>
        </w:tc>
        <w:tc>
          <w:tcPr>
            <w:tcW w:w="4252" w:type="dxa"/>
            <w:shd w:val="clear" w:color="auto" w:fill="auto"/>
            <w:noWrap/>
          </w:tcPr>
          <w:p w14:paraId="71B0F5E6" w14:textId="0103806E"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{"citationItems":[{"id":"ITEM-1","itemData":{"DOI":"10.1111/cmi.12179","ISSN":"14625814","PMID":"23927593","abstract":"Summary: Enteropathogenic and enterohaemorrhagic Escherichia coli use a novel infection strategy to colonize the gut epithelium, involving translocation of their own receptor, Tir, via a type III secretion system and subsequent formation of attaching and effecting (A/E) lesions. Following integration into the host cell plasma membrane of cultured cells, and clustering by the outer membrane adhesin intimin, Tir triggers multiple actin polymerization pathways involving host and bacterial adaptor proteins that converge on the host Arp2/3 actin nucleator. Although initially thought to be involved in A/E lesion formation, recent data have shown that the known Tir-induced actin polymerization pathways are dispensable for this activity, but can play other major roles in colonization efficiency, in vivo fitness and systemic disease. In this review we summarize the roadmap leading from the discovery of Tir, through the different actin polymerization pathways it triggers, to our current understanding of their physiological functions. © 2013 John Wiley &amp; Sons Ltd.","author":[{"dropping-particle":"","family":"Lai","given":"Yushuan","non-dropping-particle":"","parse-names":false,"suffix":""},{"dropping-particle":"","family":"Rosenshine","given":"Ilan","non-dropping-particle":"","parse-names":false,"suffix":""},{"dropping-particle":"","family":"Leong","given":"John M.","non-dropping-particle":"","parse-names":false,"suffix":""},{"dropping-particle":"","family":"Frankel","given":"Gad","non-dropping-particle":"","parse-names":false,"suffix":""}],"container-title":"Cellular Microbiology","id":"ITEM-1","issue":"11","issued":{"date-parts":[["2013","11","1"]]},"page":"1796-1808","publisher":"John Wiley &amp; Sons, Ltd","title":"Intimate host attachment: Enteropathogenic and enterohaemorrhagic Escherichia coli","type":"article","volume":"15"},"uris":["http://www.mendeley.com/documents/?uuid=27d5782b-d895-3242-b042-0615b1fe51a9"]}],"mendeley":{"formattedCitation":"&lt;sup&gt;20&lt;/sup&gt;","plainTextFormattedCitation":"20","previouslyFormattedCitation":"&lt;sup&gt;20&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20</w:t>
            </w:r>
            <w:r w:rsidRPr="007D001E">
              <w:rPr>
                <w:rFonts w:ascii="Calibri" w:eastAsia="Times New Roman" w:hAnsi="Calibri" w:cs="Calibri"/>
                <w:lang w:val="en-GB" w:eastAsia="nl-NL"/>
              </w:rPr>
              <w:fldChar w:fldCharType="end"/>
            </w:r>
          </w:p>
        </w:tc>
      </w:tr>
      <w:tr w:rsidR="00822D13" w:rsidRPr="007D001E" w14:paraId="3496F245" w14:textId="77777777" w:rsidTr="00890C83">
        <w:trPr>
          <w:trHeight w:val="300"/>
          <w:jc w:val="center"/>
        </w:trPr>
        <w:tc>
          <w:tcPr>
            <w:tcW w:w="4214" w:type="dxa"/>
            <w:shd w:val="clear" w:color="auto" w:fill="auto"/>
            <w:noWrap/>
            <w:vAlign w:val="bottom"/>
            <w:hideMark/>
          </w:tcPr>
          <w:p w14:paraId="3B4817C6"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Steroid hormone biosynthesis</w:t>
            </w:r>
          </w:p>
        </w:tc>
        <w:tc>
          <w:tcPr>
            <w:tcW w:w="4252" w:type="dxa"/>
            <w:shd w:val="clear" w:color="auto" w:fill="auto"/>
            <w:noWrap/>
          </w:tcPr>
          <w:p w14:paraId="57C4D11C" w14:textId="0CD45790"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{"citationItems":[{"id":"ITEM-1","itemData":{"DOI":"10.1016/j.steroids.2014.12.022","ISSN":"18785867","PMID":"25560486","abstract":"Steroids are fundamental hormones that control a wide variety of physiological processes such as metabolism, immune functions, and sexual characteristics. Historically, steroid synthesis was considered a function restricted to the adrenals and the gonads. In the past 20 years, a significant number of studies have demonstrated that steroids could also be synthesized or metabolized by other organs. According to these studies, the intestine appears to be a major source of de novo produced glucocorticoids as well as a tissue capable of producing and metabolizing sex steroids. This finding is based on the detection of steroidogenic enzyme expression as well as the presence of bioactive steroids in both the rodent and human gut. Within the intestinal mucosa, the intestinal epithelial cell layer is one of the main cellular sources of steroids. Glucocorticoid synthesis regulation in the intestinal epithelial cells is unique in that it does not involve the classical positive regulator steroidogenic factor-1 (SF-1) but a closely related homolog, namely the liver receptor homolog-1 (LRH-1). This local production of immunoregulatory glucocorticoids contributes to intestinal homeostasis and has been linked to pathophysiology of inflammatory bowel diseases. Intestinal epithelial cells also possess the ability to metabolize sex steroids, notably estrogen; this mechanism may impact colorectal cancer development. In this review, we contextualize and discuss what is known about intestinal steroidogenesis and regulation as well as the key role these functions play both in physiological and pathological conditions.","author":[{"dropping-particle":"","family":"Bouguen","given":"Guillaume","non-dropping-particle":"","parse-names":false,"suffix":""},{"dropping-particle":"","family":"Dubuquoy","given":"Laurent","non-dropping-particle":"","parse-names":false,"suffix":""},{"dropping-particle":"","family":"Desreumaux","given":"Pierre","non-dropping-particle":"","parse-names":false,"suffix":""},{"dropping-particle":"","family":"Brunner","given":"Thomas","non-dropping-particle":"","parse-names":false,"suffix":""},{"dropping-particle":"","family":"Bertin","given":"Benjamin","non-dropping-particle":"","parse-names":false,"suffix":""}],"container-title":"Steroids","id":"ITEM-1","issued":{"date-parts":[["2015","11","1"]]},"page":"64-71","publisher":"Elsevier Inc.","title":"Intestinal steroidogenesis","type":"article","volume":"103"},"uris":["http://www.mendeley.com/documents/?uuid=0c76ea9f-2ba6-30e4-b821-84eae38d6367"]}],"mendeley":{"formattedCitation":"&lt;sup&gt;21&lt;/sup&gt;","plainTextFormattedCitation":"21","previouslyFormattedCitation":"&lt;sup&gt;21&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21</w:t>
            </w:r>
            <w:r w:rsidRPr="007D001E">
              <w:rPr>
                <w:rFonts w:ascii="Calibri" w:eastAsia="Times New Roman" w:hAnsi="Calibri" w:cs="Calibri"/>
                <w:lang w:val="en-GB" w:eastAsia="nl-NL"/>
              </w:rPr>
              <w:fldChar w:fldCharType="end"/>
            </w:r>
          </w:p>
        </w:tc>
      </w:tr>
      <w:tr w:rsidR="00822D13" w:rsidRPr="007D001E" w14:paraId="084F3E6A" w14:textId="77777777" w:rsidTr="00890C83">
        <w:trPr>
          <w:trHeight w:val="300"/>
          <w:jc w:val="center"/>
        </w:trPr>
        <w:tc>
          <w:tcPr>
            <w:tcW w:w="4214" w:type="dxa"/>
            <w:shd w:val="clear" w:color="auto" w:fill="auto"/>
            <w:noWrap/>
            <w:vAlign w:val="bottom"/>
            <w:hideMark/>
          </w:tcPr>
          <w:p w14:paraId="1DD90567"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Shigellosis</w:t>
            </w:r>
          </w:p>
        </w:tc>
        <w:tc>
          <w:tcPr>
            <w:tcW w:w="4252" w:type="dxa"/>
            <w:shd w:val="clear" w:color="auto" w:fill="auto"/>
            <w:noWrap/>
          </w:tcPr>
          <w:p w14:paraId="29B10D12" w14:textId="2ABD6038"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{"citationItems":[{"id":"ITEM-1","itemData":{"DOI":"10.1128/microbiolspec.bai-0023-2019","ISSN":"2165-0497","PMID":"30953429","abstract":" Shigella is a genus of Gram-negative enteropathogens that have long been, and continue to be, an important public health concern worldwide. Over the past several decades, Shigella spp. have also served as model pathogens in the study of bacterial pathogenesis, and Shigella flexneri has become one of the best-studied pathogens on a molecular, cellular, and tissue level. In the arms race between Shigella and the host immune system, Shigella has developed highly sophisticated mechanisms to subvert host cell processes in order to promote infection, escape immune detection, and prevent bacterial clearance. Here, we give an overview of Shigella pathogenesis while highlighting innovative techniques and methods whose application has significantly advanced our understanding of Shigella pathogenesis in recent years. ","author":[{"dropping-particle":"","family":"Schnupf","given":"Pamela","non-dropping-particle":"","parse-names":false,"suffix":""},{"dropping-particle":"","family":"Sansonetti","given":"Philippe J.","non-dropping-particle":"","parse-names":false,"suffix":""}],"container-title":"Microbiology Spectrum","id":"ITEM-1","issue":"2","issued":{"date-parts":[["2019","4","12"]]},"publisher":"American Society for Microbiology","title":" Shigella Pathogenesis: New Insights through Advanced Methodologies ","type":"article-journal","volume":"7"},"uris":["http://www.mendeley.com/documents/?uuid=12156fb9-f34b-3221-b63f-a111ba41ff28"]},{"id":"ITEM-2","itemData":{"DOI":"10.2183/pjab.86.229","ISSN":"03862208","PMID":"20228623","abstract":"Bacteria-gut epithelial interplay and the mucosal immune response are the most critical issues in determining the fate of bacterial infection and the severity of diseases. Shigella species (abbreviated here as Shigella), the causative agent of bacillary dysentery (shigellosis), are highly adapted human pathogens that are capable of invading and colonizing the intestinal epithelium, which results in severe inflammatory colitis. Shigella secrete a large and diverse number (more then 50) of effectors via the type III secretion system (TTSS) during infection, some of which are delivered into the surrounding bacterial space and some others into the host cell cytoplasm and nucleus. The delivered effectors mimic and usurp the host cellular functions, and modulate host cell signaling and immune response, thus playing pivotal roles in promoting bacterial infection and circumventing host defense systems. This article overviews the pathogenic characteristics of Shigella, and highlights current topics related to the bacterial infectious stratagem executed by the TTSS-secreted effectors. Though bacterial stratagems and the molecular mechanisms of infection vary greatly among pathogens, the current studies of Shigella provide a paradigm shift in bacterial pathogenesis. © 2010 The Japan Academy.","author":[{"dropping-particle":"","family":"Sasakawa","given":"Chihiro","non-dropping-particle":"","parse-names":false,"suffix":""}],"container-title":"Proceedings of the Japan Academy Series B: Physical and Biological Sciences","id":"ITEM-2","issue":"3","issued":{"date-parts":[["2010","3"]]},"page":"229-243","publisher":"The Japan Academy","title":"A new paradigm of bacteria-gut interplay brought through the study of Shigella","type":"article","volume":"86"},"uris":["http://www.mendeley.com/documents/?uuid=efdbbb8d-d5d6-3ca5-a805-2e902111085c"]}],"mendeley":{"formattedCitation":"&lt;sup&gt;22,23&lt;/sup&gt;","plainTextFormattedCitation":"22,23","previouslyFormattedCitation":"&lt;sup&gt;22,23&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22,23</w:t>
            </w:r>
            <w:r w:rsidRPr="007D001E">
              <w:rPr>
                <w:rFonts w:ascii="Calibri" w:eastAsia="Times New Roman" w:hAnsi="Calibri" w:cs="Calibri"/>
                <w:lang w:val="en-GB" w:eastAsia="nl-NL"/>
              </w:rPr>
              <w:fldChar w:fldCharType="end"/>
            </w:r>
          </w:p>
        </w:tc>
      </w:tr>
      <w:tr w:rsidR="00822D13" w:rsidRPr="007D001E" w14:paraId="76273BA2" w14:textId="77777777" w:rsidTr="00890C83">
        <w:trPr>
          <w:trHeight w:val="300"/>
          <w:jc w:val="center"/>
        </w:trPr>
        <w:tc>
          <w:tcPr>
            <w:tcW w:w="4214" w:type="dxa"/>
            <w:shd w:val="clear" w:color="auto" w:fill="auto"/>
            <w:noWrap/>
            <w:vAlign w:val="bottom"/>
          </w:tcPr>
          <w:p w14:paraId="631A17F0"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ECM receptor interaction</w:t>
            </w:r>
          </w:p>
        </w:tc>
        <w:tc>
          <w:tcPr>
            <w:tcW w:w="4252" w:type="dxa"/>
            <w:shd w:val="clear" w:color="auto" w:fill="auto"/>
            <w:noWrap/>
          </w:tcPr>
          <w:p w14:paraId="7B152B33" w14:textId="443FEA05"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{"citationItems":[{"id":"ITEM-1","itemData":{"DOI":"10.1038/nrm3904","ISSN":"14710080","PMID":"25415508","abstract":"The extracellular matrix (ECM) is a highly dynamic structure that is present in all tissues and continuously undergoes controlled remodelling. This process involves quantitative and qualitative changes in the ECM, mediated by specific enzymes that are responsible for ECM degradation, such as metalloproteinases. The ECM interacts with cells to regulate diverse functions, including proliferation, migration and differentiation. ECM remodelling is crucial for regulating the morphogenesis of the intestine and lungs, as well as of the mammary and submandibular glands. Dysregulation of ECM composition, structure, stiffness and abundance contributes to several pathological conditions, such as fibrosis and invasive cancer. A better understanding of how the ECM regulates organ structure and function and of how ECM remodelling affects disease progression will contribute to the development of new therapeutics.","author":[{"dropping-particle":"","family":"Bonnans","given":"Caroline","non-dropping-particle":"","parse-names":false,"suffix":""},{"dropping-particle":"","family":"Chou","given":"Jonathan","non-dropping-particle":"","parse-names":false,"suffix":""},{"dropping-particle":"","family":"Werb","given":"Zena","non-dropping-particle":"","parse-names":false,"suffix":""}],"container-title":"Nature Reviews Molecular Cell Biology","id":"ITEM-1","issue":"12","issued":{"date-parts":[["2014","12","11"]]},"page":"786-801","publisher":"Nature Publishing Group","title":"Remodelling the extracellular matrix in development and disease","type":"article","volume":"15"},"uris":["http://www.mendeley.com/documents/?uuid=8dee5464-39df-3493-a1fb-1605fef5c43f"]}],"mendeley":{"formattedCitation":"&lt;sup&gt;24&lt;/sup&gt;","plainTextFormattedCitation":"24","previouslyFormattedCitation":"&lt;sup&gt;24&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24</w:t>
            </w:r>
            <w:r w:rsidRPr="007D001E">
              <w:rPr>
                <w:rFonts w:ascii="Calibri" w:eastAsia="Times New Roman" w:hAnsi="Calibri" w:cs="Calibri"/>
                <w:lang w:val="en-GB" w:eastAsia="nl-NL"/>
              </w:rPr>
              <w:fldChar w:fldCharType="end"/>
            </w:r>
          </w:p>
        </w:tc>
      </w:tr>
      <w:tr w:rsidR="00822D13" w:rsidRPr="007D001E" w14:paraId="73141A1D" w14:textId="77777777" w:rsidTr="00890C83">
        <w:trPr>
          <w:trHeight w:val="300"/>
          <w:jc w:val="center"/>
        </w:trPr>
        <w:tc>
          <w:tcPr>
            <w:tcW w:w="4214" w:type="dxa"/>
            <w:shd w:val="clear" w:color="auto" w:fill="auto"/>
            <w:noWrap/>
            <w:vAlign w:val="bottom"/>
          </w:tcPr>
          <w:p w14:paraId="5A27BCA5"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NF kappa B signaling pathway</w:t>
            </w:r>
          </w:p>
        </w:tc>
        <w:tc>
          <w:tcPr>
            <w:tcW w:w="4252" w:type="dxa"/>
            <w:shd w:val="clear" w:color="auto" w:fill="auto"/>
            <w:noWrap/>
          </w:tcPr>
          <w:p w14:paraId="417CFD74" w14:textId="14B61896"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{"citationItems":[{"id":"ITEM-1","itemData":{"DOI":"10.1136/gut.43.6.856","ISSN":"00175749","PMID":"9824616","abstract":"NF-κB is a pleiotropic transcription factor with key functions in the intestinal immune system. NF-κB family members control transcriptional activity of various promoters of proinflammatory cytokines, cell surface receptors, transcription factors, and adhesion molecules that are involved in intestinal inflammation. The perpetuated activation of NF-κB in patients with active inflammatory bowel disease suggests that regulation of NF-κB activity is a very attractive target for therapeutic intervention. Such strategies include antioxidants, proteasome inhibitors, inhibition of NF-κB by adenoviral IκBα expression vectors, and antisense DNA targeting of NF- κB. These approaches will hopefully permit the design of new treatment strategies for chronic intestinal inflammation.","author":[{"dropping-particle":"","family":"Neurath","given":"M. F.","non-dropping-particle":"","parse-names":false,"suffix":""},{"dropping-particle":"","family":"Becker","given":"C.","non-dropping-particle":"","parse-names":false,"suffix":""},{"dropping-particle":"","family":"Barbulescu","given":"K.","non-dropping-particle":"","parse-names":false,"suffix":""}],"container-title":"Gut","id":"ITEM-1","issue":"6","issued":{"date-parts":[["1998","12","1"]]},"page":"856-860","publisher":"BMJ Publishing Group","title":"Role of NF-κB in immune and inflammatory responses in the gut","type":"article","volume":"43"},"uris":["http://www.mendeley.com/documents/?uuid=1d9a610c-2508-3797-b66b-eb024040a4aa"]},{"id":"ITEM-2","itemData":{"DOI":"10.1111/j.1600-065X.2012.01109.x","ISSN":"01052896","PMID":"22435565","abstract":"Since its discovery, nuclear factor-κB (NF-κB) has been recognized as a critical regulator of immune responses. While early studies focused on studying the role of NF-κB in the development and function of immune cells, more recently the function of the inhibitor of NF-κB kinase (IKK)/NF-κB pathway in non-immune cells has gained increased attention. Studies in genetic mouse models were instrumental in dissecting the cell-specific functions of NF-κB and provided experimental evidence that NF-κB signaling in epithelial cells is important for the maintenance of immune homeostasis in barrier tissues such as the skin and the intestine. Increased activation of IKK/NF-κB triggered cytokine expression by the epithelial cells, resulting in exacerbated tissue inflammatory responses. NF-κB inhibition in keratinocytes triggered severe tumor necrosis factor-dependent skin inflammation and epidermal hyperplasia, while inhibition of IKK/NF-κB signaling in intestinal epithelial cells disturbed the intestinal barrier and triggered severe chronic colon inflammation. Therefore, epithelial NF-κB signaling performs critical 'peace keeping' functions in barrier tissues at the interface with the environment by regulating cell survival, barrier integrity, and the immunological and anti-microbial responses of epithelial cells. Improved understanding of epithelial NF-κB functions may hold the key for elucidating the etiology and pathophysiology of chronic inflammatory diseases in epithelial tissues. © 2012 John Wiley &amp; Sons A/S.","author":[{"dropping-particle":"","family":"Pasparakis","given":"Manolis","non-dropping-particle":"","parse-names":false,"suffix":""}],"container-title":"Immunological Reviews","id":"ITEM-2","issue":"1","issued":{"date-parts":[["2012","3","1"]]},"page":"346-358","publisher":"John Wiley &amp; Sons, Ltd","title":"Role of NF-κB in epithelial biology","type":"article-journal","volume":"246"},"uris":["http://www.mendeley.com/documents/?uuid=f6cd6957-5d5c-3142-a077-270feee1ea5e"]}],"mendeley":{"formattedCitation":"&lt;sup&gt;25,26&lt;/sup&gt;","plainTextFormattedCitation":"25,26","previouslyFormattedCitation":"&lt;sup&gt;25,26&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25,26</w:t>
            </w:r>
            <w:r w:rsidRPr="007D001E">
              <w:rPr>
                <w:rFonts w:ascii="Calibri" w:eastAsia="Times New Roman" w:hAnsi="Calibri" w:cs="Calibri"/>
                <w:lang w:val="en-GB" w:eastAsia="nl-NL"/>
              </w:rPr>
              <w:fldChar w:fldCharType="end"/>
            </w:r>
          </w:p>
        </w:tc>
      </w:tr>
      <w:tr w:rsidR="00822D13" w:rsidRPr="007D001E" w14:paraId="33207EF9" w14:textId="77777777" w:rsidTr="00890C83">
        <w:trPr>
          <w:trHeight w:val="300"/>
          <w:jc w:val="center"/>
        </w:trPr>
        <w:tc>
          <w:tcPr>
            <w:tcW w:w="4214" w:type="dxa"/>
            <w:shd w:val="clear" w:color="auto" w:fill="auto"/>
            <w:noWrap/>
            <w:vAlign w:val="bottom"/>
          </w:tcPr>
          <w:p w14:paraId="653AB59B"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Glutathione metabolism</w:t>
            </w:r>
          </w:p>
        </w:tc>
        <w:tc>
          <w:tcPr>
            <w:tcW w:w="4252" w:type="dxa"/>
            <w:shd w:val="clear" w:color="auto" w:fill="auto"/>
            <w:noWrap/>
          </w:tcPr>
          <w:p w14:paraId="1855EAE1" w14:textId="125AE458"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{"citationItems":[{"id":"ITEM-1","itemData":{"DOI":"10.1093/jn/134.3.489","ISSN":"00223166","PMID":"14988435","abstract":"Glutathione (γ-glutamyl-cysteinyl-glycine; GSH) is the most abundant low-molecular-weight thiol, and GSH/glutathione disulfide is the major redox couple in animal cells. The synthesis of GSH from glutamate, cysteine, and glycine is catalyzed sequentially by two cytosolic enzymes, γ -glutamylcysteine synthetase and GSH synthetase. Compelling evidence shows that GSH synthesis is regulated primarily by γ-glutamylcysteine synthetase activity, cysteine availability, and GSH feedback inhibition. Animal and human studies demonstrate that adequate protein nutrition is crucial for the maintenance of GSH homeostasis. In addition, enteral or parenteral cysteine, methionine, N-acetylcysteine, and L-2-oxothiazolidine-4-carboxylate are effective precursors of cysteine for tissue GSH synthesis. Glutathione plays important roles in antioxidant defense, nutrient metabolism, and regulation of cellular events (including gene expression, DNA and protein synthesis, cell proliferation and apoptosis, signal transduction, cytokine production and immune response, and protein glutathionylation). Glutathione deficiency contributes to oxidative stress, which plays a key role in aging and the pathogenesis of many diseases (including kwashiorkor, seizure, Alzheimer's disease, Parkinson's disease, liver disease, cystic fibrosis, sickle cell anemia, HIV, AIDS, cancer, heart attack, stroke, and diabetes). New knowledge of the nutritional regulation of GSH metabolism is critical for the development of effective strategies to improve health and to treat these diseases.","author":[{"dropping-particle":"","family":"Wu","given":"Guoyao","non-dropping-particle":"","parse-names":false,"suffix":""},{"dropping-particle":"","family":"Fang","given":"Yun Zhong","non-dropping-particle":"","parse-names":false,"suffix":""},{"dropping-particle":"","family":"Yang","given":"Sheng","non-dropping-particle":"","parse-names":false,"suffix":""},{"dropping-particle":"","family":"Lupton","given":"Joanne R.","non-dropping-particle":"","parse-names":false,"suffix":""},{"dropping-particle":"","family":"Turner","given":"Nancy D.","non-dropping-particle":"","parse-names":false,"suffix":""}],"container-title":"Journal of Nutrition","id":"ITEM-1","issue":"3","issued":{"date-parts":[["2004","3","1"]]},"page":"489-492","publisher":"American Institute of Nutrition","title":"Glutathione Metabolism and Its Implications for Health","type":"article","volume":"134"},"uris":["http://www.mendeley.com/documents/?uuid=d0569ec2-ada6-3581-9979-e0b5087394c2"]}],"mendeley":{"formattedCitation":"&lt;sup&gt;27&lt;/sup&gt;","plainTextFormattedCitation":"27","previouslyFormattedCitation":"&lt;sup&gt;27&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27</w:t>
            </w:r>
            <w:r w:rsidRPr="007D001E">
              <w:rPr>
                <w:rFonts w:ascii="Calibri" w:eastAsia="Times New Roman" w:hAnsi="Calibri" w:cs="Calibri"/>
                <w:lang w:val="en-GB" w:eastAsia="nl-NL"/>
              </w:rPr>
              <w:fldChar w:fldCharType="end"/>
            </w:r>
          </w:p>
        </w:tc>
      </w:tr>
      <w:tr w:rsidR="00822D13" w:rsidRPr="007D001E" w14:paraId="511D95BB" w14:textId="77777777" w:rsidTr="00890C83">
        <w:trPr>
          <w:trHeight w:val="300"/>
          <w:jc w:val="center"/>
        </w:trPr>
        <w:tc>
          <w:tcPr>
            <w:tcW w:w="4214" w:type="dxa"/>
            <w:shd w:val="clear" w:color="auto" w:fill="auto"/>
            <w:noWrap/>
            <w:vAlign w:val="bottom"/>
          </w:tcPr>
          <w:p w14:paraId="00B3EA02"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Hippo signaling pathway multiple species</w:t>
            </w:r>
          </w:p>
        </w:tc>
        <w:tc>
          <w:tcPr>
            <w:tcW w:w="4252" w:type="dxa"/>
            <w:shd w:val="clear" w:color="auto" w:fill="auto"/>
            <w:noWrap/>
            <w:vAlign w:val="bottom"/>
          </w:tcPr>
          <w:p w14:paraId="1124F026" w14:textId="43DFF573"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{"citationItems":[{"id":"ITEM-1","itemData":{"DOI":"10.1038/ncb3084","ISSN":"14764679","PMID":"25531778","abstract":"The rapidly self-renewing intestinal epithelium represents an exquisite model for stem cell biology. So far, genetic studies in mice have uncovered crucial roles for several signalling pathways in the tissue. Here we show, by using intestine-specific gene transfer (iGT), that Hippo signalling effectors, YAP and TAZ, promote both the proliferation of intestinal stem/progenitor cells and their differentiation into goblet cells. These functions of YAP/TAZ are regulated by the upstream Hippo pathway kinases MST1/2 and LATS1/2. Moreover, we identify TEADs and Klf4 as partner transcription factors of YAP/TAZ in the proliferation and differentiation processes, respectively. These results indicate that Hippo signalling plays a dual role in renewal of the intestinal epithelium through the regulation of two different processes, stem/progenitor cell proliferation and differentiation into goblet cells, using two different types of transcription factor. Moreover, iGT should provide a robust platform to elucidate molecular mechanisms of intestinal epithelium self-renewal.","author":[{"dropping-particle":"","family":"Imajo","given":"Masamichi","non-dropping-particle":"","parse-names":false,"suffix":""},{"dropping-particle":"","family":"Ebisuya","given":"Miki","non-dropping-particle":"","parse-names":false,"suffix":""},{"dropping-particle":"","family":"Nishida","given":"Eisuke","non-dropping-particle":"","parse-names":false,"suffix":""}],"container-title":"Nature Cell Biology","id":"ITEM-1","issue":"1","issued":{"date-parts":[["2015","1","1"]]},"page":"7-19","publisher":"Nature Publishing Group","title":"Dual role of YAP and TAZ in renewal of the intestinal epithelium","type":"article-journal","volume":"17"},"uris":["http://www.mendeley.com/documents/?uuid=9cea2eb8-0998-34cc-89d5-87be3fcc7f02"]}],"mendeley":{"formattedCitation":"&lt;sup&gt;28&lt;/sup&gt;","plainTextFormattedCitation":"28","previouslyFormattedCitation":"&lt;sup&gt;28&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28</w:t>
            </w:r>
            <w:r w:rsidRPr="007D001E">
              <w:rPr>
                <w:rFonts w:ascii="Calibri" w:eastAsia="Times New Roman" w:hAnsi="Calibri" w:cs="Calibri"/>
                <w:color w:val="000000"/>
                <w:lang w:val="en-GB" w:eastAsia="nl-NL"/>
              </w:rPr>
              <w:fldChar w:fldCharType="end"/>
            </w:r>
          </w:p>
        </w:tc>
      </w:tr>
      <w:tr w:rsidR="00822D13" w:rsidRPr="007D001E" w14:paraId="25BA55A8" w14:textId="77777777" w:rsidTr="00890C83">
        <w:trPr>
          <w:trHeight w:val="300"/>
          <w:jc w:val="center"/>
        </w:trPr>
        <w:tc>
          <w:tcPr>
            <w:tcW w:w="4214" w:type="dxa"/>
            <w:shd w:val="clear" w:color="auto" w:fill="auto"/>
            <w:noWrap/>
            <w:vAlign w:val="bottom"/>
          </w:tcPr>
          <w:p w14:paraId="7706078D"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Regulation of actin cytoskeleton</w:t>
            </w:r>
          </w:p>
        </w:tc>
        <w:tc>
          <w:tcPr>
            <w:tcW w:w="4252" w:type="dxa"/>
            <w:shd w:val="clear" w:color="auto" w:fill="auto"/>
            <w:noWrap/>
          </w:tcPr>
          <w:p w14:paraId="3D5CA1DC" w14:textId="2BE01EED"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{"citationItems":[{"id":"ITEM-1","itemData":{"DOI":"10.1038/nature01598","ISSN":"00280836","PMID":"12700767","abstract":"Eukaryotic cells depend on cytoskeletal polymers and molecular motors to establish their asymmetrical shapes, to transport intracellular constituents and to drive their motility. Cell biologists are using diverse experimental approaches to understand the molecular basis of cellular movements and to explain why defects in the component proteins cause disease. Much of the molecular machinery for motility evolved in early eukaryotes, so a limited set of general principles can explain the motility of most cells.","author":[{"dropping-particle":"","family":"Pollard","given":"Thomas D.","non-dropping-particle":"","parse-names":false,"suffix":""}],"container-title":"Nature","id":"ITEM-1","issue":"6933","issued":{"date-parts":[["2003","4","17"]]},"page":"741-745","publisher":"Nature Publishing Group","title":"The cytoskeleton, cellular motility and the reductionist agenda","type":"article","volume":"422"},"uris":["http://www.mendeley.com/documents/?uuid=57a54921-0a37-3e3d-b444-c45f4d711260"]}],"mendeley":{"formattedCitation":"&lt;sup&gt;29&lt;/sup&gt;","plainTextFormattedCitation":"29","previouslyFormattedCitation":"&lt;sup&gt;29&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29</w:t>
            </w:r>
            <w:r w:rsidRPr="007D001E">
              <w:rPr>
                <w:rFonts w:ascii="Calibri" w:eastAsia="Times New Roman" w:hAnsi="Calibri" w:cs="Calibri"/>
                <w:color w:val="000000"/>
                <w:lang w:val="en-GB" w:eastAsia="nl-NL"/>
              </w:rPr>
              <w:fldChar w:fldCharType="end"/>
            </w:r>
          </w:p>
        </w:tc>
      </w:tr>
      <w:tr w:rsidR="00822D13" w:rsidRPr="007D001E" w14:paraId="5E7EF023" w14:textId="77777777" w:rsidTr="00890C83">
        <w:trPr>
          <w:trHeight w:val="300"/>
          <w:jc w:val="center"/>
        </w:trPr>
        <w:tc>
          <w:tcPr>
            <w:tcW w:w="4214" w:type="dxa"/>
            <w:shd w:val="clear" w:color="auto" w:fill="auto"/>
            <w:noWrap/>
            <w:vAlign w:val="bottom"/>
          </w:tcPr>
          <w:p w14:paraId="7874D49C"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lastRenderedPageBreak/>
              <w:t>JAK STAT siganling pathway</w:t>
            </w:r>
          </w:p>
        </w:tc>
        <w:tc>
          <w:tcPr>
            <w:tcW w:w="4252" w:type="dxa"/>
            <w:shd w:val="clear" w:color="auto" w:fill="auto"/>
            <w:noWrap/>
          </w:tcPr>
          <w:p w14:paraId="350D68EC" w14:textId="31BEC10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{"citationItems":[{"id":"ITEM-1","itemData":{"DOI":"10.1074/JBC.M609426200","ISSN":"0021-9258","PMID":"17251186","abstract":"Nitric oxide (NO) is a highly reactive free radical that modulates tumorigenesis through its ability to regulate cell proliferation, cell death, migration and angiogenesis. Although the role of NO has been well studied in inflammatory cells, much less is known about the regulation of NO production in epithelial cells. We demonstrated that in intestinal epithelial cells the expression of inducible NO synthase (iNOS), the critical enzyme in the synthesis of NO, is synergistically stimulated by bacterial lipopolysaccharide (LPS) and interferon γ (IFNγ) or by the combination of tumor necrosis factor (TNF) and IFNγ at the transcriptional level. Expression of iNOS and the production of NO in response to LPS/IFNγ were significantly increased upon induction of oncogenic K-Ras, underlying frequently elevated expression of iNOS in colon cancer. Silencing of STAT1, a major transcription factor involved in signaling by IFNγ, or pharmacological inhibition of JAKs, kinases that phosphorylate STATs, prevented the induction of iNOS and the production of NO in response to stimulation of cells with LPS/IFNγ or TNF/IFNγ, underscoring the importance of the intact JAK/STAT signaling in the regulation of iNOS expression in intestinal epithelial cells. Butyrate, a histone deacetylase (HDAC) inhibitor and a dietary chemopreventive agent, decreased NO production in macrophages and in intestinal myofibroblasts, consistent with its anti-inflammatory activity. In contrast, in intestinal epithelial cells, butyrate significantly enhanced the expression of iNOS and the production of NO in response to treatment with LPS/IFNγ. Despite the fact that, like butyrate, three structurally unrelated inhibitors of HDAC activity, trichostatin A, suberoylanilide hydroxamic acid, and apicidin, induced acetylation of H3 and H4 in epithelial cells, they failed to increase the production of NO, demonstrating that butyrate regulates NO production in epithelial cells in an HDAC-independent manner. The ability of butyrate to regulate the production of NO in a variety of cell types is likely to underlie its potent chemopreventive and anti-inflammatory activity. © 2007 by The American Society for Biochemistry and Molecular Biology, Inc.","author":[{"dropping-particle":"","family":"Stempelj","given":"Mateja","non-dropping-particle":"","parse-names":false,"suffix":""},{"dropping-particle":"","family":"Kedinger","given":"Michele","non-dropping-particle":"","parse-names":false,"suffix":""},{"dropping-particle":"","family":"Augenlicht","given":"Leonard","non-dropping-particle":"","parse-names":false,"suffix":""},{"dropping-particle":"","family":"Klampfer","given":"Lidija","non-dropping-particle":"","parse-names":false,"suffix":""}],"container-title":"Journal of Biological Chemistry","id":"ITEM-1","issue":"13","issued":{"date-parts":[["2007","3","30"]]},"page":"9797-9804","publisher":"Elsevier","title":"Essential Role of the JAK/STAT1 Signaling Pathway in the Expression of Inducible Nitric-oxide Synthase in Intestinal Epithelial Cells and Its Regulation by Butyrate","type":"article-journal","volume":"282"},"uris":["http://www.mendeley.com/documents/?uuid=d048711f-1e00-30b5-a598-05d86f2e21ab"]},{"id":"ITEM-2","itemData":{"DOI":"10.4161/JKST.25530","ISSN":"19490984","PMID":"24416649","author":[{"dropping-particle":"","family":"Heneghan","given":"Aaron F","non-dropping-particle":"","parse-names":false,"suffix":""},{"dropping-particle":"","family":"Pierre","given":"Joseph F","non-dropping-particle":"","parse-names":false,"suffix":""},{"dropping-particle":"","family":"Kudsk","given":"Kenneth A","non-dropping-particle":"","parse-names":false,"suffix":""}],"container-title":"JAK-STAT","id":"ITEM-2","issue":"4","issued":{"date-parts":[["2013"]]},"publisher":"Taylor &amp; Francis","title":"JAK-STAT and intestinal mucosal immunology","type":"article-journal","volume":"2"},"uris":["http://www.mendeley.com/documents/?uuid=3e84a40b-0a31-3dce-82f7-3c6dafe6682f"]}],"mendeley":{"formattedCitation":"&lt;sup&gt;30,31&lt;/sup&gt;","plainTextFormattedCitation":"30,31","previouslyFormattedCitation":"&lt;sup&gt;30,31&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30,31</w:t>
            </w:r>
            <w:r w:rsidRPr="007D001E">
              <w:rPr>
                <w:rFonts w:ascii="Calibri" w:eastAsia="Times New Roman" w:hAnsi="Calibri" w:cs="Calibri"/>
                <w:color w:val="000000"/>
                <w:lang w:val="en-GB" w:eastAsia="nl-NL"/>
              </w:rPr>
              <w:fldChar w:fldCharType="end"/>
            </w:r>
          </w:p>
        </w:tc>
      </w:tr>
    </w:tbl>
    <w:p w14:paraId="1B3E88D1" w14:textId="77777777" w:rsidR="00822D13" w:rsidRDefault="00822D13" w:rsidP="00822D13">
      <w:pPr>
        <w:rPr>
          <w:lang w:val="en-GB"/>
        </w:rPr>
      </w:pPr>
    </w:p>
    <w:p w14:paraId="491387B3" w14:textId="77777777" w:rsidR="00822D13" w:rsidRPr="007D001E" w:rsidRDefault="00822D13" w:rsidP="00822D13">
      <w:pPr>
        <w:spacing w:after="0" w:line="300" w:lineRule="auto"/>
        <w:jc w:val="both"/>
        <w:rPr>
          <w:lang w:val="en-GB"/>
        </w:rPr>
      </w:pPr>
      <w:r>
        <w:rPr>
          <w:lang w:val="en-GB"/>
        </w:rPr>
        <w:t>Table S2</w:t>
      </w:r>
      <w:r w:rsidRPr="007D001E" w:rsidDel="007D1A78">
        <w:rPr>
          <w:lang w:val="en-GB"/>
        </w:rPr>
        <w:t xml:space="preserve"> </w:t>
      </w:r>
      <w:r w:rsidRPr="007D001E">
        <w:rPr>
          <w:lang w:val="en-GB"/>
        </w:rPr>
        <w:t>buty</w:t>
      </w:r>
      <w:r>
        <w:rPr>
          <w:lang w:val="en-GB"/>
        </w:rPr>
        <w:t>rate</w:t>
      </w:r>
      <w:r w:rsidRPr="007D001E">
        <w:rPr>
          <w:lang w:val="en-GB"/>
        </w:rPr>
        <w:t xml:space="preserve"> 1 mM references</w:t>
      </w:r>
      <w:r>
        <w:rPr>
          <w:lang w:val="en-GB"/>
        </w:rPr>
        <w:t xml:space="preserve"> indicating their role or relationship to the intestine</w:t>
      </w:r>
    </w:p>
    <w:tbl>
      <w:tblPr>
        <w:tblW w:w="8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05"/>
        <w:gridCol w:w="3969"/>
      </w:tblGrid>
      <w:tr w:rsidR="00822D13" w:rsidRPr="007D001E" w14:paraId="768DCDC8" w14:textId="77777777" w:rsidTr="00890C83">
        <w:trPr>
          <w:trHeight w:val="300"/>
          <w:jc w:val="center"/>
        </w:trPr>
        <w:tc>
          <w:tcPr>
            <w:tcW w:w="4405" w:type="dxa"/>
            <w:shd w:val="clear" w:color="auto" w:fill="auto"/>
            <w:noWrap/>
            <w:vAlign w:val="bottom"/>
            <w:hideMark/>
          </w:tcPr>
          <w:p w14:paraId="0D49CCB3"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KEGG pathway name</w:t>
            </w:r>
          </w:p>
        </w:tc>
        <w:tc>
          <w:tcPr>
            <w:tcW w:w="3969" w:type="dxa"/>
            <w:shd w:val="clear" w:color="auto" w:fill="auto"/>
            <w:noWrap/>
            <w:vAlign w:val="bottom"/>
          </w:tcPr>
          <w:p w14:paraId="633EAD5E"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References</w:t>
            </w:r>
          </w:p>
        </w:tc>
      </w:tr>
      <w:tr w:rsidR="00822D13" w:rsidRPr="007D001E" w14:paraId="0FE79DAD" w14:textId="77777777" w:rsidTr="00890C83">
        <w:trPr>
          <w:trHeight w:val="300"/>
          <w:jc w:val="center"/>
        </w:trPr>
        <w:tc>
          <w:tcPr>
            <w:tcW w:w="8374" w:type="dxa"/>
            <w:gridSpan w:val="2"/>
            <w:shd w:val="clear" w:color="auto" w:fill="auto"/>
            <w:noWrap/>
            <w:vAlign w:val="bottom"/>
            <w:hideMark/>
          </w:tcPr>
          <w:p w14:paraId="391C5B4E"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Upregulated pathways</w:t>
            </w:r>
          </w:p>
        </w:tc>
      </w:tr>
      <w:tr w:rsidR="00822D13" w:rsidRPr="007D001E" w14:paraId="37582DA5" w14:textId="77777777" w:rsidTr="00890C83">
        <w:trPr>
          <w:trHeight w:val="300"/>
          <w:jc w:val="center"/>
        </w:trPr>
        <w:tc>
          <w:tcPr>
            <w:tcW w:w="4405" w:type="dxa"/>
            <w:shd w:val="clear" w:color="auto" w:fill="auto"/>
            <w:noWrap/>
            <w:vAlign w:val="bottom"/>
            <w:hideMark/>
          </w:tcPr>
          <w:p w14:paraId="43989D43"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Chemical carcinogenesis</w:t>
            </w:r>
          </w:p>
        </w:tc>
        <w:tc>
          <w:tcPr>
            <w:tcW w:w="3969" w:type="dxa"/>
            <w:shd w:val="clear" w:color="auto" w:fill="auto"/>
            <w:noWrap/>
          </w:tcPr>
          <w:p w14:paraId="50D5DBA5" w14:textId="1804C341"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{"citationItems":[{"id":"ITEM-1","itemData":{"DOI":"10.1007/s00204-016-1887-4","abstract":"human colon cell models, colon adenoma AA/C1 cells, colon carcinoma HT-29 cells, or in NCM460D cell line derived from normal colon mucosa. Our results suggest that the effects of NaBt were due to its impact on histone acety-lation, because additional HDAC inhibitors (trichostatin A and suberanilohydroxamic acid) likewise increased both the induction of EROD activity and formation of covalent DNA adducts. NaBt-induced acetylation of histone H3 (at Lys14) and histone H4 (at Lys16), two histone modifications modulated during activation of CYP1A1 transcription, and it reduced binding of HDAC1 to the enhancer region of CYP1A1 gene. This in vitro study suggests that butyrate, through modulation of histone acetylation, may potentiate induction of CYP1A1 expression, which might in turn alter the metabolism of BaP within colon epithelial cells.","author":[{"dropping-particle":"","family":"Zapletal","given":"Ondřej","non-dropping-particle":"","parse-names":false,"suffix":""},{"dropping-particle":"","family":"Tylichová","given":"Zuzana","non-dropping-particle":"","parse-names":false,"suffix":""},{"dropping-particle":"","family":"Neča","given":"Jiří","non-dropping-particle":"","parse-names":false,"suffix":""},{"dropping-particle":"","family":"Kohoutek","given":"Jiří","non-dropping-particle":"","parse-names":false,"suffix":""},{"dropping-particle":"","family":"Miroslav Machala","given":"·","non-dropping-particle":"","parse-names":false,"suffix":""},{"dropping-particle":"","family":"Milcová","given":"Alena","non-dropping-particle":"","parse-names":false,"suffix":""},{"dropping-particle":"","family":"Pokorná","given":"Michaela","non-dropping-particle":"","parse-names":false,"suffix":""},{"dropping-particle":"","family":"Topinka","given":"Jan","non-dropping-particle":"","parse-names":false,"suffix":""},{"dropping-particle":"","family":"Mary","given":"·","non-dropping-particle":"","parse-names":false,"suffix":""},{"dropping-particle":"","family":"Moyer","given":"Pat","non-dropping-particle":"","parse-names":false,"suffix":""},{"dropping-particle":"","family":"Hofmanová","given":"Jiřina","non-dropping-particle":"","parse-names":false,"suffix":""},{"dropping-particle":"","family":"Kozubík","given":"Alois","non-dropping-particle":"","parse-names":false,"suffix":""},{"dropping-particle":"","family":"Vondráček","given":"Jan","non-dropping-particle":"","parse-names":false,"suffix":""}],"container-title":"Arch Toxicol","id":"ITEM-1","issued":{"date-parts":[["2017"]]},"page":"2135-2150","title":"Butyrate alters expression of cytochrome P450 1A1 and metabolism of benzo[a]pyrene via its histone deacetylase activity in colon epithelial cell models","type":"article-journal","volume":"3"},"uris":["http://www.mendeley.com/documents/?uuid=169047db-3527-3561-95ec-2a8267efa31d"]}],"mendeley":{"formattedCitation":"&lt;sup&gt;32&lt;/sup&gt;","plainTextFormattedCitation":"32","previouslyFormattedCitation":"&lt;sup&gt;32&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32</w:t>
            </w:r>
            <w:r w:rsidRPr="007D001E">
              <w:rPr>
                <w:rFonts w:ascii="Calibri" w:eastAsia="Times New Roman" w:hAnsi="Calibri" w:cs="Calibri"/>
                <w:color w:val="000000"/>
                <w:lang w:val="en-GB" w:eastAsia="nl-NL"/>
              </w:rPr>
              <w:fldChar w:fldCharType="end"/>
            </w:r>
          </w:p>
        </w:tc>
      </w:tr>
      <w:tr w:rsidR="00822D13" w:rsidRPr="007D001E" w14:paraId="2F2396E9" w14:textId="77777777" w:rsidTr="00890C83">
        <w:trPr>
          <w:trHeight w:val="300"/>
          <w:jc w:val="center"/>
        </w:trPr>
        <w:tc>
          <w:tcPr>
            <w:tcW w:w="4405" w:type="dxa"/>
            <w:shd w:val="clear" w:color="auto" w:fill="auto"/>
            <w:noWrap/>
            <w:vAlign w:val="bottom"/>
            <w:hideMark/>
          </w:tcPr>
          <w:p w14:paraId="4CDBF193"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Mineral absorption</w:t>
            </w:r>
          </w:p>
        </w:tc>
        <w:tc>
          <w:tcPr>
            <w:tcW w:w="3969" w:type="dxa"/>
            <w:shd w:val="clear" w:color="auto" w:fill="auto"/>
            <w:noWrap/>
          </w:tcPr>
          <w:p w14:paraId="2CCF7E0D" w14:textId="1CD3C2F4"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{"citationItems":[{"id":"ITEM-1","itemData":{"DOI":"10.1146/annurev-nutr-033009-083312","ISSN":"01999885","PMID":"19400752","abstract":"Research advances defining how zinc is transported into and out of cells and organelles have increased exponentially within the past five years. Research has progressed through application of molecular techniques including genomic analysis, cell transfection, RNA interference, kinetic analysis of ion transport, and application of cell and animal models including knockout mice. The knowledge base has increased for most of 10 members of the ZnT family and 14 members of the Zrt-, Irtlike protein (ZIP) family. Relative to the handling of dietary zinc is the involvement of ZnT1, ZIP4, and ZIP5 in intestinal zinc transport, involvement of ZIP10 and ZnT1 in renal zinc reabsorption, and the roles of ZIP5, ZnT2, and ZnT1 in pancreatic release of endogenous zinc. These events are major factors in regulation of zinc homeostasis. Other salient findings are the involvement of ZnT2 in lactation, ZIP14 in the hypozincemia of inflammation, ZIP6, ZIP7, and ZIP10 in metastatic breast cancer, and ZnT8 in insulin processing and as an autoantigen in diabetes. Copyright © 2009 by Annual Reviews. All rights reserved.","author":[{"dropping-particle":"","family":"Lichten","given":"Louis A.","non-dropping-particle":"","parse-names":false,"suffix":""},{"dropping-particle":"","family":"Cousins","given":"Robert J.","non-dropping-particle":"","parse-names":false,"suffix":""}],"container-title":"Annual Review of Nutrition","id":"ITEM-1","issued":{"date-parts":[["2009","8","22"]]},"page":"153-176","publisher":" Annual Reviews ","title":"Mammalian zinc transporters: Nutritional and physiologic regulation","type":"article","volume":"29"},"uris":["http://www.mendeley.com/documents/?uuid=7f2b8e34-a44f-3f73-9bb0-6a39e105e1a4"]},{"id":"ITEM-2","itemData":{"DOI":"10.1097/MOG.0b013e3282f37b59","ISSN":"02671379","PMID":"18301276","abstract":"PURPOSE OF REVIEW: Recent identification and characterization of novel Mg transporters have clarified our understanding of intestinal magnesium absorption. The predominant Mg transporters include TRPM6 and TRPM7, members of the transient receptor potential melastatin family of cation channels. Mutations of TRPM6 result in a primary disorder termed hypomagnesemia with secondary hypocalcemia. RECENT FINDINGS: Both TRPM6 and TRPM7 channels possess an atypical α-kinase domain. Recent studies have shown that TRPM7 channel activity is regulated by intracellular Mg and magnesium-nucleotides and modulated via this phosphotransferase kinase. TRPM6 channel function and intestinal magnesium absorption is altered by a variety of hormones and factors. Although it is apparent that TRPM6 and TRPM7 form heteromeric ion channels, controversy surrounds the nature of this interaction. Some studies show that TRPM6 may function on its own whereas other research concludes that TRPM7 is required for effective trafficking of TRPM6 to the plasma membrane. Finally, a number of other Mg transporters have been identified in intestinal epithelial cells but the role of these proteins is unclear. SUMMARY: The recent developments in intestinal magnesium absorption and cellular magnesium homeostasis provide a basis for understanding magnesium deficiency disorders and provide a platform for future investigations. © 2008 Lippincott Williams &amp; Wilkins, Inc.","author":[{"dropping-particle":"","family":"Quamme","given":"Gary A.","non-dropping-particle":"","parse-names":false,"suffix":""}],"container-title":"Current Opinion in Gastroenterology","id":"ITEM-2","issue":"2","issued":{"date-parts":[["2008","3"]]},"page":"230-235","title":"Recent developments in intestinal magnesium absorption","type":"article","volume":"24"},"uris":["http://www.mendeley.com/documents/?uuid=c788e143-24b9-3ffa-b954-d2739c5cb078"]},{"id":"ITEM-3","itemData":{"DOI":"10.1016/j.tcb.2006.12.003","ISSN":"09628924","PMID":"17194590","abstract":"Iron is an essential element for metabolic processes intrinsic to life, and yet the properties that make iron a necessity also make it potentially deleterious. To avoid harm, iron homeostasis is achieved through iron transport, storage and regulatory proteins. The functions of some of these molecules are well described, for example transferrin and transferrin receptor-1, whereas the roles of others, such as the transferrin homolog melanotransferrin, remain unclear. The past decade has seen the identification of new molecules involved in iron metabolism, such as divalent metal transporter-1, ferroportin-1, hepcidin, hemojuvelin and heme carrier protein-1. Here, we focus on these intriguing new molecules and the insights gained from them into cellular iron uptake and the regulation of iron metabolism. © 2006 Elsevier Ltd. All rights reserved.","author":[{"dropping-particle":"","family":"Dunn","given":"Louise L.","non-dropping-particle":"","parse-names":false,"suffix":""},{"dropping-particle":"","family":"Rahmanto","given":"Yohan Suryo","non-dropping-particle":"","parse-names":false,"suffix":""},{"dropping-particle":"","family":"Richardson","given":"Des R.","non-dropping-particle":"","parse-names":false,"suffix":""}],"container-title":"Trends in Cell Biology","id":"ITEM-3","issue":"2","issued":{"date-parts":[["2007","2","1"]]},"page":"93-100","publisher":"Elsevier Current Trends","title":"Iron uptake and metabolism in the new millennium","type":"article","volume":"17"},"uris":["http://www.mendeley.com/documents/?uuid=f9eab95b-0518-346b-8e28-4b83014f70b9"]},{"id":"ITEM-4","itemData":{"DOI":"10.1093/ajcn/88.3.846s","ISSN":"00029165","PMID":"18779306","abstract":"Stable-isotope studies in human infants and adults have shown that copper homeostasis occurs, but the contribution of the small intestine to this regulation is still not well understood. Copper first needs to be reduced to the cuprous form, most likely by Steap proteins on the apical membrane. Copper is subsequently absorbed by Ctr1 and then transferred in the enterocyte by the chaperone Atox1 to reach ATP7A for export from the cell. The role of ATP7B, shown to be present in the small intestine, is still poorly understood. In situations of high copper exposure, Ctr1 is endocytosed, metallothionein is induced, and ATP7A moves to a more basolateral localization. However, the ontogeny of regulation of copper homeostasis has received little attention. In rat pups, tissue copper and total-body 67Cu retention decrease throughout postnatal development, whereas liver 67Cu retention, serum copper, and ceruloplasmin activity increase. Total 67Cu absorption decreases and intestinal 67Cu retention increases with increased copper intake. During early infancy (day 10), copper supplementation increases intestinal copper and metallothionein gene expression, and Ctr1 protein levels increase, whereas Atp7A and Atp7B are unaffected. However, during late infancy (day 20), intestinal copper concentrations are unaffected by supplementation, but Ctr1, ATP7A, and Atp7B protein levels are higher than in controls. Thus, maturation of small intestine copper transport occurs through increased abundance and altered localization of Ctr1, Atp7A, and Atp7B. The mechanisms behind this maturation, including both transcriptional and posttranscriptional regulation, require further studies. © 2008 American Society for Nutrition.","author":[{"dropping-particle":"","family":"Lönnerdal","given":"Bo","non-dropping-particle":"","parse-names":false,"suffix":""}],"container-title":"American Journal of Clinical Nutrition","id":"ITEM-4","issue":"3","issued":{"date-parts":[["2008","9","1"]]},"page":"846S-850S","publisher":"American Society for Nutrition","title":"Intestinal regulation of copper homeostasis: A developmental perspective","type":"paper-conference","volume":"88"},"uris":["http://www.mendeley.com/documents/?uuid=44d1aea0-3f9a-384b-8468-374aa7255b17"]}],"mendeley":{"formattedCitation":"&lt;sup&gt;15–18&lt;/sup&gt;","plainTextFormattedCitation":"15–18","previouslyFormattedCitation":"&lt;sup&gt;15–18&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15–18</w:t>
            </w:r>
            <w:r w:rsidRPr="007D001E">
              <w:rPr>
                <w:rFonts w:ascii="Calibri" w:eastAsia="Times New Roman" w:hAnsi="Calibri" w:cs="Calibri"/>
                <w:color w:val="000000"/>
                <w:lang w:val="en-GB" w:eastAsia="nl-NL"/>
              </w:rPr>
              <w:fldChar w:fldCharType="end"/>
            </w:r>
          </w:p>
        </w:tc>
      </w:tr>
      <w:tr w:rsidR="00822D13" w:rsidRPr="007D001E" w14:paraId="5859C42C" w14:textId="77777777" w:rsidTr="00890C83">
        <w:trPr>
          <w:trHeight w:val="300"/>
          <w:jc w:val="center"/>
        </w:trPr>
        <w:tc>
          <w:tcPr>
            <w:tcW w:w="4405" w:type="dxa"/>
            <w:shd w:val="clear" w:color="auto" w:fill="auto"/>
            <w:noWrap/>
            <w:vAlign w:val="bottom"/>
            <w:hideMark/>
          </w:tcPr>
          <w:p w14:paraId="0361287D"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Fat digestion and absorption</w:t>
            </w:r>
          </w:p>
        </w:tc>
        <w:tc>
          <w:tcPr>
            <w:tcW w:w="3969" w:type="dxa"/>
            <w:shd w:val="clear" w:color="auto" w:fill="auto"/>
            <w:noWrap/>
          </w:tcPr>
          <w:p w14:paraId="415AED98" w14:textId="0311F242"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{"citationItems":[{"id":"ITEM-1","itemData":{"DOI":"10.1152/advan.00094.2009","ISSN":"15221229","abstract":"Nutrient digestion and absorption is necessary for the survival of living organisms and has evolved into the complex and specific task of the gastrointestinal (GI) system. While most people simply assume that their GI tract will work properly to use nutrients, provide energy, and release wastes, few nonscientists know the details about how various nutrients are digested and how the breakdown products traverse the cells lining the small intestine to reach the blood stream and to be used by the other cells of the body. There have been several recent discoveries of new transporters that likely contribute to the absorption of oligopeptides and fatty acids. In addition, details are being clarified about how transporters work and in what forms nutrients can be absorbed. The enzymes that digest basic carbohydrates, proteins, and fats have been identified in various segments of the GI tract, and details are becoming clearer about what types of bonds they hydrolyze. Usually, detailed information about the digestion of basic nutrients is presented and learned in biochemistry courses and detailed information about absorption via transepithelial transport of the breakdown products of digestion is studied in physiology courses. The goal of this Staying Current article is to combine the details of the biochemistry of digestion with the updated information about the physiology of nutrient absorption into one source for teachers of physiology. Insights are included about some of the diseases and conditions that can bring about malabsorption of food in the GI tract and their consequences. © 2010 The American Physiological Society.","author":[{"dropping-particle":"","family":"Goodman","given":"Barbara E.","non-dropping-particle":"","parse-names":false,"suffix":""}],"container-title":"American Journal of Physiology - Advances in Physiology Education","id":"ITEM-1","issue":"2","issued":{"date-parts":[["2010"]]},"page":"44-53","publisher":"American Physiological Society","title":"Insights into digestion and absorption of major nutrients in humans","type":"article-journal","volume":"34"},"uris":["http://www.mendeley.com/documents/?uuid=1401ac50-e9bf-3413-8169-2abc733f292d"]}],"mendeley":{"formattedCitation":"&lt;sup&gt;33&lt;/sup&gt;","plainTextFormattedCitation":"33","previouslyFormattedCitation":"&lt;sup&gt;33&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33</w:t>
            </w:r>
            <w:r w:rsidRPr="007D001E">
              <w:rPr>
                <w:rFonts w:ascii="Calibri" w:eastAsia="Times New Roman" w:hAnsi="Calibri" w:cs="Calibri"/>
                <w:color w:val="000000"/>
                <w:lang w:val="en-GB" w:eastAsia="nl-NL"/>
              </w:rPr>
              <w:fldChar w:fldCharType="end"/>
            </w:r>
          </w:p>
        </w:tc>
      </w:tr>
      <w:tr w:rsidR="00822D13" w:rsidRPr="007D001E" w14:paraId="74E4E143" w14:textId="77777777" w:rsidTr="00890C83">
        <w:trPr>
          <w:trHeight w:val="300"/>
          <w:jc w:val="center"/>
        </w:trPr>
        <w:tc>
          <w:tcPr>
            <w:tcW w:w="4405" w:type="dxa"/>
            <w:shd w:val="clear" w:color="auto" w:fill="auto"/>
            <w:noWrap/>
            <w:vAlign w:val="bottom"/>
            <w:hideMark/>
          </w:tcPr>
          <w:p w14:paraId="06C7B1AA"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Tryptophan metabolism</w:t>
            </w:r>
          </w:p>
        </w:tc>
        <w:tc>
          <w:tcPr>
            <w:tcW w:w="3969" w:type="dxa"/>
            <w:shd w:val="clear" w:color="auto" w:fill="auto"/>
            <w:noWrap/>
          </w:tcPr>
          <w:p w14:paraId="35F78CE4" w14:textId="6A9438D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{"citationItems":[{"id":"ITEM-1","itemData":{"DOI":"10.3389/fcimb.2018.00013","ISSN":"22352988","PMID":"29468141","abstract":"The gut microbiota influences the health of the host, especially with regard to gut immune homeostasis and the intestinal immune response. In addition to serving as a nutrient enhancer, L-tryptophan (Trp) plays crucial roles in the balance between intestinal immune tolerance and gut microbiota maintenance. Recent discoveries have underscored that changes in the microbiota modulate the host immune system by modulating Trp metabolism. Moreover, Trp, endogenous Trp metabolites (kynurenines, serotonin, and melatonin), and bacterial Trp metabolites (indole, indolic acid, skatole, and tryptamine) have profound effects on gut microbial composition, microbial metabolism, the host's immune system, the host-microbiome interface, and host immune system-intestinal microbiota interactions. The aryl hydrocarbon receptor (AhR) mediates the regulation of intestinal immunity by Trp metabolites (as ligands of AhR), which is beneficial for immune homeostasis. Among Trp metabolites, AhR ligands consist of endogenous metabolites, including kynurenine, kynurenic acid, xanthurenic acid, and cinnabarinic acid, and bacterial metabolites, including indole, indole propionic acid, indole acetic acid, skatole, and tryptamine. Additional factors, such as aging, stress, probiotics, and diseases (spondyloarthritis, irritable bowel syndrome, inflammatory bowel disease, colorectal cancer), which are associated with variability in Trp metabolism, can influence Trp-microbiome-immune system interactions in the gut and also play roles in regulating gut immunity. This review clarifies how the gut microbiota regulates Trp metabolism and identifies the underlying molecular mechanisms of these interactions. Increased mechanistic insight into how the microbiota modulates the intestinal immune system through Trp metabolism may allow for the identification of innovative microbiota-based diagnostics, as well as appropriate nutritional supplementation of Trp to prevent or alleviate intestinal inflammation. Moreover, this review provides new insight regarding the influence of the gut microbiota on Trp metabolism. Additional comprehensive analyses of targeted Trp metabolites (including endogenous and bacterial metabolites) are essential for experimental preciseness, as the influence of the gut microbiota cannot be neglected, and may explain contradictory results in the literature.","author":[{"dropping-particle":"","family":"Gao","given":"Jing","non-dropping-particle":"","parse-names":false,"suffix":""},{"dropping-particle":"","family":"Xu","given":"Kang","non-dropping-particle":"","parse-names":false,"suffix":""},{"dropping-particle":"","family":"Liu","given":"Hongnan","non-dropping-particle":"","parse-names":false,"suffix":""},{"dropping-particle":"","family":"Liu","given":"Gang","non-dropping-particle":"","parse-names":false,"suffix":""},{"dropping-particle":"","family":"Bai","given":"Miaomiao","non-dropping-particle":"","parse-names":false,"suffix":""},{"dropping-particle":"","family":"Peng","given":"Can","non-dropping-particle":"","parse-names":false,"suffix":""},{"dropping-particle":"","family":"Li","given":"Tiejun","non-dropping-particle":"","parse-names":false,"suffix":""},{"dropping-particle":"","family":"Yin","given":"Yulong","non-dropping-particle":"","parse-names":false,"suffix":""}],"container-title":"Frontiers in Cellular and Infection Microbiology","id":"ITEM-1","issue":"FEB","issued":{"date-parts":[["2018","2","6"]]},"page":"13","publisher":"Frontiers Media S.A.","title":"Impact of the gut microbiota on intestinal immunity mediated by tryptophan metabolism","type":"article","volume":"8"},"uris":["http://www.mendeley.com/documents/?uuid=20742aad-caae-3cf7-b63b-1224934ed6d4"]},{"id":"ITEM-2","itemData":{"DOI":"10.1111/j.1365-2982.2009.01370.x","ISSN":"13501925","PMID":"19650771","abstract":"Tryptophan is the precursor of a wide array of metabolites, which are involved in a variety of aspects of human nutrition and metabolism. Accumulating evidence suggests a role of tryptophan metabolites, especially serotonin (5-hydroxytryptamin) in intestinal (patho) physiology, although mechanisms of action are still poorly understood. Alterations of serotonin metabolism may give rise to gastrointestinal dysfunction. Recently, it has been postulated that other metabolites of tryptophan, mostly of the kynurenine pathway, also play a role in regulating gut function. This review analyses the current knowledge of the interrelationship between tryptophan metabolic pathways and summarizes the existing scientific evidence regarding the role of tryptophan metabolites in intestinal function and in the pathogenesis of gastrointestinal diseases. © 2009 Blackwell Publishing Ltd.","author":[{"dropping-particle":"","family":"Keszthelyi","given":"D.","non-dropping-particle":"","parse-names":false,"suffix":""},{"dropping-particle":"","family":"Troost","given":"F. J.","non-dropping-particle":"","parse-names":false,"suffix":""},{"dropping-particle":"","family":"Masclee","given":"A. A.M.","non-dropping-particle":"","parse-names":false,"suffix":""}],"container-title":"Neurogastroenterology and Motility","id":"ITEM-2","issue":"12","issued":{"date-parts":[["2009","12","1"]]},"page":"1239-1249","publisher":"John Wiley &amp; Sons, Ltd","title":"Understanding the role of tryptophan and serotonin metabolism in gastrointestinal function","type":"article","volume":"21"},"uris":["http://www.mendeley.com/documents/?uuid=62c7cb9e-7991-3b70-b97c-aee142a7bce8"]}],"mendeley":{"formattedCitation":"&lt;sup&gt;34,35&lt;/sup&gt;","plainTextFormattedCitation":"34,35","previouslyFormattedCitation":"&lt;sup&gt;34,35&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34,35</w:t>
            </w:r>
            <w:r w:rsidRPr="007D001E">
              <w:rPr>
                <w:rFonts w:ascii="Calibri" w:eastAsia="Times New Roman" w:hAnsi="Calibri" w:cs="Calibri"/>
                <w:color w:val="000000"/>
                <w:lang w:val="en-GB" w:eastAsia="nl-NL"/>
              </w:rPr>
              <w:fldChar w:fldCharType="end"/>
            </w:r>
          </w:p>
        </w:tc>
      </w:tr>
      <w:tr w:rsidR="00822D13" w:rsidRPr="007D001E" w14:paraId="3984784E" w14:textId="77777777" w:rsidTr="00890C83">
        <w:trPr>
          <w:trHeight w:val="300"/>
          <w:jc w:val="center"/>
        </w:trPr>
        <w:tc>
          <w:tcPr>
            <w:tcW w:w="4405" w:type="dxa"/>
            <w:shd w:val="clear" w:color="auto" w:fill="auto"/>
            <w:noWrap/>
            <w:vAlign w:val="bottom"/>
            <w:hideMark/>
          </w:tcPr>
          <w:p w14:paraId="0BA2D0C3"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Glycine serine and threonine metabolism</w:t>
            </w:r>
          </w:p>
        </w:tc>
        <w:tc>
          <w:tcPr>
            <w:tcW w:w="3969" w:type="dxa"/>
            <w:shd w:val="clear" w:color="auto" w:fill="auto"/>
            <w:noWrap/>
          </w:tcPr>
          <w:p w14:paraId="002F816A" w14:textId="1E1987B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{"citationItems":[{"id":"ITEM-1","itemData":{"DOI":"10.3390/nu11061356","ISSN":"20726643","PMID":"31208147","abstract":"Glycine is the proteinogenic amino-acid of lowest molecular weight, harboring a hydrogen atom as a side-chain. In addition to being a building-block for proteins, glycine is also required for multiple metabolic pathways, such as glutathione synthesis and regulation of one-carbon metabolism. Although generally viewed as a non-essential amino-acid, because it can be endogenously synthesized to a certain extent, glycine has also been suggested as a conditionally essential amino acid. In metabolic disorders associated with obesity, type 2 diabetes (T2DM), and non-alcoholic fatty liver disease (NAFLDs), lower circulating glycine levels have been consistently observed, and clinical studies suggest the existence of beneficial effects induced by glycine supplementation. The present review aims at synthesizing the recent advances in glycine metabolism, pinpointing its main metabolic pathways, identifying the causes leading to glycine deficiency—especially in obesity and associated metabolic disorders—and evaluating the potential benefits of increasing glycine availability to curb the progression of obesity and obesity-related metabolic disturbances. This study focuses on the importance of diet, gut microbiota, and liver metabolism in determining glycine availability in obesity and associated metabolic disorders.","author":[{"dropping-particle":"","family":"Alves","given":"Anaïs","non-dropping-particle":"","parse-names":false,"suffix":""},{"dropping-particle":"","family":"Bassot","given":"Arthur","non-dropping-particle":"","parse-names":false,"suffix":""},{"dropping-particle":"","family":"Bulteau","given":"Anne Laure","non-dropping-particle":"","parse-names":false,"suffix":""},{"dropping-particle":"","family":"Pirola","given":"Luciano","non-dropping-particle":"","parse-names":false,"suffix":""},{"dropping-particle":"","family":"Morio","given":"Béatrice","non-dropping-particle":"","parse-names":false,"suffix":""}],"container-title":"Nutrients","id":"ITEM-1","issue":"6","issued":{"date-parts":[["2019","6","1"]]},"page":"1356","publisher":"MDPI AG","title":"Glycine metabolism and its alterations in obesity and metabolic diseases","type":"article-journal","volume":"11"},"uris":["http://www.mendeley.com/documents/?uuid=f4323b75-4c3f-38bc-a1c3-3938c76baed5"]},{"id":"ITEM-2","itemData":{"DOI":"10.1007/s00726-013-1493-1","ISSN":"09394451","PMID":"23615880","abstract":"Glycine is a major amino acid in mammals and other animals. It is synthesized from serine, threonine, choline, and hydroxyproline via inter-organ metabolism involving primarily the liver and kidneys. Under normal feeding conditions, glycine is not adequately synthesized in birds or in other animals, particularly in a diseased state. Glycine degradation occurs through three pathways: the glycine cleavage system (GCS), serine hydroxymethyltransferase, and conversion to glyoxylate by peroxisomal d-amino acid oxidase. Among these pathways, GCS is the major enzyme to initiate glycine degradation to form ammonia and CO2 in animals. In addition, glycine is utilized for the biosynthesis of glutathione, heme, creatine, nucleic acids, and uric acid. Furthermore, glycine is a significant component of bile acids secreted into the lumen of the small intestine that is necessary for the digestion of dietary fat and the absorption of long-chain fatty acids. Glycine plays an important role in metabolic regulation, anti-oxidative reactions, and neurological function. Thus, this nutrient has been used to: (1) prevent tissue injury; (2) enhance anti-oxidative capacity; (3) promote protein synthesis and wound healing; (4) improve immunity; and (5) treat metabolic disorders in obesity, diabetes, cardiovascular disease, ischemia-reperfusion injuries, cancers, and various inflammatory diseases. These multiple beneficial effects of glycine, coupled with its insufficient de novo synthesis, support the notion that it is a conditionally essential and also a functional amino acid for mammals (including pigs and humans). © 2013 Springer-Verlag Wien.","author":[{"dropping-particle":"","family":"Wang","given":"Weiwei","non-dropping-particle":"","parse-names":false,"suffix":""},{"dropping-particle":"","family":"Wu","given":"Zhenlong","non-dropping-particle":"","parse-names":false,"suffix":""},{"dropping-particle":"","family":"Dai","given":"Zhaolai","non-dropping-particle":"","parse-names":false,"suffix":""},{"dropping-particle":"","family":"Yang","given":"Ying","non-dropping-particle":"","parse-names":false,"suffix":""},{"dropping-particle":"","family":"Wang","given":"Junjun","non-dropping-particle":"","parse-names":false,"suffix":""},{"dropping-particle":"","family":"Wu","given":"Guoyao","non-dropping-particle":"","parse-names":false,"suffix":""}],"container-title":"Amino Acids","id":"ITEM-2","issue":"3","issued":{"date-parts":[["2013"]]},"page":"463-477","title":"Glycine metabolism in animals and humans: Implications for nutrition and health","type":"article-journal","volume":"45"},"uris":["http://www.mendeley.com/documents/?uuid=2f4338fd-8eec-3b94-aece-ced4025603e4"]}],"mendeley":{"formattedCitation":"&lt;sup&gt;36,37&lt;/sup&gt;","plainTextFormattedCitation":"36,37","previouslyFormattedCitation":"&lt;sup&gt;36,37&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36,37</w:t>
            </w:r>
            <w:r w:rsidRPr="007D001E">
              <w:rPr>
                <w:rFonts w:ascii="Calibri" w:eastAsia="Times New Roman" w:hAnsi="Calibri" w:cs="Calibri"/>
                <w:color w:val="000000"/>
                <w:lang w:val="en-GB" w:eastAsia="nl-NL"/>
              </w:rPr>
              <w:fldChar w:fldCharType="end"/>
            </w:r>
          </w:p>
        </w:tc>
      </w:tr>
      <w:tr w:rsidR="00822D13" w:rsidRPr="007D001E" w14:paraId="719E8016" w14:textId="77777777" w:rsidTr="00890C83">
        <w:trPr>
          <w:trHeight w:val="300"/>
          <w:jc w:val="center"/>
        </w:trPr>
        <w:tc>
          <w:tcPr>
            <w:tcW w:w="4405" w:type="dxa"/>
            <w:shd w:val="clear" w:color="auto" w:fill="auto"/>
            <w:noWrap/>
            <w:vAlign w:val="bottom"/>
            <w:hideMark/>
          </w:tcPr>
          <w:p w14:paraId="2A08160A"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Circadian entrainment</w:t>
            </w:r>
          </w:p>
        </w:tc>
        <w:tc>
          <w:tcPr>
            <w:tcW w:w="3969" w:type="dxa"/>
            <w:shd w:val="clear" w:color="auto" w:fill="auto"/>
            <w:noWrap/>
          </w:tcPr>
          <w:p w14:paraId="13424D5C" w14:textId="2608B218"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{"citationItems":[{"id":"ITEM-1","itemData":{"ISSN":"08675910","PMID":"21673361","abstract":"Circadian and seasonal rhythms are a fundamental feature of all living organisms and their organelles. Biological rhythms are responsible for daily food intake; the period of hunger and satiety is controlled by the central pacemaker, which resides in the suprachiasmatic nucleus (SCN) of the hypothalamus, and communicates with tissues via bidirectional neuronal and humoral pathways. The molecular basis for circadian timing in the gastrointestinal tract (GIT) involves interlocking transcriptional/translational feedback loops which culminate in the rhythmic expression and activity of a set of clock genes and related hormones. Interestingly, it has been found that clocks in the GIT are responsible for the periodic activity (PA) of its various segments and transit along the GIT; they are localized in special interstitial cells, with unstable membrane potentials located between the longitudinal and circular muscle layers. The rhythm of slow waves is controlled in various segments of the GIT: in the stomach (about 3 cycles per min), in the duodenum (12 cycle per min), in the jejunum and ileum (from 7 to 10 cycles per min), and in the colon (12 cycles per min). The migrating motor complex (MMC) starts in the stomach and moves along the gut causing peristaltic contractions when the electrical activity spikes are superimposed on the slow waves. GIT hormones, such as motilin and ghrelin, are involved in the generation of MMCs, while others (gastrin, ghrelin, cholecystokinin, serotonin) are involved in the generation of spikes upon the slow waves, resulting in peristaltic or segmental contractions in the small (duodenum, jejunum ileum) and large bowel (colon). Additionally, melatonin, produced by neuro-endocrine cells of the GIT mucosa, plays an important role in the internal biological clock, related to food intake (hunger and satiety) and the myoelectric rhythm (produced primarily by the pineal gland during the dark period of the light-dark cycle). This appears to be an endocrine encoding of the environmental light-dark cycle, conveying photic information which is used by organisms for both circadian and seasonal organization. Motor and secretory activity, as well as the rhythm of cell proliferation in the GIT and liver, are subject to many circadian rhythms, mediated by autonomic cells and some enterohormones (gastrin, ghrelin and somatostatin). Disruption of circadian physiology, due to sleep disturbance or shift work, may result in various gastrointestinal dis…","author":[{"dropping-particle":"","family":"Konturek","given":"P. C.","non-dropping-particle":"","parse-names":false,"suffix":""},{"dropping-particle":"","family":"Brzozowski","given":"T.","non-dropping-particle":"","parse-names":false,"suffix":""},{"dropping-particle":"","family":"Konturek","given":"S. J.","non-dropping-particle":"","parse-names":false,"suffix":""}],"container-title":"Journal of Physiology and Pharmacology","id":"ITEM-1","issued":{"date-parts":[["2011"]]},"title":"Gut clock: Implication of circadian rhythms in the gastointestinal tract","type":"article"},"uris":["http://www.mendeley.com/documents/?uuid=a1cb2986-ac34-4774-815e-74ad9c298014"]},{"id":"ITEM-2","itemData":{"DOI":"10.3390/microorganisms7020041","ISSN":"20762607","abstract":"This article reviews the current evidence associating gut microbiota with factors that impact host circadian-metabolic axis, such as light/dark cycles, sleep/wake cycles, diet, and eating patterns. We examine how gut bacteria possess their own daily rhythmicity in terms of composition, their localization to intestinal niches, and functions. We review evidence that gut bacteria modulate host rhythms via microbial metabolites such as butyrate, polyphenolic derivatives, vitamins, and amines. Lifestyle stressors such as altered sleep and eating patterns that may disturb the host circadian system also influence the gut microbiome. The consequent disruptions to microbiota-mediated functions such as decreased conjugation of bile acids or increased production of hydrogen sulfide and the resultant decreased production of butyrate, in turn affect substrate oxidation and energy regulation in the host. Thus, disturbances in microbiome rhythms may at least partially contribute to an increased risk of obesity and metabolic syndrome associated with insufficient sleep and circadian misalignment. Good sleep and a healthy diet appear to be essential for maintaining gut microbial balance. Manipulating daily rhythms of gut microbial abundance and activity may therefore hold promise for a chrononutrition-based approach to consolidate host circadian rhythms and metabolic homeorhesis.","author":[{"dropping-particle":"","family":"Parkar","given":"Shanthi G.","non-dropping-particle":"","parse-names":false,"suffix":""},{"dropping-particle":"","family":"Kalsbeek","given":"Andries","non-dropping-particle":"","parse-names":false,"suffix":""},{"dropping-particle":"","family":"Cheeseman","given":"James F.","non-dropping-particle":"","parse-names":false,"suffix":""}],"container-title":"Microorganisms","id":"ITEM-2","issue":"2","issued":{"date-parts":[["2019","2","1"]]},"page":"41","publisher":"MDPI AG","title":"Potential role for the gut microbiota in modulating host circadian rhythms and metabolic health","type":"article","volume":"7"},"uris":["http://www.mendeley.com/documents/?uuid=9a82ad40-0dac-3e93-825f-ddfda4429497"]}],"mendeley":{"formattedCitation":"&lt;sup&gt;38,39&lt;/sup&gt;","plainTextFormattedCitation":"38,39","previouslyFormattedCitation":"&lt;sup&gt;38,39&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38,39</w:t>
            </w:r>
            <w:r w:rsidRPr="007D001E">
              <w:rPr>
                <w:rFonts w:ascii="Calibri" w:eastAsia="Times New Roman" w:hAnsi="Calibri" w:cs="Calibri"/>
                <w:lang w:val="en-GB" w:eastAsia="nl-NL"/>
              </w:rPr>
              <w:fldChar w:fldCharType="end"/>
            </w:r>
          </w:p>
        </w:tc>
      </w:tr>
      <w:tr w:rsidR="00822D13" w:rsidRPr="007D001E" w14:paraId="0F83946A" w14:textId="77777777" w:rsidTr="00890C83">
        <w:trPr>
          <w:trHeight w:val="300"/>
          <w:jc w:val="center"/>
        </w:trPr>
        <w:tc>
          <w:tcPr>
            <w:tcW w:w="4405" w:type="dxa"/>
            <w:shd w:val="clear" w:color="auto" w:fill="auto"/>
            <w:noWrap/>
            <w:vAlign w:val="bottom"/>
            <w:hideMark/>
          </w:tcPr>
          <w:p w14:paraId="68A4B8A3"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Metabolism of xenobiotics by cytochrome P450</w:t>
            </w:r>
          </w:p>
        </w:tc>
        <w:tc>
          <w:tcPr>
            <w:tcW w:w="3969" w:type="dxa"/>
            <w:shd w:val="clear" w:color="auto" w:fill="auto"/>
            <w:noWrap/>
          </w:tcPr>
          <w:p w14:paraId="124C2DBE" w14:textId="2841A38A"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{"citationItems":[{"id":"ITEM-1","itemData":{"DOI":"10.1211/jpp.61.05.0002","ISSN":"0022-3573","abstract":"Objective Although the human small intestine serves primarily as an absorptive organ for nutrients and water, it also has the ability to metabolise drugs. Interest in the small intestine as a drug-metabolising organ has been increasing since the realisation that it is probably the most important extrahepatic site of drug biotransformation. Key findings Among the metabolising enzymes present in the small intestinal mucosa, the cytochromes P450 (CYPs) are of particular importance, being responsible for the majority of phase I drug metabolism reactions. Many drug interactions involving induction or inhibition of CYP enzymes, in particular CYP3A, have been proposed to occur substantially at the level of the intestine rather than exclusively within the liver, as originally thought. CYP3A and CYP2C represent the major intestinal CYPs, accounting for approximately 80% and 18%, respectively, of total immunoquantified CYPs. CYP2J2 is also consistently expressed in the human gut wall. In the case of CYP1A1, large interindividual variation in the expression levels has been reported. Data for the intestinal expression of the polymorphic CYP2D6 are conflicting. Several other CYPs, including the common hepatic isoform CYP2E1, are expressed in the human small intestine to only a very low extent, if at all. The distribution of most CYP enzymes is not uniform along the human gastrointestinal tract, being generally higher in the proximal regions of the small intestine. Summary This article reviews the current state of knowledge of CYP enzyme expression in human small intestine, the role of the gut wall in CYP-mediated metabolism, and how this metabolism limits the bioavailability of orally administered drugs. Possible interactions between drugs and CYP activity in the small intestine are also discussed.","author":[{"dropping-particle":"","family":"Thelen","given":"Kirstin","non-dropping-particle":"","parse-names":false,"suffix":""},{"dropping-particle":"","family":"Dressman","given":"Jennifer B","non-dropping-particle":"","parse-names":false,"suffix":""}],"container-title":"Journal of Pharmacy and Pharmacology","id":"ITEM-1","issue":"5","issued":{"date-parts":[["2010","1","8"]]},"page":"541-558","publisher":"Oxford University Press (OUP)","title":"Cytochrome P450-mediated metabolism in the human gut wall","type":"article-journal","volume":"61"},"uris":["http://www.mendeley.com/documents/?uuid=92388887-bca3-3da0-844b-a61dbf76b74d"]}],"mendeley":{"formattedCitation":"&lt;sup&gt;40&lt;/sup&gt;","plainTextFormattedCitation":"40","previouslyFormattedCitation":"&lt;sup&gt;40&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40</w:t>
            </w:r>
            <w:r w:rsidRPr="007D001E">
              <w:rPr>
                <w:rFonts w:ascii="Calibri" w:eastAsia="Times New Roman" w:hAnsi="Calibri" w:cs="Calibri"/>
                <w:color w:val="000000"/>
                <w:lang w:val="en-GB" w:eastAsia="nl-NL"/>
              </w:rPr>
              <w:fldChar w:fldCharType="end"/>
            </w:r>
          </w:p>
        </w:tc>
      </w:tr>
      <w:tr w:rsidR="00822D13" w:rsidRPr="007D001E" w14:paraId="7CDD2F73" w14:textId="77777777" w:rsidTr="00890C83">
        <w:trPr>
          <w:trHeight w:val="300"/>
          <w:jc w:val="center"/>
        </w:trPr>
        <w:tc>
          <w:tcPr>
            <w:tcW w:w="4405" w:type="dxa"/>
            <w:shd w:val="clear" w:color="auto" w:fill="auto"/>
            <w:noWrap/>
            <w:vAlign w:val="bottom"/>
            <w:hideMark/>
          </w:tcPr>
          <w:p w14:paraId="45E15770"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Ubiquinone and other terpenoid quinone biosynthesis</w:t>
            </w:r>
          </w:p>
        </w:tc>
        <w:tc>
          <w:tcPr>
            <w:tcW w:w="3969" w:type="dxa"/>
            <w:shd w:val="clear" w:color="auto" w:fill="auto"/>
            <w:noWrap/>
          </w:tcPr>
          <w:p w14:paraId="70E42E9D" w14:textId="554042D4"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{"citationItems":[{"id":"ITEM-1","itemData":{"DOI":"10.1016/S0891-5849(00)00307-5","ISSN":"08915849","PMID":"11035257","abstract":"Interest in ubiquinone (UQ) has increased during recent years, mainly because of its antioxidant function and its use as a dietary supplement. However, our knowledge of the biosynthesis, catabolism, and regulation of this lipid in mammalian tissues is quite limited. UQ exhibits a high rate of turnover in all tissues indicating that cells possess efficient metabolic pathways for handling this compound and controlling its tissue levels. Besides reviewing the generally accepted metabolic pathway, alternative synthetic mechanisms are described. The lack of data concerning catabolism and regulation of this compound is emphasized. Reasons for the rather limited uptake of dietary UQ are discussed and alternative mechanisms for its beneficial effects on organ function are suggested. Since appropriate tissue uptake of dietary UQ probably only occurs in deficient states, the definition of partial UQ deficiency and its consequences is urgently needed. The possibility of raising tissue UQ levels by drug treatment or natural metabolites is raised as a choice of preference for the future. (C) 2000 Elsevier Science Inc.","author":[{"dropping-particle":"","family":"Dallner","given":"Gustav","non-dropping-particle":"","parse-names":false,"suffix":""},{"dropping-particle":"","family":"Sindelar","given":"Pavel J.","non-dropping-particle":"","parse-names":false,"suffix":""}],"container-title":"Free Radical Biology and Medicine","id":"ITEM-1","issue":"3-4","issued":{"date-parts":[["2000","8","1"]]},"page":"285-294","publisher":"Elsevier Inc.","title":"Regulation of ubiquinone metabolism","type":"article-journal","volume":"29"},"uris":["http://www.mendeley.com/documents/?uuid=a5f965dc-12fb-3e17-839c-1656424fdd6a"]}],"mendeley":{"formattedCitation":"&lt;sup&gt;41&lt;/sup&gt;","plainTextFormattedCitation":"41","previouslyFormattedCitation":"&lt;sup&gt;41&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41</w:t>
            </w:r>
            <w:r w:rsidRPr="007D001E">
              <w:rPr>
                <w:rFonts w:ascii="Calibri" w:eastAsia="Times New Roman" w:hAnsi="Calibri" w:cs="Calibri"/>
                <w:color w:val="000000"/>
                <w:lang w:val="en-GB" w:eastAsia="nl-NL"/>
              </w:rPr>
              <w:fldChar w:fldCharType="end"/>
            </w:r>
          </w:p>
        </w:tc>
      </w:tr>
      <w:tr w:rsidR="00822D13" w:rsidRPr="007D001E" w14:paraId="030DBA3F" w14:textId="77777777" w:rsidTr="00890C83">
        <w:trPr>
          <w:trHeight w:val="300"/>
          <w:jc w:val="center"/>
        </w:trPr>
        <w:tc>
          <w:tcPr>
            <w:tcW w:w="4405" w:type="dxa"/>
            <w:shd w:val="clear" w:color="auto" w:fill="auto"/>
            <w:noWrap/>
            <w:vAlign w:val="bottom"/>
            <w:hideMark/>
          </w:tcPr>
          <w:p w14:paraId="4C7236B4"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PPAR signaling pathway</w:t>
            </w:r>
          </w:p>
        </w:tc>
        <w:tc>
          <w:tcPr>
            <w:tcW w:w="3969" w:type="dxa"/>
            <w:shd w:val="clear" w:color="auto" w:fill="auto"/>
            <w:noWrap/>
          </w:tcPr>
          <w:p w14:paraId="54A96ED5" w14:textId="74776D03"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{"citationItems":[{"id":"ITEM-1","itemData":{"DOI":"10.3390/ijms18122559","ISSN":"14220067","PMID":"29182565","abstract":"Nuclear receptor PPARγ affects lipid metabolism in several tissues, but its role in intestinal lipid metabolism has not been explored. As alterations have been observed in the plasma lipid profile of ad libitum fed intestinal epithelium-specific PPARγ knockout mice (iePPARγKO), we submitted these mice to lipid gavage challenges. Within hours after gavage with long chain unsaturated fatty acid (FA)-rich canola oil, the iePPARγKO mice had higher plasma free FA levels and lower gastric inhibitory polypeptide levels than their wild-type (WT) littermates, and altered expression of incretin genes and lipid metabolism-associated genes in the intestinal epithelium. Gavage with the medium chain saturated FA-rich coconut oil did not result in differences between the two genotypes. Furthermore, the iePPARγKO mice did not exhibit defective lipid uptake and stomach emptying; however, their intestinal transit was more rapid than in WT mice. When fed a canola oil-rich diet for 4.5 months, iePPARγKO mice had higher body lean mass than the WT mice. We conclude that intestinal epithelium PPARγ is activated preferentially by long chain unsaturated FAs compared to medium chain saturated FAs. Furthermore, we hypothesize that the iePPARγKO phenotype originates from altered lipid metabolism and release in epithelial cells, as well as changes in intestinal motility.","author":[{"dropping-particle":"","family":"Duszka","given":"Kalina","non-dropping-particle":"","parse-names":false,"suffix":""},{"dropping-particle":"","family":"Oresic","given":"Matej","non-dropping-particle":"","parse-names":false,"suffix":""},{"dropping-particle":"Le","family":"May","given":"Cedric","non-dropping-particle":"","parse-names":false,"suffix":""},{"dropping-particle":"","family":"König","given":"Jürgen","non-dropping-particle":"","parse-names":false,"suffix":""},{"dropping-particle":"","family":"Wahli","given":"Walter","non-dropping-particle":"","parse-names":false,"suffix":""}],"container-title":"International Journal of Molecular Sciences","id":"ITEM-1","issue":"12","issued":{"date-parts":[["2017","12","1"]]},"page":"2559","publisher":"MDPI AG","title":"PPARγ modulates long chain fatty acid processing in the intestinal epithelium","type":"article-journal","volume":"18"},"uris":["http://www.mendeley.com/documents/?uuid=ef38e004-9203-331c-8c82-2847567aaaa3"]},{"id":"ITEM-2","itemData":{"DOI":"10.1038/s41598-017-05551-2","ISSN":"20452322","PMID":"28706214","abstract":"The large intestine, also known as the hindgut, is an important part of the animal digestive system. Recent studies on digestive system development in ruminants have focused on the rumen and the small intestine, but the molecular mechanisms underlying sheep large intestine metabolism remain poorly understood. To identify genes related to intestinal metabolism and to reveal molecular regulation mechanisms, we sequenced and compared the transcriptomes of mucosal epithelial tissues among the cecum, proximal colon and duodenum. A total of 4,221 transcripts from 3,254 genes were identified as differentially expressed transcripts. Between the large intestine and duodenum, differentially expressed transcripts were found to be significantly enriched in 6 metabolism-related pathways, among which PPAR signaling was identified as a key pathway. Three genes, CPT1A, LPL and PCK1, were identified as higher expression hub genes in the large intestine. Between the cecum and colon, differentially expressed transcripts were significantly enriched in 5 lipid metabolism related pathways, and CEPT1 and MBOAT1 were identified as hub genes. This study provides important information regarding the molecular mechanisms of intestinal metabolism in sheep and may provide a basis for further study.","author":[{"dropping-particle":"","family":"Wang","given":"Jianmin","non-dropping-particle":"","parse-names":false,"suffix":""},{"dropping-particle":"","family":"Chao","given":"Tianle","non-dropping-particle":"","parse-names":false,"suffix":""},{"dropping-particle":"","family":"Wang","given":"Guizhi","non-dropping-particle":"","parse-names":false,"suffix":""},{"dropping-particle":"","family":"Ji","given":"Zhibin","non-dropping-particle":"","parse-names":false,"suffix":""},{"dropping-particle":"","family":"Liu","given":"Zhaohua","non-dropping-particle":"","parse-names":false,"suffix":""},{"dropping-particle":"","family":"Hou","given":"Lei","non-dropping-particle":"","parse-names":false,"suffix":""},{"dropping-particle":"","family":"Wang","given":"Jin","non-dropping-particle":"","parse-names":false,"suffix":""}],"container-title":"Scientific Reports","id":"ITEM-2","issue":"1","issued":{"date-parts":[["2017","12","1"]]},"page":"1-12","publisher":"Nature Publishing Group","title":"Transcriptome Analysis of Three Sheep Intestinal Regions reveals Key Pathways and Hub Regulatory Genes of Large Intestinal Lipid Metabolism","type":"article-journal","volume":"7"},"uris":["http://www.mendeley.com/documents/?uuid=bc1714c6-3f4e-3597-a4ea-b0512b409cdc"]}],"mendeley":{"formattedCitation":"&lt;sup&gt;42,43&lt;/sup&gt;","plainTextFormattedCitation":"42,43","previouslyFormattedCitation":"&lt;sup&gt;42,43&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42,43</w:t>
            </w:r>
            <w:r w:rsidRPr="007D001E">
              <w:rPr>
                <w:rFonts w:ascii="Calibri" w:eastAsia="Times New Roman" w:hAnsi="Calibri" w:cs="Calibri"/>
                <w:color w:val="000000"/>
                <w:lang w:val="en-GB" w:eastAsia="nl-NL"/>
              </w:rPr>
              <w:fldChar w:fldCharType="end"/>
            </w:r>
          </w:p>
        </w:tc>
      </w:tr>
      <w:tr w:rsidR="00822D13" w:rsidRPr="007D001E" w14:paraId="63FDA80F" w14:textId="77777777" w:rsidTr="00890C83">
        <w:trPr>
          <w:trHeight w:val="300"/>
          <w:jc w:val="center"/>
        </w:trPr>
        <w:tc>
          <w:tcPr>
            <w:tcW w:w="4405" w:type="dxa"/>
            <w:shd w:val="clear" w:color="auto" w:fill="auto"/>
            <w:noWrap/>
            <w:vAlign w:val="bottom"/>
          </w:tcPr>
          <w:p w14:paraId="40AEC6B2"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Arachidonic acid metabolism</w:t>
            </w:r>
          </w:p>
        </w:tc>
        <w:tc>
          <w:tcPr>
            <w:tcW w:w="3969" w:type="dxa"/>
            <w:shd w:val="clear" w:color="auto" w:fill="auto"/>
            <w:noWrap/>
          </w:tcPr>
          <w:p w14:paraId="0C098345" w14:textId="0672291B"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Style w:val="FootnoteReference"/>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{"citationItems":[{"id":"ITEM-1","itemData":{"DOI":"10.1097/00041433-200206000-00007","ISSN":"09579672","PMID":"12045397","abstract":"Cytochrome P450s metabolize arachidonic acid to hydroxyeicosatetraenoic acids and epoxyeicosatrienoic acids. These eicosanoids are formed in a tissue and cell-specific manner and have numerous biological functions. Of major interest are the opposing actions of hydroxyeicosatetraenoic and epoxyeicosatrienoic acids within the vasculature. Regio- and stereoisomeric epoxyeicosatrienoic acids have potent vasodilatory properties while 20-hydroxyeicosatetraenoic acid is a potent vasoconstrictor. Both effects are mediated through actions on large-conductance Ca2+-activated K+ channels. Cytochrome P450-derived eicosanoids are also important in the regulation of ion transport, and have recently been shown to influence a number of fundamental biological processes including cellular proliferation, apoptosis, inflammation, and hemostasis. The formation of these functionally relevant eicosanoids is tightly controlled by the expression and activity of the cytochrome P450 epoxygenases and hydroxylases. In addition, soluble epoxide hydrolase catalyzes the hydrolysis of epoxyeicosatrienoic acids to dihydroxyeicosatrienoic acids, and the activity of this enzyme is a critical determinant of tissue epoxyeicosatrienoic and dihydroxyeicosatrienoic acid levels. The intracellular balance between epoxyeicosatrienoic, dihydroxyeicosatrienoic and hydroxyeicosatetraenoic acids influences the biological response to these eicosanoids and alterations in their levels have recently been associated with certain pathological conditions. The involvement of the cytochrome P450-derived eicosanoids in a wide array of biological functions and the observation that levels are altered in pathological conditions suggest that the enzymes involved in the formation and degradation of these fatty acids may be novel therapeutic targets. © 2002 Lippincott Williams &amp; Wilkins.","author":[{"dropping-particle":"","family":"Kroetz","given":"Deanna L.","non-dropping-particle":"","parse-names":false,"suffix":""},{"dropping-particle":"","family":"Zeldin","given":"Darryl C.","non-dropping-particle":"","parse-names":false,"suffix":""}],"container-title":"Current Opinion in Lipidology","id":"ITEM-1","issued":{"date-parts":[["2002"]]},"title":"Cytochrome P450 pathways of arachidonic acid metabolism","type":"article"},"uris":["http://www.mendeley.com/documents/?uuid=91968009-01ca-441a-88f0-4475de5eaccb"]}],"mendeley":{"formattedCitation":"&lt;sup&gt;44&lt;/sup&gt;","plainTextFormattedCitation":"44","previouslyFormattedCitation":"&lt;sup&gt;44&lt;/sup&gt;"},"properties":{"noteIndex":0},"schema":"https://github.com/citation-style-language/schema/raw/master/csl-citation.json"}</w:instrText>
            </w:r>
            <w:r w:rsidRPr="007D001E">
              <w:rPr>
                <w:rStyle w:val="FootnoteReference"/>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44</w:t>
            </w:r>
            <w:r w:rsidRPr="007D001E">
              <w:rPr>
                <w:rStyle w:val="FootnoteReference"/>
                <w:rFonts w:ascii="Calibri" w:eastAsia="Times New Roman" w:hAnsi="Calibri" w:cs="Calibri"/>
                <w:color w:val="000000"/>
                <w:lang w:val="en-GB" w:eastAsia="nl-NL"/>
              </w:rPr>
              <w:fldChar w:fldCharType="end"/>
            </w:r>
          </w:p>
        </w:tc>
      </w:tr>
      <w:tr w:rsidR="00822D13" w:rsidRPr="007D001E" w14:paraId="4FDEFE7F" w14:textId="77777777" w:rsidTr="00890C83">
        <w:trPr>
          <w:trHeight w:val="300"/>
          <w:jc w:val="center"/>
        </w:trPr>
        <w:tc>
          <w:tcPr>
            <w:tcW w:w="8374" w:type="dxa"/>
            <w:gridSpan w:val="2"/>
            <w:shd w:val="clear" w:color="auto" w:fill="auto"/>
            <w:noWrap/>
            <w:vAlign w:val="bottom"/>
            <w:hideMark/>
          </w:tcPr>
          <w:p w14:paraId="152537EB"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Downregulated pathways</w:t>
            </w:r>
          </w:p>
        </w:tc>
      </w:tr>
      <w:tr w:rsidR="00822D13" w:rsidRPr="007D001E" w14:paraId="6407538C" w14:textId="77777777" w:rsidTr="00890C83">
        <w:trPr>
          <w:trHeight w:val="300"/>
          <w:jc w:val="center"/>
        </w:trPr>
        <w:tc>
          <w:tcPr>
            <w:tcW w:w="4405" w:type="dxa"/>
            <w:shd w:val="clear" w:color="auto" w:fill="auto"/>
            <w:noWrap/>
            <w:vAlign w:val="bottom"/>
            <w:hideMark/>
          </w:tcPr>
          <w:p w14:paraId="38D63CF5"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Proteasome</w:t>
            </w:r>
          </w:p>
        </w:tc>
        <w:tc>
          <w:tcPr>
            <w:tcW w:w="3969" w:type="dxa"/>
            <w:shd w:val="clear" w:color="auto" w:fill="auto"/>
            <w:noWrap/>
          </w:tcPr>
          <w:p w14:paraId="0DED4F49" w14:textId="38A016BC"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{"citationItems":[{"id":"ITEM-1","itemData":{"DOI":"10.1016/j.jsb.2006.04.012","ISSN":"10478477","PMID":"16919475","abstract":"Protein degradation by 20S proteasomes in vivo requires ATP hydrolysis by associated hexameric AAA ATPase complexes such as PAN in archaea and the homologous ATPases in the eukaryotic 26S proteasome. This review discusses recent insights into their multistep mechanisms and the roles of ATP. We have focused on the PAN complex, which offers many advantages for mechanistic and structural studies over the more complex 26S proteasome. By single-particle EM, PAN resembles a \"top-hat\" capping the ends of the 20S proteasome and resembles densities in the base of the 19S regulatory complex. The binding of ATP promotes formation of the PAN-20S complex, which induces opening of a gate for substrate entry into the 20S. PAN's C-termini, containing a conserved motif, docks into pockets in the 20S's α ring and causes gate opening. Surprisingly, once substrates are unfolded, their translocation into the 20S requires ATP-binding but not hydrolysis and can occur by facilitated diffusion through the ATPase in its ATP-bound form. ATP therefore serves multiple functions in proteolysis and the only step that absolutely requires ATP hydrolysis is the unfolding of globular proteins. The 26S proteasome appears to function by similar mechanisms. © 2006 Elsevier Inc. All rights reserved.","author":[{"dropping-particle":"","family":"Smith","given":"David M.","non-dropping-particle":"","parse-names":false,"suffix":""},{"dropping-particle":"","family":"Benaroudj","given":"Nadia","non-dropping-particle":"","parse-names":false,"suffix":""},{"dropping-particle":"","family":"Goldberg","given":"Alfred","non-dropping-particle":"","parse-names":false,"suffix":""}],"container-title":"Journal of Structural Biology","id":"ITEM-1","issue":"1","issued":{"date-parts":[["2006","10","1"]]},"page":"72-83","publisher":"Academic Press","title":"Proteasomes and their associated ATPases: A destructive combination","type":"article","volume":"156"},"uris":["http://www.mendeley.com/documents/?uuid=b4e6090d-a862-3024-9a3c-df23531f6268"]},{"id":"ITEM-2","itemData":{"DOI":"10.1002/ibd.20930","ISSN":"10780998","PMID":"19373789","abstract":"Background: Bacteria play a role in inflammatory bowel disease and other forms of intestinal inflammation. Although much attention has focused on the search for a pathogen or inciting inflammatory bacteria, another possibility is a lack of beneficial bacteria that normally confer anti-inflammatory properties in the gut. The purpose of this study was to determine whether normal commensal bacteria could inhibit inflammatory pathways important in intestinal inflammation. Methods: Conditioned media from Lactobacillus plantarum (Lp-CM) and other gut bacteria was used to treat intestinal epithelial cell (YAMC) and macrophage (RAW 264.7) or primary culture murine dendritic cells. NF-κB was activated through TNF-Receptor, MyD88-dependent and -independent pathways and effects of Lp-CM on the NF-κB pathway were assessed. NF-κB binding activity was measured using ELISA and EMSA. 1κB expression was assessed by Western blot analysis, and proteasome activity determined using fluorescence-based proteasome assays. MCP-1 release was determined by ELISA. Results: Lp-CM inhibited NF-κB binding activity, degradation of IκBα and the chymotrypsin-like activity of the proteasome. Moreover, Lp-CM directly inhibited the activity of purified mouse proteasomes. This effect was specific, since conditioned media from other bacteria had no inhibitory effect. Unlike other proteasome inhibitors, Lp-CM was not toxic in cell death assays. Lp-CM inhibited MCP-1 release in all cell types tested. Conclusions: These studies confirm, and provide a mechanism for, the anti-inflammatory effects of the probiotic and commensal bacterium Lactobacillus plantarum. The use of bacteria-free Lp-CM provides a novel strategy for treatment of intestinal inflammation which would eliminate the risk of bacteremia reported with conventional probiotics. Copyright © 2009 Crohn's &amp; Colitis Foundation of America, Inc.","author":[{"dropping-particle":"","family":"Petrof","given":"Elaine O.","non-dropping-particle":"","parse-names":false,"suffix":""},{"dropping-particle":"","family":"Claud","given":"Erika C.","non-dropping-particle":"","parse-names":false,"suffix":""},{"dropping-particle":"","family":"Sun","given":"Jun","non-dropping-particle":"","parse-names":false,"suffix":""},{"dropping-particle":"","family":"Abramova","given":"Tatiana","non-dropping-particle":"","parse-names":false,"suffix":""},{"dropping-particle":"","family":"Guo","given":"Yuee","non-dropping-particle":"","parse-names":false,"suffix":""},{"dropping-particle":"","family":"Waypa","given":"Tonya S.","non-dropping-particle":"","parse-names":false,"suffix":""},{"dropping-particle":"","family":"He","given":"Shu Mei","non-dropping-particle":"","parse-names":false,"suffix":""},{"dropping-particle":"","family":"Nakagawa","given":"Yasushi","non-dropping-particle":"","parse-names":false,"suffix":""},{"dropping-particle":"","family":"Chang","given":"Eugene B.","non-dropping-particle":"","parse-names":false,"suffix":""}],"container-title":"Inflammatory Bowel Diseases","id":"ITEM-2","issue":"10","issued":{"date-parts":[["2009","10","1"]]},"page":"1537-1547","publisher":"Oxford Academic","title":"Bacteria-free solution derived from Lactobacillus plantarum inhibits multiple NF-kappaB pathways and inhibits proteasome function","type":"article-journal","volume":"15"},"uris":["http://www.mendeley.com/documents/?uuid=91e0960d-1af7-3a48-8008-bd6a48b3847b"]}],"mendeley":{"formattedCitation":"&lt;sup&gt;45,46&lt;/sup&gt;","plainTextFormattedCitation":"45,46","previouslyFormattedCitation":"&lt;sup&gt;45,46&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45,46</w:t>
            </w:r>
            <w:r w:rsidRPr="007D001E">
              <w:rPr>
                <w:rFonts w:ascii="Calibri" w:eastAsia="Times New Roman" w:hAnsi="Calibri" w:cs="Calibri"/>
                <w:color w:val="000000"/>
                <w:lang w:val="en-GB" w:eastAsia="nl-NL"/>
              </w:rPr>
              <w:fldChar w:fldCharType="end"/>
            </w:r>
          </w:p>
        </w:tc>
      </w:tr>
      <w:tr w:rsidR="00822D13" w:rsidRPr="007D001E" w14:paraId="16BFBD42" w14:textId="77777777" w:rsidTr="00890C83">
        <w:trPr>
          <w:trHeight w:val="300"/>
          <w:jc w:val="center"/>
        </w:trPr>
        <w:tc>
          <w:tcPr>
            <w:tcW w:w="4405" w:type="dxa"/>
            <w:shd w:val="clear" w:color="auto" w:fill="auto"/>
            <w:noWrap/>
            <w:vAlign w:val="bottom"/>
            <w:hideMark/>
          </w:tcPr>
          <w:p w14:paraId="081D0C43"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themeColor="text1"/>
                <w:lang w:val="en-GB" w:eastAsia="nl-NL"/>
              </w:rPr>
              <w:t>P53 signaling pathway</w:t>
            </w:r>
          </w:p>
        </w:tc>
        <w:tc>
          <w:tcPr>
            <w:tcW w:w="3969" w:type="dxa"/>
            <w:shd w:val="clear" w:color="auto" w:fill="auto"/>
            <w:noWrap/>
          </w:tcPr>
          <w:p w14:paraId="5D6C171E" w14:textId="2C3B4F00"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{"citationItems":[{"id":"ITEM-1","itemData":{"DOI":"10.1038/sj.onc.1208615","ISSN":"09509232","PMID":"15838523","abstract":"The p53 pathway responds to stresses that can disrupt the fidelity of DNA replication and cell division. A stress signal is transmitted to the p53 protein by post-translational modifications. This results in the activation of the p53 protein as a transcription factor that initiates a program of cell cycle arrest, cellular senescence or apoptosis. The transcriptional network of p53-responsive genes produces proteins that interact with a large number of other signal transduction pathways in the cell and a number of positive and negative autoregulatory feedback loops act upon the p53 response. There are at least seven negative and three positive feedback loops described here, and of these, six act through the MDM-2 protein to regulate p53 activity. The p53 circuit communicates with the Wnt-beta-catenin, IGF-1-AKT, Rb-E2F, p38 MAP kinase, cyclin-cdk, p14/19 ARF pathways and the cyclin G-PP2A, and p73 gene products. There are at least three different ubiquitin ligases that can regulate p53 in an autoregulatory manner: MDM-2, Cop-1 and Pirh-2. The meaning of this redundancy and the relative activity of each of these feedback loops in different cell types or stages of development remains to be elucidated. The interconnections between signal transduction pathways will play a central role in our understanding of cancer. © 2005 Nature Publishing Group All rights reserved.","author":[{"dropping-particle":"","family":"Harris","given":"Sandra L.","non-dropping-particle":"","parse-names":false,"suffix":""},{"dropping-particle":"","family":"Levine","given":"Arnold J.","non-dropping-particle":"","parse-names":false,"suffix":""}],"container-title":"Oncogene","id":"ITEM-1","issue":"17","issued":{"date-parts":[["2005","4","18"]]},"page":"2899-2908","publisher":"Nature Publishing Group","title":"The p53 pathway: Positive and negative feedback loops","type":"article","volume":"24"},"uris":["http://www.mendeley.com/documents/?uuid=f080f5c0-993a-35a5-853c-e552f71bd31f"]}],"mendeley":{"formattedCitation":"&lt;sup&gt;19&lt;/sup&gt;","plainTextFormattedCitation":"19","previouslyFormattedCitation":"&lt;sup&gt;19&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19</w:t>
            </w:r>
            <w:r w:rsidRPr="007D001E">
              <w:rPr>
                <w:rFonts w:ascii="Calibri" w:eastAsia="Times New Roman" w:hAnsi="Calibri" w:cs="Calibri"/>
                <w:color w:val="000000"/>
                <w:lang w:val="en-GB" w:eastAsia="nl-NL"/>
              </w:rPr>
              <w:fldChar w:fldCharType="end"/>
            </w:r>
          </w:p>
        </w:tc>
      </w:tr>
      <w:tr w:rsidR="00822D13" w:rsidRPr="007D001E" w14:paraId="2FFA300B" w14:textId="77777777" w:rsidTr="00890C83">
        <w:trPr>
          <w:trHeight w:val="300"/>
          <w:jc w:val="center"/>
        </w:trPr>
        <w:tc>
          <w:tcPr>
            <w:tcW w:w="4405" w:type="dxa"/>
            <w:shd w:val="clear" w:color="auto" w:fill="auto"/>
            <w:noWrap/>
            <w:vAlign w:val="bottom"/>
            <w:hideMark/>
          </w:tcPr>
          <w:p w14:paraId="54CC3AE8"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Spliceosome</w:t>
            </w:r>
          </w:p>
        </w:tc>
        <w:tc>
          <w:tcPr>
            <w:tcW w:w="3969" w:type="dxa"/>
            <w:shd w:val="clear" w:color="auto" w:fill="auto"/>
            <w:noWrap/>
          </w:tcPr>
          <w:p w14:paraId="39FCBD62" w14:textId="68CCC2A2"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{"citationItems":[{"id":"ITEM-1","itemData":{"DOI":"10.1016/j.cell.2009.02.009","ISSN":"00928674","PMID":"19239890","abstract":"Ribonucleoproteins (RNPs) mediate key cellular functions such as gene expression and its regulation. Whereas most RNP enzymes are stable in composition and harbor preformed active sites, the spliceosome, which removes noncoding introns from precursor messenger RNAs (pre-mRNAs), follows fundamentally different strategies. In order to provide both accuracy to the recognition of reactive splice sites in the pre-mRNA and flexibility to the choice of splice sites during alternative splicing, the spliceosome exhibits exceptional compositional and structural dynamics that are exploited during substrate-dependent complex assembly, catalytic activation, and active site remodeling. © 2009 Elsevier Inc. All rights reserved.","author":[{"dropping-particle":"","family":"Wahl","given":"Markus C.","non-dropping-particle":"","parse-names":false,"suffix":""},{"dropping-particle":"","family":"Will","given":"Cindy L.","non-dropping-particle":"","parse-names":false,"suffix":""},{"dropping-particle":"","family":"Lührmann","given":"Reinhard","non-dropping-particle":"","parse-names":false,"suffix":""}],"container-title":"Cell","id":"ITEM-1","issue":"4","issued":{"date-parts":[["2009","2","20"]]},"page":"701-718","publisher":"Elsevier B.V.","title":"The Spliceosome: Design Principles of a Dynamic RNP Machine","type":"article","volume":"136"},"uris":["http://www.mendeley.com/documents/?uuid=9a8c1ba9-b304-35ba-b0c5-7b8eb81017f2"]}],"mendeley":{"formattedCitation":"&lt;sup&gt;47&lt;/sup&gt;","plainTextFormattedCitation":"47","previouslyFormattedCitation":"&lt;sup&gt;47&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47</w:t>
            </w:r>
            <w:r w:rsidRPr="007D001E">
              <w:rPr>
                <w:rFonts w:ascii="Calibri" w:eastAsia="Times New Roman" w:hAnsi="Calibri" w:cs="Calibri"/>
                <w:color w:val="000000"/>
                <w:lang w:val="en-GB" w:eastAsia="nl-NL"/>
              </w:rPr>
              <w:fldChar w:fldCharType="end"/>
            </w:r>
          </w:p>
        </w:tc>
      </w:tr>
      <w:tr w:rsidR="00822D13" w:rsidRPr="007D001E" w14:paraId="33117952" w14:textId="77777777" w:rsidTr="00890C83">
        <w:trPr>
          <w:trHeight w:val="300"/>
          <w:jc w:val="center"/>
        </w:trPr>
        <w:tc>
          <w:tcPr>
            <w:tcW w:w="4405" w:type="dxa"/>
            <w:shd w:val="clear" w:color="auto" w:fill="auto"/>
            <w:noWrap/>
            <w:vAlign w:val="bottom"/>
            <w:hideMark/>
          </w:tcPr>
          <w:p w14:paraId="2C11EEDD"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Ribosome biogenesis in eukaryotes</w:t>
            </w:r>
          </w:p>
        </w:tc>
        <w:tc>
          <w:tcPr>
            <w:tcW w:w="3969" w:type="dxa"/>
            <w:shd w:val="clear" w:color="auto" w:fill="auto"/>
            <w:noWrap/>
          </w:tcPr>
          <w:p w14:paraId="47055818" w14:textId="02BA4C9C"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{"citationItems":[{"id":"ITEM-1","itemData":{"DOI":"10.1038/s41418-020-0548-6","ISSN":"14765403","PMID":"32355182","abstract":"Ribosome biogenesis inhibition causes cell cycle arrest and apoptosis through the activation of tumor suppressor-dependent surveillance pathways. These responses are exacerbated in cancer cells, suggesting that targeting ribosome synthesis may be beneficial to patients. Here, we characterize the effect of the loss-of-function of Notchless (Nle), an essential actor of ribosome biogenesis, on the intestinal epithelium undergoing tumor initiation due to acute Apc loss-of-function. We show that ribosome biogenesis dysfunction strongly alleviates Wnt-driven tumor initiation by restoring cell cycle exit and differentiation in Apc-deficient progenitors. Conversely Wnt hyperactivation attenuates the cellular responses to surveillance pathways activation induced by ribosome biogenesis dysfunction, as proliferation was maintained at control-like levels in the stem cells and progenitors of double mutants. Thus, our data indicate that, while ribosome biogenesis inhibition efficiently reduces cancer cell proliferation in the intestinal epithelium, enhanced resistance of Apc-deficient stem and progenitor cells to ribosome biogenesis defects may be an important concern when using a therapeutic strategy targeting ribosome production for the treatment of Wnt-dependent tumorigenesis.","author":[{"dropping-particle":"","family":"Raveux","given":"Aurélien","non-dropping-particle":"","parse-names":false,"suffix":""},{"dropping-particle":"","family":"Stedman","given":"Aline","non-dropping-particle":"","parse-names":false,"suffix":""},{"dropping-particle":"","family":"Coqueran","given":"Sabrina","non-dropping-particle":"","parse-names":false,"suffix":""},{"dropping-particle":"","family":"Vandormael-Pournin","given":"Sandrine","non-dropping-particle":"","parse-names":false,"suffix":""},{"dropping-particle":"","family":"Owens","given":"Nick","non-dropping-particle":"","parse-names":false,"suffix":""},{"dropping-particle":"","family":"Romagnolo","given":"Béatrice","non-dropping-particle":"","parse-names":false,"suffix":""},{"dropping-particle":"","family":"Cohen-Tannoudji","given":"Michel","non-dropping-particle":"","parse-names":false,"suffix":""}],"container-title":"Cell Death and Differentiation","id":"ITEM-1","issue":"10","issued":{"date-parts":[["2020","10","1"]]},"page":"2872-2887","publisher":"Springer Nature","title":"Compensation between Wnt-driven tumorigenesis and cellular responses to ribosome biogenesis inhibition in the murine intestinal epithelium","type":"article-journal","volume":"27"},"uris":["http://www.mendeley.com/documents/?uuid=c6c38347-335b-3c9c-b57d-467baf06c6b5"]},{"id":"ITEM-2","itemData":{"DOI":"10.1038/cdd.2015.57","ISSN":"14765403","PMID":"26068591","abstract":"Ribosome biogenesis is an essential cellular process. Its impairment is associated with developmental defects and increased risk of cancer. The in vivo cellular responses to defective ribosome biogenesis and the underlying molecular mechanisms are still incompletely understood. In particular, the consequences of impaired ribosome biogenesis within the intestinal epithelium in mammals have not been investigated so far. Here we adopted a genetic approach to investigate the role of Notchless (NLE), an essential actor of ribosome biogenesis, in the adult mouse intestinal lineage. Nle deficiency led to defects in the synthesis of large ribosomal subunit in crypts cells and resulted in the rapid elimination of intestinal stem cells and progenitors through distinct types of cellular responses, including apoptosis, cell cycle arrest and biased differentiation toward the goblet cell lineage. Similar observations were made using the rRNA transcription inhibitor CX-5461 on intestinal organoids culture. Importantly, we found that p53 activation was responsible for most of the cellular responses observed, including differentiation toward the goblet cell lineage. Moreover, we identify the goblet cell-specific marker Muc2 as a direct transcriptional target of p53. Nle-deficient ISCs and progenitors disappearance persisted in the absence of p53, underlying the existence of p53-independent cellular responses following defective ribosome biogenesis. Our data indicate that NLE is a crucial factor for intestinal homeostasis and provide new insights into how perturbations of ribosome biogenesis impact on cell fate decisions within the intestinal epithelium.","author":[{"dropping-particle":"","family":"Stedman","given":"A.","non-dropping-particle":"","parse-names":false,"suffix":""},{"dropping-particle":"","family":"Beck-Cormier","given":"S.","non-dropping-particle":"","parse-names":false,"suffix":""},{"dropping-particle":"","family":"Bouteiller","given":"M.","non-dropping-particle":"Le","parse-names":false,"suffix":""},{"dropping-particle":"","family":"Raveux","given":"A.","non-dropping-particle":"","parse-names":false,"suffix":""},{"dropping-particle":"","family":"Vandormael-Pournin","given":"S.","non-dropping-particle":"","parse-names":false,"suffix":""},{"dropping-particle":"","family":"Coqueran","given":"S.","non-dropping-particle":"","parse-names":false,"suffix":""},{"dropping-particle":"","family":"Lejour","given":"V.","non-dropping-particle":"","parse-names":false,"suffix":""},{"dropping-particle":"","family":"Jarzebowski","given":"L.","non-dropping-particle":"","parse-names":false,"suffix":""},{"dropping-particle":"","family":"Toledo","given":"F.","non-dropping-particle":"","parse-names":false,"suffix":""},{"dropping-particle":"","family":"Robine","given":"S.","non-dropping-particle":"","parse-names":false,"suffix":""},{"dropping-particle":"","family":"Cohen-Tannoudji","given":"M.","non-dropping-particle":"","parse-names":false,"suffix":""}],"container-title":"Cell Death and Differentiation","id":"ITEM-2","issue":"11","issued":{"date-parts":[["2015","11","1"]]},"page":"1865-1876","publisher":"Nature Publishing Group","title":"Ribosome biogenesis dysfunction leads to p53-mediated apoptosis and goblet cell differentiation of mouse intestinal stem/progenitor cells","type":"article-journal","volume":"22"},"uris":["http://www.mendeley.com/documents/?uuid=7d5221f3-214f-3d09-ae50-e63e93ebe28d"]}],"mendeley":{"formattedCitation":"&lt;sup&gt;48,49&lt;/sup&gt;","plainTextFormattedCitation":"48,49","previouslyFormattedCitation":"&lt;sup&gt;48,49&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48,49</w:t>
            </w:r>
            <w:r w:rsidRPr="007D001E">
              <w:rPr>
                <w:rFonts w:ascii="Calibri" w:eastAsia="Times New Roman" w:hAnsi="Calibri" w:cs="Calibri"/>
                <w:color w:val="000000"/>
                <w:lang w:val="en-GB" w:eastAsia="nl-NL"/>
              </w:rPr>
              <w:fldChar w:fldCharType="end"/>
            </w:r>
          </w:p>
        </w:tc>
      </w:tr>
      <w:tr w:rsidR="00822D13" w:rsidRPr="007D001E" w14:paraId="025AC058" w14:textId="77777777" w:rsidTr="00890C83">
        <w:trPr>
          <w:trHeight w:val="300"/>
          <w:jc w:val="center"/>
        </w:trPr>
        <w:tc>
          <w:tcPr>
            <w:tcW w:w="4405" w:type="dxa"/>
            <w:shd w:val="clear" w:color="auto" w:fill="auto"/>
            <w:noWrap/>
            <w:vAlign w:val="bottom"/>
            <w:hideMark/>
          </w:tcPr>
          <w:p w14:paraId="40680825"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RNA transport</w:t>
            </w:r>
          </w:p>
        </w:tc>
        <w:tc>
          <w:tcPr>
            <w:tcW w:w="3969" w:type="dxa"/>
            <w:shd w:val="clear" w:color="auto" w:fill="auto"/>
            <w:noWrap/>
          </w:tcPr>
          <w:p w14:paraId="720D469C" w14:textId="698AFAF4"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{"citationItems":[{"id":"ITEM-1","itemData":{"DOI":"10.1016/j.biolcel.2004.04.014","ISSN":"02484900","PMID":"15519698","abstract":"A defining feature of eukaryotic cells is the presence of a nuclear envelope separating transcription and DNA replication in the nucleus from the site of protein synthesis in the cytoplasm. The regulation of gene expression relies in part on the controlled exchange of molecules between these two compartments. Factors implicated in transcription regulation and DNA replication have to be imported into the nucleus, whereas RNAs produced in the nucleus have to be exported, either to fulfill their function in protein synthesis or to mature into functional particles. This review summarizes studies performed over the last 15 years that led to the identification of cellular factors mediating nuclear export of the different classes of RNAs, including tRNAs, UsnRNAs, micro-RNAs, ribosomal RNAs and mRNAs. We also discuss recent evidence indicating that the nuclear transport step is intimately linked to RNA synthesis, processing and mRNP assembly, thus ensuring that only properly matured ribonucleoprotein (RNP) complexes reach the cytoplasm. © 2004 Elsevier SAS. All rights reserved.","author":[{"dropping-particle":"","family":"Rodriguez","given":"Manuel S.","non-dropping-particle":"","parse-names":false,"suffix":""},{"dropping-particle":"","family":"Dargemont","given":"Catherine","non-dropping-particle":"","parse-names":false,"suffix":""},{"dropping-particle":"","family":"Stutz","given":"Françoise","non-dropping-particle":"","parse-names":false,"suffix":""}],"container-title":"Biology of the Cell","id":"ITEM-1","issue":"8","issued":{"date-parts":[["2004","10","1"]]},"page":"639-655","publisher":"Elsevier","title":"Nuclear export of RNA","type":"article","volume":"96"},"uris":["http://www.mendeley.com/documents/?uuid=a28fd803-9665-371c-a34d-b8d62093bfbf"]}],"mendeley":{"formattedCitation":"&lt;sup&gt;50&lt;/sup&gt;","plainTextFormattedCitation":"50","previouslyFormattedCitation":"&lt;sup&gt;50&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50</w:t>
            </w:r>
            <w:r w:rsidRPr="007D001E">
              <w:rPr>
                <w:rFonts w:ascii="Calibri" w:eastAsia="Times New Roman" w:hAnsi="Calibri" w:cs="Calibri"/>
                <w:color w:val="000000"/>
                <w:lang w:val="en-GB" w:eastAsia="nl-NL"/>
              </w:rPr>
              <w:fldChar w:fldCharType="end"/>
            </w:r>
          </w:p>
        </w:tc>
      </w:tr>
      <w:tr w:rsidR="00822D13" w:rsidRPr="007D001E" w14:paraId="44A3FF9B" w14:textId="77777777" w:rsidTr="00890C83">
        <w:trPr>
          <w:trHeight w:val="300"/>
          <w:jc w:val="center"/>
        </w:trPr>
        <w:tc>
          <w:tcPr>
            <w:tcW w:w="4405" w:type="dxa"/>
            <w:shd w:val="clear" w:color="auto" w:fill="auto"/>
            <w:noWrap/>
            <w:vAlign w:val="bottom"/>
            <w:hideMark/>
          </w:tcPr>
          <w:p w14:paraId="6E919235"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Starch and sucrose metabolism</w:t>
            </w:r>
          </w:p>
        </w:tc>
        <w:tc>
          <w:tcPr>
            <w:tcW w:w="3969" w:type="dxa"/>
            <w:shd w:val="clear" w:color="auto" w:fill="auto"/>
            <w:noWrap/>
          </w:tcPr>
          <w:p w14:paraId="61A2FBD5" w14:textId="36CC5EBE"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 xml:space="preserve">ADDIN CSL_CITATION {"citationItems":[{"id":"ITEM-1","itemData":{"DOI":"10.1111/1750-3841.13809","ISSN":"17503841","PMID":"28753728","abstract":"Twenty-five years ago, it was found that a significant fraction of the starch present in foods is not digested in the small intestine and continues to the large intestine, where it is fermented by the microbiota; this fraction was named resistant starch (RS). It was also reported that there is a fraction of starch that is slowly digested, sustaining a release of glucose in the small intestine. Later, health benefits were found to be associated with the consumption of this fraction, called slowly digestible starch (SDS). The authors declare both fractions to be “nutraceutical starch.” An overview of the structure of both fractions (RS and SDS), as well as their nutraceutical characteristics, is presented with the objective of suggesting methods and processes that will increase both fractions in starchy foods and prevent diseases that are associated with the consumption of glycemic carbohydrates.","author":[{"dropping-particle":"","family":"Magallanes-Cruz","given":"Perla A.","non-dropping-particle":"","parse-names":false,"suffix":""},{"dropping-particle":"","family":"Flores-Silva","given":"Pamela C.","non-dropping-particle":"","parse-names":false,"suffix":""},{"dropping-particle":"","family":"Bello-Perez","given":"Luis A.","non-dropping-particle":"","parse-names":false,"suffix":""}],"container-title":"Journal of Food Science","id":"ITEM-1","issue":"9","issued":{"date-parts":[["2017","9","1"]]},"page":"2016-2023","publisher":"Blackwell Publishing Inc.","title":"Starch Structure Influences Its Digestibility: A Review","type":"article","volume":"82"},"uris":["http://www.mendeley.com/documents/?uuid=9aad3a43-6869-3e19-bb5a-474cfb9c449f"]},{"id":"ITEM-2","itemData":{"DOI":"10.1016/j.cmet.2017.12.016","ISSN":"19327420","PMID":"29414685","abstract":"Excessive consumption of sweets is a risk factor for metabolic syndrome. A major chemical feature of sweets is fructose. Despite strong ties between fructose and disease, the metabolic fate of fructose in mammals remains incompletely understood. Here we use isotope tracing and mass spectrometry to track the fate of glucose and fructose carbons in vivo, finding that dietary fructose is cleared by the small intestine. Clearance requires the fructose-phosphorylating enzyme ketohexokinase. Low doses of fructose are </w:instrText>
            </w:r>
            <w:r w:rsidR="004802B1">
              <w:rPr>
                <w:rFonts w:ascii="Cambria Math" w:eastAsia="Times New Roman" w:hAnsi="Cambria Math" w:cs="Cambria Math"/>
                <w:color w:val="000000"/>
                <w:lang w:val="en-GB" w:eastAsia="nl-NL"/>
              </w:rPr>
              <w:instrText>∼</w:instrText>
            </w:r>
            <w:r w:rsidR="004802B1">
              <w:rPr>
                <w:rFonts w:ascii="Calibri" w:eastAsia="Times New Roman" w:hAnsi="Calibri" w:cs="Calibri"/>
                <w:color w:val="000000"/>
                <w:lang w:val="en-GB" w:eastAsia="nl-NL"/>
              </w:rPr>
              <w:instrText>90% cleared by the intestine, with only trace fructose but extensive fructose-derived glucose, lactate, and glycerate found in the portal blood. High doses of fructose (≥1 g/kg) overwhelm intestinal fructose absorption and clearance, resulting in fructose reaching both the liver and colonic microbiota. Intestinal fructose clearance is augmented both by prior exposure to fructose and by feeding. We propose that the small intestine shields the liver from otherwise toxic fructose exposure. While it is commonly believed that the liver is the main site of fructose metabolism, Jang et al. show that it is actually the small intestine that clears most dietary fructose, and this is enhanced by feeding. High fructose doses spill over to the liver and to the colonic microbiota.","author":[{"dropping-particle":"","family":"Jang","given":"Cholsoon","non-dropping-particle":"","parse-names":false,"suffix":""},{"dropping-particle":"","family":"Hui","given":"Sheng","non-dropping-particle":"","parse-names":false,"suffix":""},{"dropping-particle":"","family":"Lu","given":"Wenyun","non-dropping-particle":"","parse-names":false,"suffix":""},{"dropping-particle":"","family":"Cowan","given":"Alexis J.","non-dropping-particle":"","parse-names":false,"suffix":""},{"dropping-particle":"","family":"Morscher","given":"Raphael J.","non-dropping-particle":"","parse-names":false,"suffix":""},{"dropping-particle":"","family":"Lee","given":"Gina","non-dropping-particle":"","parse-names":false,"suffix":""},{"dropping-particle":"","family":"Liu","given":"Wei","non-dropping-particle":"","parse-names":false,"suffix":""},{"dropping-particle":"","family":"Tesz","given":"Gregory J.","non-dropping-particle":"","parse-names":false,"suffix":""},{"dropping-particle":"","family":"Birnbaum","given":"Morris J.","non-dropping-particle":"","parse-names":false,"suffix":""},{"dropping-particle":"","family":"Rabinowitz","given":"Joshua D.","non-dropping-particle":"","parse-names":false,"suffix":""}],"container-title":"Cell Metabolism","id":"ITEM-2","issue":"2","issued":{"date-parts":[["2018","2","6"]]},"page":"351-361.e3","publisher":"Cell Press","title":"The Small Intestine Converts Dietary Fructose into Glucose and Organic Acids","type":"article-journal","volume":"27"},"uris":["http://www.mendeley.com/documents/?uuid=c9acc5ef-3b7e-33d2-b51d-29b8f61eb83b"]}],"mendeley":{"formattedCitation":"&lt;sup&gt;51,52&lt;/sup&gt;","plainTextFormattedCitation":"51,52","previouslyFormattedCitation":"&lt;sup&gt;51,52&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51,52</w:t>
            </w:r>
            <w:r w:rsidRPr="007D001E">
              <w:rPr>
                <w:rFonts w:ascii="Calibri" w:eastAsia="Times New Roman" w:hAnsi="Calibri" w:cs="Calibri"/>
                <w:color w:val="000000"/>
                <w:lang w:val="en-GB" w:eastAsia="nl-NL"/>
              </w:rPr>
              <w:fldChar w:fldCharType="end"/>
            </w:r>
          </w:p>
        </w:tc>
      </w:tr>
      <w:tr w:rsidR="00822D13" w:rsidRPr="007D001E" w14:paraId="23A45F84" w14:textId="77777777" w:rsidTr="00890C83">
        <w:trPr>
          <w:trHeight w:val="300"/>
          <w:jc w:val="center"/>
        </w:trPr>
        <w:tc>
          <w:tcPr>
            <w:tcW w:w="4405" w:type="dxa"/>
            <w:shd w:val="clear" w:color="auto" w:fill="auto"/>
            <w:noWrap/>
            <w:vAlign w:val="bottom"/>
            <w:hideMark/>
          </w:tcPr>
          <w:p w14:paraId="6291C65B"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MRNA surveillance pathway</w:t>
            </w:r>
          </w:p>
        </w:tc>
        <w:tc>
          <w:tcPr>
            <w:tcW w:w="3969" w:type="dxa"/>
            <w:shd w:val="clear" w:color="auto" w:fill="auto"/>
            <w:noWrap/>
          </w:tcPr>
          <w:p w14:paraId="0D73843A" w14:textId="2D76D9A2"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fldChar w:fldCharType="begin" w:fldLock="1"/>
            </w:r>
            <w:r w:rsidR="004802B1">
              <w:rPr>
                <w:rFonts w:ascii="Calibri" w:eastAsia="Times New Roman" w:hAnsi="Calibri" w:cs="Calibri"/>
                <w:color w:val="000000"/>
                <w:lang w:val="en-GB" w:eastAsia="nl-NL"/>
              </w:rPr>
              <w:instrText>ADDIN CSL_CITATION {"citationItems":[{"id":"ITEM-1","itemData":{"DOI":"10.1038/nrm1942","ISSN":"14710072","PMID":"16723977","abstract":"Gene expression is highly accurate and rarely generates defective proteins. Several mechanisms ensure this fidelity, including specialized surveillance pathways that rid the cell of mRNAs that are incompletely processed or that lack complete open reading frames. One such mechanism, nonsense-mediated mRNA decay, is triggered when ribosomes encounter a premature translation-termination - or nonsense - codon. New evidence indicates that the specialized factors that are recruited for this process not only promote rapid mRNA degradation, but are also required to resolvea poorly dissociable termination complex.","author":[{"dropping-particle":"","family":"Amrani","given":"Nadia","non-dropping-particle":"","parse-names":false,"suffix":""},{"dropping-particle":"","family":"Sachs","given":"Matthew S.","non-dropping-particle":"","parse-names":false,"suffix":""},{"dropping-particle":"","family":"Jacobson","given":"Allan","non-dropping-particle":"","parse-names":false,"suffix":""}],"container-title":"Nature Reviews Molecular Cell Biology","id":"ITEM-1","issue":"6","issued":{"date-parts":[["2006","6"]]},"page":"415-425","publisher":"Nature Publishing Group","title":"Early nonsense: mRNA decay solves a translational problem","type":"article","volume":"7"},"uris":["http://www.mendeley.com/documents/?uuid=ab8de57f-87e1-35fe-93c8-08639a504aba"]},{"id":"ITEM-2","itemData":{"DOI":"10.1038/nsmb0406-299","ISSN":"15459993","PMID":"16715045","abstract":"A recent study describes a novel mRNA-surveillance pathway called 'no-go decay' that triggers the endonucleolytic cleavage of yeast mRNAs with translation-elongation stalls. This adds to the repertoire of mRNA-decay processes in which abnormal translation may activate mRNA degradation through proteins recruited to the ribosomal A site. © 2006 Nature Publishing Group.","author":[{"dropping-particle":"","family":"Clement","given":"Sandra L.","non-dropping-particle":"","parse-names":false,"suffix":""},{"dropping-particle":"","family":"Lykke-Andersen","given":"Jens","non-dropping-particle":"","parse-names":false,"suffix":""}],"container-title":"Nature Structural and Molecular Biology","id":"ITEM-2","issue":"4","issued":{"date-parts":[["2006","4"]]},"page":"299-301","publisher":"Nature Publishing Group","title":"No mercy for messages that mess with the ribosome","type":"article","volume":"13"},"uris":["http://www.mendeley.com/documents/?uuid=32e1736b-999f-3228-a50d-c6dedbf5f54f"]}],"mendeley":{"formattedCitation":"&lt;sup&gt;53,54&lt;/sup&gt;","plainTextFormattedCitation":"53,54","previouslyFormattedCitation":"&lt;sup&gt;53,54&lt;/sup&gt;"},"properties":{"noteIndex":0},"schema":"https://github.com/citation-style-language/schema/raw/master/csl-citation.json"}</w:instrText>
            </w:r>
            <w:r w:rsidRPr="007D001E">
              <w:rPr>
                <w:rFonts w:ascii="Calibri" w:eastAsia="Times New Roman" w:hAnsi="Calibri" w:cs="Calibri"/>
                <w:color w:val="000000"/>
                <w:lang w:val="en-GB" w:eastAsia="nl-NL"/>
              </w:rPr>
              <w:fldChar w:fldCharType="separate"/>
            </w:r>
            <w:r w:rsidR="004802B1" w:rsidRPr="004802B1">
              <w:rPr>
                <w:rFonts w:ascii="Calibri" w:eastAsia="Times New Roman" w:hAnsi="Calibri" w:cs="Calibri"/>
                <w:noProof/>
                <w:color w:val="000000"/>
                <w:vertAlign w:val="superscript"/>
                <w:lang w:val="en-GB" w:eastAsia="nl-NL"/>
              </w:rPr>
              <w:t>53,54</w:t>
            </w:r>
            <w:r w:rsidRPr="007D001E">
              <w:rPr>
                <w:rFonts w:ascii="Calibri" w:eastAsia="Times New Roman" w:hAnsi="Calibri" w:cs="Calibri"/>
                <w:color w:val="000000"/>
                <w:lang w:val="en-GB" w:eastAsia="nl-NL"/>
              </w:rPr>
              <w:fldChar w:fldCharType="end"/>
            </w:r>
          </w:p>
        </w:tc>
      </w:tr>
    </w:tbl>
    <w:p w14:paraId="73F11880" w14:textId="77777777" w:rsidR="00822D13" w:rsidRPr="007D001E" w:rsidRDefault="00822D13" w:rsidP="00822D13">
      <w:pPr>
        <w:spacing w:after="0" w:line="300" w:lineRule="auto"/>
        <w:jc w:val="both"/>
        <w:rPr>
          <w:lang w:val="en-GB"/>
        </w:rPr>
      </w:pPr>
    </w:p>
    <w:p w14:paraId="0345E6A2" w14:textId="77777777" w:rsidR="00822D13" w:rsidRDefault="00822D13" w:rsidP="00822D13">
      <w:pPr>
        <w:rPr>
          <w:lang w:val="en-GB"/>
        </w:rPr>
      </w:pPr>
      <w:r>
        <w:rPr>
          <w:lang w:val="en-GB"/>
        </w:rPr>
        <w:br w:type="page"/>
      </w:r>
    </w:p>
    <w:p w14:paraId="2BAD7958" w14:textId="77777777" w:rsidR="00822D13" w:rsidRPr="007D001E" w:rsidRDefault="00822D13" w:rsidP="00822D13">
      <w:pPr>
        <w:spacing w:after="0" w:line="300" w:lineRule="auto"/>
        <w:jc w:val="both"/>
        <w:rPr>
          <w:lang w:val="en-GB"/>
        </w:rPr>
      </w:pPr>
      <w:r>
        <w:rPr>
          <w:lang w:val="en-GB"/>
        </w:rPr>
        <w:lastRenderedPageBreak/>
        <w:t>Table S3</w:t>
      </w:r>
      <w:r w:rsidRPr="007D001E" w:rsidDel="007D1A78">
        <w:rPr>
          <w:lang w:val="en-GB"/>
        </w:rPr>
        <w:t xml:space="preserve"> </w:t>
      </w:r>
      <w:r>
        <w:rPr>
          <w:lang w:val="en-GB"/>
        </w:rPr>
        <w:t>p</w:t>
      </w:r>
      <w:r w:rsidRPr="007D001E">
        <w:rPr>
          <w:lang w:val="en-GB"/>
        </w:rPr>
        <w:t>rop</w:t>
      </w:r>
      <w:r>
        <w:rPr>
          <w:lang w:val="en-GB"/>
        </w:rPr>
        <w:t>ionate</w:t>
      </w:r>
      <w:r w:rsidRPr="007D001E">
        <w:rPr>
          <w:lang w:val="en-GB"/>
        </w:rPr>
        <w:t xml:space="preserve"> 10 mM references</w:t>
      </w:r>
      <w:r>
        <w:rPr>
          <w:lang w:val="en-GB"/>
        </w:rPr>
        <w:t xml:space="preserve"> indicating their role or relationship to the intestine</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0"/>
        <w:gridCol w:w="4252"/>
      </w:tblGrid>
      <w:tr w:rsidR="00822D13" w:rsidRPr="007D001E" w14:paraId="002254FD" w14:textId="77777777" w:rsidTr="00890C83">
        <w:trPr>
          <w:trHeight w:val="300"/>
          <w:jc w:val="center"/>
        </w:trPr>
        <w:tc>
          <w:tcPr>
            <w:tcW w:w="4390" w:type="dxa"/>
            <w:shd w:val="clear" w:color="auto" w:fill="auto"/>
            <w:noWrap/>
            <w:vAlign w:val="bottom"/>
            <w:hideMark/>
          </w:tcPr>
          <w:p w14:paraId="3914EA0E"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KEGG pathway name</w:t>
            </w:r>
          </w:p>
        </w:tc>
        <w:tc>
          <w:tcPr>
            <w:tcW w:w="4252" w:type="dxa"/>
            <w:shd w:val="clear" w:color="auto" w:fill="auto"/>
            <w:noWrap/>
            <w:vAlign w:val="bottom"/>
          </w:tcPr>
          <w:p w14:paraId="7263F7B2"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References</w:t>
            </w:r>
          </w:p>
        </w:tc>
      </w:tr>
      <w:tr w:rsidR="00822D13" w:rsidRPr="007D001E" w14:paraId="1EDBA39B" w14:textId="77777777" w:rsidTr="00890C83">
        <w:trPr>
          <w:trHeight w:val="300"/>
          <w:jc w:val="center"/>
        </w:trPr>
        <w:tc>
          <w:tcPr>
            <w:tcW w:w="8642" w:type="dxa"/>
            <w:gridSpan w:val="2"/>
            <w:shd w:val="clear" w:color="auto" w:fill="auto"/>
            <w:noWrap/>
            <w:vAlign w:val="bottom"/>
            <w:hideMark/>
          </w:tcPr>
          <w:p w14:paraId="402321FC"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Upregulated pathways</w:t>
            </w:r>
          </w:p>
        </w:tc>
      </w:tr>
      <w:tr w:rsidR="00822D13" w:rsidRPr="007D001E" w14:paraId="2F278B7C" w14:textId="77777777" w:rsidTr="00890C83">
        <w:trPr>
          <w:trHeight w:val="300"/>
          <w:jc w:val="center"/>
        </w:trPr>
        <w:tc>
          <w:tcPr>
            <w:tcW w:w="4390" w:type="dxa"/>
            <w:shd w:val="clear" w:color="auto" w:fill="auto"/>
            <w:noWrap/>
            <w:vAlign w:val="bottom"/>
          </w:tcPr>
          <w:p w14:paraId="6B20381D"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Circadian entrainment</w:t>
            </w:r>
          </w:p>
        </w:tc>
        <w:tc>
          <w:tcPr>
            <w:tcW w:w="4252" w:type="dxa"/>
            <w:shd w:val="clear" w:color="auto" w:fill="auto"/>
            <w:noWrap/>
          </w:tcPr>
          <w:p w14:paraId="4E15A353" w14:textId="2C4E8090"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{"citationItems":[{"id":"ITEM-1","itemData":{"ISSN":"08675910","PMID":"21673361","abstract":"Circadian and seasonal rhythms are a fundamental feature of all living organisms and their organelles. Biological rhythms are responsible for daily food intake; the period of hunger and satiety is controlled by the central pacemaker, which resides in the suprachiasmatic nucleus (SCN) of the hypothalamus, and communicates with tissues via bidirectional neuronal and humoral pathways. The molecular basis for circadian timing in the gastrointestinal tract (GIT) involves interlocking transcriptional/translational feedback loops which culminate in the rhythmic expression and activity of a set of clock genes and related hormones. Interestingly, it has been found that clocks in the GIT are responsible for the periodic activity (PA) of its various segments and transit along the GIT; they are localized in special interstitial cells, with unstable membrane potentials located between the longitudinal and circular muscle layers. The rhythm of slow waves is controlled in various segments of the GIT: in the stomach (about 3 cycles per min), in the duodenum (12 cycle per min), in the jejunum and ileum (from 7 to 10 cycles per min), and in the colon (12 cycles per min). The migrating motor complex (MMC) starts in the stomach and moves along the gut causing peristaltic contractions when the electrical activity spikes are superimposed on the slow waves. GIT hormones, such as motilin and ghrelin, are involved in the generation of MMCs, while others (gastrin, ghrelin, cholecystokinin, serotonin) are involved in the generation of spikes upon the slow waves, resulting in peristaltic or segmental contractions in the small (duodenum, jejunum ileum) and large bowel (colon). Additionally, melatonin, produced by neuro-endocrine cells of the GIT mucosa, plays an important role in the internal biological clock, related to food intake (hunger and satiety) and the myoelectric rhythm (produced primarily by the pineal gland during the dark period of the light-dark cycle). This appears to be an endocrine encoding of the environmental light-dark cycle, conveying photic information which is used by organisms for both circadian and seasonal organization. Motor and secretory activity, as well as the rhythm of cell proliferation in the GIT and liver, are subject to many circadian rhythms, mediated by autonomic cells and some enterohormones (gastrin, ghrelin and somatostatin). Disruption of circadian physiology, due to sleep disturbance or shift work, may result in various gastrointestinal dis…","author":[{"dropping-particle":"","family":"Konturek","given":"P. C.","non-dropping-particle":"","parse-names":false,"suffix":""},{"dropping-particle":"","family":"Brzozowski","given":"T.","non-dropping-particle":"","parse-names":false,"suffix":""},{"dropping-particle":"","family":"Konturek","given":"S. J.","non-dropping-particle":"","parse-names":false,"suffix":""}],"container-title":"Journal of Physiology and Pharmacology","id":"ITEM-1","issued":{"date-parts":[["2011"]]},"title":"Gut clock: Implication of circadian rhythms in the gastointestinal tract","type":"article"},"uris":["http://www.mendeley.com/documents/?uuid=a1cb2986-ac34-4774-815e-74ad9c298014"]},{"id":"ITEM-2","itemData":{"DOI":"10.3390/microorganisms7020041","ISSN":"20762607","abstract":"This article reviews the current evidence associating gut microbiota with factors that impact host circadian-metabolic axis, such as light/dark cycles, sleep/wake cycles, diet, and eating patterns. We examine how gut bacteria possess their own daily rhythmicity in terms of composition, their localization to intestinal niches, and functions. We review evidence that gut bacteria modulate host rhythms via microbial metabolites such as butyrate, polyphenolic derivatives, vitamins, and amines. Lifestyle stressors such as altered sleep and eating patterns that may disturb the host circadian system also influence the gut microbiome. The consequent disruptions to microbiota-mediated functions such as decreased conjugation of bile acids or increased production of hydrogen sulfide and the resultant decreased production of butyrate, in turn affect substrate oxidation and energy regulation in the host. Thus, disturbances in microbiome rhythms may at least partially contribute to an increased risk of obesity and metabolic syndrome associated with insufficient sleep and circadian misalignment. Good sleep and a healthy diet appear to be essential for maintaining gut microbial balance. Manipulating daily rhythms of gut microbial abundance and activity may therefore hold promise for a chrononutrition-based approach to consolidate host circadian rhythms and metabolic homeorhesis.","author":[{"dropping-particle":"","family":"Parkar","given":"Shanthi G.","non-dropping-particle":"","parse-names":false,"suffix":""},{"dropping-particle":"","family":"Kalsbeek","given":"Andries","non-dropping-particle":"","parse-names":false,"suffix":""},{"dropping-particle":"","family":"Cheeseman","given":"James F.","non-dropping-particle":"","parse-names":false,"suffix":""}],"container-title":"Microorganisms","id":"ITEM-2","issue":"2","issued":{"date-parts":[["2019","2","1"]]},"page":"41","publisher":"MDPI AG","title":"Potential role for the gut microbiota in modulating host circadian rhythms and metabolic health","type":"article","volume":"7"},"uris":["http://www.mendeley.com/documents/?uuid=9a82ad40-0dac-3e93-825f-ddfda4429497"]}],"mendeley":{"formattedCitation":"&lt;sup&gt;38,39&lt;/sup&gt;","plainTextFormattedCitation":"38,39","previouslyFormattedCitation":"&lt;sup&gt;38,39&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38,39</w:t>
            </w:r>
            <w:r w:rsidRPr="007D001E">
              <w:rPr>
                <w:rFonts w:ascii="Calibri" w:eastAsia="Times New Roman" w:hAnsi="Calibri" w:cs="Calibri"/>
                <w:lang w:val="en-GB" w:eastAsia="nl-NL"/>
              </w:rPr>
              <w:fldChar w:fldCharType="end"/>
            </w:r>
          </w:p>
        </w:tc>
      </w:tr>
      <w:tr w:rsidR="00822D13" w:rsidRPr="007D001E" w14:paraId="25CF0CF3" w14:textId="77777777" w:rsidTr="00890C83">
        <w:trPr>
          <w:trHeight w:val="300"/>
          <w:jc w:val="center"/>
        </w:trPr>
        <w:tc>
          <w:tcPr>
            <w:tcW w:w="4390" w:type="dxa"/>
            <w:shd w:val="clear" w:color="auto" w:fill="auto"/>
            <w:noWrap/>
            <w:vAlign w:val="bottom"/>
          </w:tcPr>
          <w:p w14:paraId="1B1ECFD8"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Thiamine metabolism</w:t>
            </w:r>
          </w:p>
        </w:tc>
        <w:tc>
          <w:tcPr>
            <w:tcW w:w="4252" w:type="dxa"/>
            <w:shd w:val="clear" w:color="auto" w:fill="auto"/>
            <w:noWrap/>
          </w:tcPr>
          <w:p w14:paraId="08184300" w14:textId="3E31353A"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{"citationItems":[{"id":"ITEM-1","itemData":{"DOI":"10.1007/S10545-014-9712-9/FIGURES/5","ISSN":"15732665","PMID":"24789339","abstract":"Thiamine, in the form of thiamine pyrophosphate, is a cofactor for a number of enzymes which play important roles in energy metabolism. Although dietary thiamine deficiency states have long been recognised, it is only relatively recently that inherited defects in thiamine uptake, activation and the attachment of the active cofactor to target enzymes have been described, and the underlying genetic defects identified. Thiamine is transported into cells by two carriers, THTR1 and THTR2, and deficiency of these results in thiamine-responsive megaloblastic anaemia and biotin-responsive basal ganglia disease respectively. Defective synthesis of thiamine pyrophosphate has been found in a small number of patients with episodic ataxia, delayed development and dystonia, while impaired transport of thiamine pyrophosphate into the mitochondrion is associated with Amish lethal microcephaly in most cases. In addition to defects in thiamine uptake and metabolism, patients with pyruvate dehydrogenase deficiency and maple syrup urine disease have been described who have a significant clinical and/or biochemical response to thiamine supplementation. In these patients, an intrinsic structural defect in the target enzymes reduces binding of the cofactor and this can be overcome at high concentrations. In most cases, the clinical and biochemical abnormalities in these conditions are relatively non-specific, and the range of recognised presentations is increasing rapidly at present as new patients are identified, often by genome sequencing. These conditions highlight the value of a trial of thiamine supplementation in patients whose clinical presentation falls within the spectrum of documented cases. © 2014 SSIEM and Springer Science+Business Media.","author":[{"dropping-particle":"","family":"Brown","given":"Garry","non-dropping-particle":"","parse-names":false,"suffix":""}],"container-title":"Journal of Inherited Metabolic Disease","id":"ITEM-1","issue":"4","issued":{"date-parts":[["2014","5","1"]]},"page":"577-585","publisher":"Kluwer Academic Publishers","title":"Defects of thiamine transport and metabolism","type":"article-journal","volume":"37"},"uris":["http://www.mendeley.com/documents/?uuid=a46b0272-2820-3bd6-b538-e341d708c237"]},{"id":"ITEM-2","itemData":{"DOI":"10.1093/ECAM/NEK009","ISSN":"1741427X","PMID":"16550223","abstract":"Thiamin(e), also known as vitamin B1, is now known to play a fundamental role in energy metabolism. Its discovery followed from the original early research on the 'anti-beriberi factor' found in rice polishings. After its synthesis in 1936, it led to many years of research to find its action in treating beriberi, a lethal scourge known for thousands of years, particularly in cultures dependent on rice as a staple. This paper refers to the previously described symptomatology of beriberi, emphasizing that it differs from that in pure, experimentally induced thiamine deficiency in human subjects. Emphasis is placed on some of the more unusual manifestations of thiamine deficiency and its potential role in modern nutrition. Its biochemistry and pathophysiology are discussed and some of the less common conditions associated with thiamine deficiency are reviewed. An understanding of the role of thiamine in modern nutrition is crucial in the rapidly advancing knowledge applicable to Complementary Alternative Medicine. References are given that provide insight into the use of this vitamin in clinical conditions that are not usually associated with nutritional deficiency. The role of allithiamine and its synthetic derivatives is discussed. Thiamine plays a vital role in metabolism of glucose. Thus, emphasis is placed on the fact that ingestion of excessive simple carbohydrates automatically increases the need for this vitamin. This is referred to as high calorie malnutrition. © The Author (2006). Published by Oxford University Press. All rights reserved.","author":[{"dropping-particle":"","family":"Lonsdale","given":"Derrick","non-dropping-particle":"","parse-names":false,"suffix":""}],"container-title":"Evidence-based Complementary and Alternative Medicine","id":"ITEM-2","issue":"1","issued":{"date-parts":[["2006","3"]]},"page":"49","publisher":"Hindawi Limited","title":"A Review of the Biochemistry, Metabolism and Clinical Benefits of Thiamin(e) and Its Derivatives","type":"article-journal","volume":"3"},"uris":["http://www.mendeley.com/documents/?uuid=06d50894-7722-3684-b332-669f758df894"]}],"mendeley":{"formattedCitation":"&lt;sup&gt;55,56&lt;/sup&gt;","plainTextFormattedCitation":"55,56","previouslyFormattedCitation":"&lt;sup&gt;55,56&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55,56</w:t>
            </w:r>
            <w:r w:rsidRPr="007D001E">
              <w:rPr>
                <w:rFonts w:ascii="Calibri" w:eastAsia="Times New Roman" w:hAnsi="Calibri" w:cs="Calibri"/>
                <w:lang w:val="en-GB" w:eastAsia="nl-NL"/>
              </w:rPr>
              <w:fldChar w:fldCharType="end"/>
            </w:r>
          </w:p>
        </w:tc>
      </w:tr>
      <w:tr w:rsidR="00822D13" w:rsidRPr="007D001E" w14:paraId="1ACC16AD" w14:textId="77777777" w:rsidTr="00890C83">
        <w:trPr>
          <w:trHeight w:val="300"/>
          <w:jc w:val="center"/>
        </w:trPr>
        <w:tc>
          <w:tcPr>
            <w:tcW w:w="4390" w:type="dxa"/>
            <w:shd w:val="clear" w:color="auto" w:fill="auto"/>
            <w:noWrap/>
            <w:vAlign w:val="bottom"/>
          </w:tcPr>
          <w:p w14:paraId="133097BA"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Mismatch repair</w:t>
            </w:r>
          </w:p>
        </w:tc>
        <w:tc>
          <w:tcPr>
            <w:tcW w:w="4252" w:type="dxa"/>
            <w:shd w:val="clear" w:color="auto" w:fill="auto"/>
            <w:noWrap/>
          </w:tcPr>
          <w:p w14:paraId="4A397F0E" w14:textId="5E13F88F"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{"citationItems":[{"id":"ITEM-1","itemData":{"DOI":"10.1038/nrm1907","ISSN":"14710072","PMID":"16612326","abstract":"By removing biosynthetic errors from newly synthesized DNA, mismatch repair (MMR) improves the fidelity of DNA replication by several orders of magnitude. Loss of MMR brings about a mutator phenotype, which causes a predisposition to cancer. But MMR status also affects meiotic and mitotic recombination, DNA-damage signalling, apoptosis and cell-type-specific processes such as class-switch recombination, somatic hypermutation and triplet-repeat expansion. This article reviews our current understanding of this multifaceted DNA-repair system in human cells.","author":[{"dropping-particle":"","family":"Jiricny","given":"Josef","non-dropping-particle":"","parse-names":false,"suffix":""}],"container-title":"Nature Reviews Molecular Cell Biology","id":"ITEM-1","issue":"5","issued":{"date-parts":[["2006","5","12"]]},"page":"335-346","publisher":"Nature Publishing Group","title":"The multifaceted mismatch-repair system","type":"article","volume":"7"},"uris":["http://www.mendeley.com/documents/?uuid=c657f4e8-47a3-30ae-9865-27f3175b2124"]},{"id":"ITEM-2","itemData":{"DOI":"10.1038/cr.2007.115","ISSN":"10010602","PMID":"18157157","abstract":"DNA mismatch repair (MMR) is a highly conserved biological pathway that plays a key role in maintaining genomic stability. The specificity of MMR is primarily for base-base mismatches and insertion/deletion mispairs generated during DNA replication and recombination. MMR also suppresses homeologous recombination and was recently shown to play a role in DNA damage signaling in eukaryotic cells. Escherichia coli MutS and MutL and their eukaryotic homologs, MutSα and MutLα, respectively, are key players in MMR-associated genome maintenance. Many other protein components that participate in various DNA metabolic pathways, such as PCNA and RPA, are also essential for MMR. Defects in MMR are associated with genome-wide instability, predisposition to certain types of cancer including hereditary non-polyposis colorectal cancer, resistance to certain chemotherapeutic agents, and abnormalities in meiosis and sterility in mammalian systems. © 2008 IBCB, SIBS, CAS. All rights reserved.","author":[{"dropping-particle":"","family":"Li","given":"Guo Min","non-dropping-particle":"","parse-names":false,"suffix":""}],"container-title":"Cell Research","id":"ITEM-2","issue":"1","issued":{"date-parts":[["2008","1","24"]]},"page":"85-98","publisher":"Nature Publishing Group","title":"Mechanisms and functions of DNA mismatch repair","type":"article","volume":"18"},"uris":["http://www.mendeley.com/documents/?uuid=5cf405e4-854c-361c-8137-fdbb0a51af37"]}],"mendeley":{"formattedCitation":"&lt;sup&gt;2,3&lt;/sup&gt;","plainTextFormattedCitation":"2,3","previouslyFormattedCitation":"&lt;sup&gt;2,3&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2,3</w:t>
            </w:r>
            <w:r w:rsidRPr="007D001E">
              <w:rPr>
                <w:rFonts w:ascii="Calibri" w:eastAsia="Times New Roman" w:hAnsi="Calibri" w:cs="Calibri"/>
                <w:lang w:val="en-GB" w:eastAsia="nl-NL"/>
              </w:rPr>
              <w:fldChar w:fldCharType="end"/>
            </w:r>
          </w:p>
        </w:tc>
      </w:tr>
      <w:tr w:rsidR="00822D13" w:rsidRPr="007D001E" w14:paraId="1C9CF342" w14:textId="77777777" w:rsidTr="00890C83">
        <w:trPr>
          <w:trHeight w:val="300"/>
          <w:jc w:val="center"/>
        </w:trPr>
        <w:tc>
          <w:tcPr>
            <w:tcW w:w="4390" w:type="dxa"/>
            <w:shd w:val="clear" w:color="auto" w:fill="auto"/>
            <w:noWrap/>
            <w:vAlign w:val="bottom"/>
          </w:tcPr>
          <w:p w14:paraId="228EB57A"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Tryptophan metabolism</w:t>
            </w:r>
          </w:p>
        </w:tc>
        <w:tc>
          <w:tcPr>
            <w:tcW w:w="4252" w:type="dxa"/>
            <w:shd w:val="clear" w:color="auto" w:fill="auto"/>
            <w:noWrap/>
          </w:tcPr>
          <w:p w14:paraId="57D4DFDD" w14:textId="14EEFCAF"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{"citationItems":[{"id":"ITEM-1","itemData":{"DOI":"10.3389/fcimb.2018.00013","ISSN":"22352988","PMID":"29468141","abstract":"The gut microbiota influences the health of the host, especially with regard to gut immune homeostasis and the intestinal immune response. In addition to serving as a nutrient enhancer, L-tryptophan (Trp) plays crucial roles in the balance between intestinal immune tolerance and gut microbiota maintenance. Recent discoveries have underscored that changes in the microbiota modulate the host immune system by modulating Trp metabolism. Moreover, Trp, endogenous Trp metabolites (kynurenines, serotonin, and melatonin), and bacterial Trp metabolites (indole, indolic acid, skatole, and tryptamine) have profound effects on gut microbial composition, microbial metabolism, the host's immune system, the host-microbiome interface, and host immune system-intestinal microbiota interactions. The aryl hydrocarbon receptor (AhR) mediates the regulation of intestinal immunity by Trp metabolites (as ligands of AhR), which is beneficial for immune homeostasis. Among Trp metabolites, AhR ligands consist of endogenous metabolites, including kynurenine, kynurenic acid, xanthurenic acid, and cinnabarinic acid, and bacterial metabolites, including indole, indole propionic acid, indole acetic acid, skatole, and tryptamine. Additional factors, such as aging, stress, probiotics, and diseases (spondyloarthritis, irritable bowel syndrome, inflammatory bowel disease, colorectal cancer), which are associated with variability in Trp metabolism, can influence Trp-microbiome-immune system interactions in the gut and also play roles in regulating gut immunity. This review clarifies how the gut microbiota regulates Trp metabolism and identifies the underlying molecular mechanisms of these interactions. Increased mechanistic insight into how the microbiota modulates the intestinal immune system through Trp metabolism may allow for the identification of innovative microbiota-based diagnostics, as well as appropriate nutritional supplementation of Trp to prevent or alleviate intestinal inflammation. Moreover, this review provides new insight regarding the influence of the gut microbiota on Trp metabolism. Additional comprehensive analyses of targeted Trp metabolites (including endogenous and bacterial metabolites) are essential for experimental preciseness, as the influence of the gut microbiota cannot be neglected, and may explain contradictory results in the literature.","author":[{"dropping-particle":"","family":"Gao","given":"Jing","non-dropping-particle":"","parse-names":false,"suffix":""},{"dropping-particle":"","family":"Xu","given":"Kang","non-dropping-particle":"","parse-names":false,"suffix":""},{"dropping-particle":"","family":"Liu","given":"Hongnan","non-dropping-particle":"","parse-names":false,"suffix":""},{"dropping-particle":"","family":"Liu","given":"Gang","non-dropping-particle":"","parse-names":false,"suffix":""},{"dropping-particle":"","family":"Bai","given":"Miaomiao","non-dropping-particle":"","parse-names":false,"suffix":""},{"dropping-particle":"","family":"Peng","given":"Can","non-dropping-particle":"","parse-names":false,"suffix":""},{"dropping-particle":"","family":"Li","given":"Tiejun","non-dropping-particle":"","parse-names":false,"suffix":""},{"dropping-particle":"","family":"Yin","given":"Yulong","non-dropping-particle":"","parse-names":false,"suffix":""}],"container-title":"Frontiers in Cellular and Infection Microbiology","id":"ITEM-1","issue":"FEB","issued":{"date-parts":[["2018","2","6"]]},"page":"13","publisher":"Frontiers Media S.A.","title":"Impact of the gut microbiota on intestinal immunity mediated by tryptophan metabolism","type":"article","volume":"8"},"uris":["http://www.mendeley.com/documents/?uuid=20742aad-caae-3cf7-b63b-1224934ed6d4"]},{"id":"ITEM-2","itemData":{"DOI":"10.1111/j.1365-2982.2009.01370.x","ISSN":"13501925","PMID":"19650771","abstract":"Tryptophan is the precursor of a wide array of metabolites, which are involved in a variety of aspects of human nutrition and metabolism. Accumulating evidence suggests a role of tryptophan metabolites, especially serotonin (5-hydroxytryptamin) in intestinal (patho) physiology, although mechanisms of action are still poorly understood. Alterations of serotonin metabolism may give rise to gastrointestinal dysfunction. Recently, it has been postulated that other metabolites of tryptophan, mostly of the kynurenine pathway, also play a role in regulating gut function. This review analyses the current knowledge of the interrelationship between tryptophan metabolic pathways and summarizes the existing scientific evidence regarding the role of tryptophan metabolites in intestinal function and in the pathogenesis of gastrointestinal diseases. © 2009 Blackwell Publishing Ltd.","author":[{"dropping-particle":"","family":"Keszthelyi","given":"D.","non-dropping-particle":"","parse-names":false,"suffix":""},{"dropping-particle":"","family":"Troost","given":"F. J.","non-dropping-particle":"","parse-names":false,"suffix":""},{"dropping-particle":"","family":"Masclee","given":"A. A.M.","non-dropping-particle":"","parse-names":false,"suffix":""}],"container-title":"Neurogastroenterology and Motility","id":"ITEM-2","issue":"12","issued":{"date-parts":[["2009","12","1"]]},"page":"1239-1249","publisher":"John Wiley &amp; Sons, Ltd","title":"Understanding the role of tryptophan and serotonin metabolism in gastrointestinal function","type":"article","volume":"21"},"uris":["http://www.mendeley.com/documents/?uuid=62c7cb9e-7991-3b70-b97c-aee142a7bce8"]}],"mendeley":{"formattedCitation":"&lt;sup&gt;34,35&lt;/sup&gt;","plainTextFormattedCitation":"34,35","previouslyFormattedCitation":"&lt;sup&gt;34,35&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34,35</w:t>
            </w:r>
            <w:r w:rsidRPr="007D001E">
              <w:rPr>
                <w:rFonts w:ascii="Calibri" w:eastAsia="Times New Roman" w:hAnsi="Calibri" w:cs="Calibri"/>
                <w:lang w:val="en-GB" w:eastAsia="nl-NL"/>
              </w:rPr>
              <w:fldChar w:fldCharType="end"/>
            </w:r>
          </w:p>
        </w:tc>
      </w:tr>
      <w:tr w:rsidR="00822D13" w:rsidRPr="007D001E" w14:paraId="2A823DF0" w14:textId="77777777" w:rsidTr="00890C83">
        <w:trPr>
          <w:trHeight w:val="300"/>
          <w:jc w:val="center"/>
        </w:trPr>
        <w:tc>
          <w:tcPr>
            <w:tcW w:w="4390" w:type="dxa"/>
            <w:shd w:val="clear" w:color="auto" w:fill="auto"/>
            <w:noWrap/>
            <w:vAlign w:val="bottom"/>
          </w:tcPr>
          <w:p w14:paraId="4C2CF9E0"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Fat digestion and absorption</w:t>
            </w:r>
          </w:p>
        </w:tc>
        <w:tc>
          <w:tcPr>
            <w:tcW w:w="4252" w:type="dxa"/>
            <w:shd w:val="clear" w:color="auto" w:fill="auto"/>
            <w:noWrap/>
          </w:tcPr>
          <w:p w14:paraId="747AEA7A" w14:textId="4F953810"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{"citationItems":[{"id":"ITEM-1","itemData":{"DOI":"10.1152/advan.00094.2009","ISSN":"15221229","abstract":"Nutrient digestion and absorption is necessary for the survival of living organisms and has evolved into the complex and specific task of the gastrointestinal (GI) system. While most people simply assume that their GI tract will work properly to use nutrients, provide energy, and release wastes, few nonscientists know the details about how various nutrients are digested and how the breakdown products traverse the cells lining the small intestine to reach the blood stream and to be used by the other cells of the body. There have been several recent discoveries of new transporters that likely contribute to the absorption of oligopeptides and fatty acids. In addition, details are being clarified about how transporters work and in what forms nutrients can be absorbed. The enzymes that digest basic carbohydrates, proteins, and fats have been identified in various segments of the GI tract, and details are becoming clearer about what types of bonds they hydrolyze. Usually, detailed information about the digestion of basic nutrients is presented and learned in biochemistry courses and detailed information about absorption via transepithelial transport of the breakdown products of digestion is studied in physiology courses. The goal of this Staying Current article is to combine the details of the biochemistry of digestion with the updated information about the physiology of nutrient absorption into one source for teachers of physiology. Insights are included about some of the diseases and conditions that can bring about malabsorption of food in the GI tract and their consequences. © 2010 The American Physiological Society.","author":[{"dropping-particle":"","family":"Goodman","given":"Barbara E.","non-dropping-particle":"","parse-names":false,"suffix":""}],"container-title":"American Journal of Physiology - Advances in Physiology Education","id":"ITEM-1","issue":"2","issued":{"date-parts":[["2010"]]},"page":"44-53","publisher":"American Physiological Society","title":"Insights into digestion and absorption of major nutrients in humans","type":"article-journal","volume":"34"},"uris":["http://www.mendeley.com/documents/?uuid=1401ac50-e9bf-3413-8169-2abc733f292d"]}],"mendeley":{"formattedCitation":"&lt;sup&gt;33&lt;/sup&gt;","plainTextFormattedCitation":"33","previouslyFormattedCitation":"&lt;sup&gt;33&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33</w:t>
            </w:r>
            <w:r w:rsidRPr="007D001E">
              <w:rPr>
                <w:rFonts w:ascii="Calibri" w:eastAsia="Times New Roman" w:hAnsi="Calibri" w:cs="Calibri"/>
                <w:lang w:val="en-GB" w:eastAsia="nl-NL"/>
              </w:rPr>
              <w:fldChar w:fldCharType="end"/>
            </w:r>
          </w:p>
        </w:tc>
      </w:tr>
      <w:tr w:rsidR="00822D13" w:rsidRPr="007D001E" w14:paraId="6D95280A" w14:textId="77777777" w:rsidTr="00890C83">
        <w:trPr>
          <w:trHeight w:val="300"/>
          <w:jc w:val="center"/>
        </w:trPr>
        <w:tc>
          <w:tcPr>
            <w:tcW w:w="4390" w:type="dxa"/>
            <w:shd w:val="clear" w:color="auto" w:fill="auto"/>
            <w:noWrap/>
            <w:vAlign w:val="bottom"/>
          </w:tcPr>
          <w:p w14:paraId="618EDE27"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Glycine serine and threonine metabolism</w:t>
            </w:r>
          </w:p>
        </w:tc>
        <w:tc>
          <w:tcPr>
            <w:tcW w:w="4252" w:type="dxa"/>
            <w:shd w:val="clear" w:color="auto" w:fill="auto"/>
            <w:noWrap/>
          </w:tcPr>
          <w:p w14:paraId="40ED6053" w14:textId="10A50DDB"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{"citationItems":[{"id":"ITEM-1","itemData":{"DOI":"10.3390/nu11061356","ISSN":"20726643","PMID":"31208147","abstract":"Glycine is the proteinogenic amino-acid of lowest molecular weight, harboring a hydrogen atom as a side-chain. In addition to being a building-block for proteins, glycine is also required for multiple metabolic pathways, such as glutathione synthesis and regulation of one-carbon metabolism. Although generally viewed as a non-essential amino-acid, because it can be endogenously synthesized to a certain extent, glycine has also been suggested as a conditionally essential amino acid. In metabolic disorders associated with obesity, type 2 diabetes (T2DM), and non-alcoholic fatty liver disease (NAFLDs), lower circulating glycine levels have been consistently observed, and clinical studies suggest the existence of beneficial effects induced by glycine supplementation. The present review aims at synthesizing the recent advances in glycine metabolism, pinpointing its main metabolic pathways, identifying the causes leading to glycine deficiency—especially in obesity and associated metabolic disorders—and evaluating the potential benefits of increasing glycine availability to curb the progression of obesity and obesity-related metabolic disturbances. This study focuses on the importance of diet, gut microbiota, and liver metabolism in determining glycine availability in obesity and associated metabolic disorders.","author":[{"dropping-particle":"","family":"Alves","given":"Anaïs","non-dropping-particle":"","parse-names":false,"suffix":""},{"dropping-particle":"","family":"Bassot","given":"Arthur","non-dropping-particle":"","parse-names":false,"suffix":""},{"dropping-particle":"","family":"Bulteau","given":"Anne Laure","non-dropping-particle":"","parse-names":false,"suffix":""},{"dropping-particle":"","family":"Pirola","given":"Luciano","non-dropping-particle":"","parse-names":false,"suffix":""},{"dropping-particle":"","family":"Morio","given":"Béatrice","non-dropping-particle":"","parse-names":false,"suffix":""}],"container-title":"Nutrients","id":"ITEM-1","issue":"6","issued":{"date-parts":[["2019","6","1"]]},"page":"1356","publisher":"MDPI AG","title":"Glycine metabolism and its alterations in obesity and metabolic diseases","type":"article-journal","volume":"11"},"uris":["http://www.mendeley.com/documents/?uuid=f4323b75-4c3f-38bc-a1c3-3938c76baed5"]},{"id":"ITEM-2","itemData":{"DOI":"10.1007/s00726-013-1493-1","ISSN":"09394451","PMID":"23615880","abstract":"Glycine is a major amino acid in mammals and other animals. It is synthesized from serine, threonine, choline, and hydroxyproline via inter-organ metabolism involving primarily the liver and kidneys. Under normal feeding conditions, glycine is not adequately synthesized in birds or in other animals, particularly in a diseased state. Glycine degradation occurs through three pathways: the glycine cleavage system (GCS), serine hydroxymethyltransferase, and conversion to glyoxylate by peroxisomal d-amino acid oxidase. Among these pathways, GCS is the major enzyme to initiate glycine degradation to form ammonia and CO2 in animals. In addition, glycine is utilized for the biosynthesis of glutathione, heme, creatine, nucleic acids, and uric acid. Furthermore, glycine is a significant component of bile acids secreted into the lumen of the small intestine that is necessary for the digestion of dietary fat and the absorption of long-chain fatty acids. Glycine plays an important role in metabolic regulation, anti-oxidative reactions, and neurological function. Thus, this nutrient has been used to: (1) prevent tissue injury; (2) enhance anti-oxidative capacity; (3) promote protein synthesis and wound healing; (4) improve immunity; and (5) treat metabolic disorders in obesity, diabetes, cardiovascular disease, ischemia-reperfusion injuries, cancers, and various inflammatory diseases. These multiple beneficial effects of glycine, coupled with its insufficient de novo synthesis, support the notion that it is a conditionally essential and also a functional amino acid for mammals (including pigs and humans). © 2013 Springer-Verlag Wien.","author":[{"dropping-particle":"","family":"Wang","given":"Weiwei","non-dropping-particle":"","parse-names":false,"suffix":""},{"dropping-particle":"","family":"Wu","given":"Zhenlong","non-dropping-particle":"","parse-names":false,"suffix":""},{"dropping-particle":"","family":"Dai","given":"Zhaolai","non-dropping-particle":"","parse-names":false,"suffix":""},{"dropping-particle":"","family":"Yang","given":"Ying","non-dropping-particle":"","parse-names":false,"suffix":""},{"dropping-particle":"","family":"Wang","given":"Junjun","non-dropping-particle":"","parse-names":false,"suffix":""},{"dropping-particle":"","family":"Wu","given":"Guoyao","non-dropping-particle":"","parse-names":false,"suffix":""}],"container-title":"Amino Acids","id":"ITEM-2","issue":"3","issued":{"date-parts":[["2013"]]},"page":"463-477","title":"Glycine metabolism in animals and humans: Implications for nutrition and health","type":"article-journal","volume":"45"},"uris":["http://www.mendeley.com/documents/?uuid=2f4338fd-8eec-3b94-aece-ced4025603e4"]}],"mendeley":{"formattedCitation":"&lt;sup&gt;36,37&lt;/sup&gt;","plainTextFormattedCitation":"36,37","previouslyFormattedCitation":"&lt;sup&gt;36,37&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36,37</w:t>
            </w:r>
            <w:r w:rsidRPr="007D001E">
              <w:rPr>
                <w:rFonts w:ascii="Calibri" w:eastAsia="Times New Roman" w:hAnsi="Calibri" w:cs="Calibri"/>
                <w:lang w:val="en-GB" w:eastAsia="nl-NL"/>
              </w:rPr>
              <w:fldChar w:fldCharType="end"/>
            </w:r>
          </w:p>
        </w:tc>
      </w:tr>
      <w:tr w:rsidR="00822D13" w:rsidRPr="007D001E" w14:paraId="317F584A" w14:textId="77777777" w:rsidTr="00890C83">
        <w:trPr>
          <w:trHeight w:val="300"/>
          <w:jc w:val="center"/>
        </w:trPr>
        <w:tc>
          <w:tcPr>
            <w:tcW w:w="4390" w:type="dxa"/>
            <w:shd w:val="clear" w:color="auto" w:fill="auto"/>
            <w:noWrap/>
            <w:vAlign w:val="bottom"/>
          </w:tcPr>
          <w:p w14:paraId="0E2E0A50"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Aldosterone regulated sodium reabsorption</w:t>
            </w:r>
          </w:p>
        </w:tc>
        <w:tc>
          <w:tcPr>
            <w:tcW w:w="4252" w:type="dxa"/>
            <w:shd w:val="clear" w:color="auto" w:fill="auto"/>
            <w:noWrap/>
          </w:tcPr>
          <w:p w14:paraId="174E4A26" w14:textId="6C62F623"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{"citationItems":[{"id":"ITEM-1","itemData":{"DOI":"10.1111/j.1440-1681.2007.04844.x","ISSN":"03051870","PMID":"18197893","abstract":"1. The epithelial sodium channel (ENaC) is tightly regulated by hormonal and humoral factors, including cytosolic ion concentration and glucocorticoid and mineralocorticoid hormones. Many of these regulators of ENaC control its activity by regulating its surface expression via neural precursor cell-expressed developmentally downregulated (gene 4) protein (Nedd4-2). 2. During the early phase of aldosterone action, Nedd4-2-dependent downregulation of ENaC is inhibited by the serum- and glucocorticoid-induced kinase 1 (Sgk1). 3. Sgk1 phosphorylates Nedd4-2. Subsequently, phosphorylated Nedd4-2 binds to the 14-3-3 protein and, hence, reduces binding of Nedd4-2 to ENaC. 4. Nedd4-2 is also phosphorylated by protein kinase B (Akt1). Both Sgk1 and Akt1 are part of the insulin signalling pathway that increases transepithelial Na+ absorption by inhibiting Nedd4-2 and activating ENaC. © 2008 The Authors.","author":[{"dropping-particle":"","family":"Lee","given":"Il Ha","non-dropping-particle":"","parse-names":false,"suffix":""},{"dropping-particle":"","family":"Campbell","given":"Craig R.","non-dropping-particle":"","parse-names":false,"suffix":""},{"dropping-particle":"","family":"Cook","given":"David I.","non-dropping-particle":"","parse-names":false,"suffix":""},{"dropping-particle":"","family":"Dinudom","given":"Anuwat","non-dropping-particle":"","parse-names":false,"suffix":""}],"container-title":"Clinical and Experimental Pharmacology and Physiology","id":"ITEM-1","issue":"2","issued":{"date-parts":[["2008","2","1"]]},"page":"235-241","publisher":"John Wiley &amp; Sons, Ltd","title":"Regulation of epithelial Na+ channels by aldosterone: Role of Sgk1","type":"paper-conference","volume":"35"},"uris":["http://www.mendeley.com/documents/?uuid=9b54ea71-41fa-3a57-9dd1-740c85328c4f"]}],"mendeley":{"formattedCitation":"&lt;sup&gt;57&lt;/sup&gt;","plainTextFormattedCitation":"57","previouslyFormattedCitation":"&lt;sup&gt;57&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57</w:t>
            </w:r>
            <w:r w:rsidRPr="007D001E">
              <w:rPr>
                <w:rFonts w:ascii="Calibri" w:eastAsia="Times New Roman" w:hAnsi="Calibri" w:cs="Calibri"/>
                <w:lang w:val="en-GB" w:eastAsia="nl-NL"/>
              </w:rPr>
              <w:fldChar w:fldCharType="end"/>
            </w:r>
          </w:p>
        </w:tc>
      </w:tr>
      <w:tr w:rsidR="00822D13" w:rsidRPr="007D001E" w14:paraId="4A5CFE09" w14:textId="77777777" w:rsidTr="00890C83">
        <w:trPr>
          <w:trHeight w:val="300"/>
          <w:jc w:val="center"/>
        </w:trPr>
        <w:tc>
          <w:tcPr>
            <w:tcW w:w="4390" w:type="dxa"/>
            <w:shd w:val="clear" w:color="auto" w:fill="auto"/>
            <w:noWrap/>
            <w:vAlign w:val="bottom"/>
          </w:tcPr>
          <w:p w14:paraId="7D6AE978"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Endocrine and other factor regulated sodium reabsorption</w:t>
            </w:r>
          </w:p>
        </w:tc>
        <w:tc>
          <w:tcPr>
            <w:tcW w:w="4252" w:type="dxa"/>
            <w:shd w:val="clear" w:color="auto" w:fill="auto"/>
            <w:noWrap/>
          </w:tcPr>
          <w:p w14:paraId="098B9197" w14:textId="174BB76E"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{"citationItems":[{"id":"ITEM-1","itemData":{"DOI":"10.1152/ajpgi.00036.2003","ISSN":"01931857","PMID":"12620887","abstract":"The epithelial Ca2+ channels TRPV5 and TRPV6 are localized to the brush border membrane of intestinal cells and constitute the postulated rate-limiting entry step of active Ca2+ absorption. The aim of the present study was to investigate the hormonal regulation of these channels. To this end, the effect of 17β-estradiol (17β-E2), 1,25-dihydroxyvitamin D3 [1,25(OH)2D3], and dietary Ca2+ on the expression of the duodenal Ca2+ transport proteins was investigated in vivo and analyzed using realtime quantitative PCR. Supplementation with 17β-E2 increased duodenal gene expression of TRPV5 and TRPV6 but also calbindin-D9K and plasma membrane Ca2+-ATPase (PMCA1b) in ovariectomized rats. 25-Hydroxyvitamin D3-1α hydroxylase (1α-OHase) knockout mice are characterized by hyperparathyroidism, rickets, hypocalcemia, and undetectable levels of 1,25(OH)2D3 and were used to study the 1,25(OH)2D3-dependency of the stimulatory effects of 17β-E2. Treatment with 17β-E2 upregulated mRNA levels of duodenal TRPV6 in these 1α-OHase knockout mice, which was accompanied by increased serum Ca2+ concentrations from 1.69 ± 0.10 to 2.03 ± 0.12 mM (P &lt; 0.05). In addition, high dietary Ca2+ intake normalized serum Ca2+ in these mice and upregulated expression of genes encoding the duodenal Ca2+ transport proteins except for PMCA1b. Supplementation with 1,25(OH)2D3 resulted in increased expression of TRPV6, calbindin-D9K, and PMCA1b and normalization of serum Ca2+. Expression levels of duodenal TRPV5 mRNA are below detection limits in these 1α-OHase knockout mice, but supplementation with 1,25(OH)2D3 upregulated the expression to significant levels. In conclusion, TRPV5 and TRPV6 are regulated by 17β-E2 and 1,25(OH)2D3, whereas dietary Ca2+ is positively involved in the regulation of TRPV6 only.","author":[{"dropping-particle":"","family":"Abel","given":"Monique","non-dropping-particle":"Van","parse-names":false,"suffix":""},{"dropping-particle":"","family":"Hoenderop","given":"Joost G.J.","non-dropping-particle":"","parse-names":false,"suffix":""},{"dropping-particle":"","family":"Kemp","given":"Annemiete W.C.M.","non-dropping-particle":"Van der","parse-names":false,"suffix":""},{"dropping-particle":"","family":"Leeuwen","given":"Johannes P.T.M.","non-dropping-particle":"Van","parse-names":false,"suffix":""},{"dropping-particle":"","family":"Bindels","given":"René J.M.","non-dropping-particle":"","parse-names":false,"suffix":""}],"container-title":"American Journal of Physiology - Gastrointestinal and Liver Physiology","id":"ITEM-1","issue":"1 48-1","issued":{"date-parts":[["2003","7","1"]]},"publisher":"American Physiological Society","title":"Regulation of the epithelial Ca2+ channels in small intestine as studied by quantitative mRNA detection","type":"article-journal","volume":"285"},"uris":["http://www.mendeley.com/documents/?uuid=41d3274f-7742-33f0-b454-9038471561b2"]},{"id":"ITEM-2","itemData":{"DOI":"10.1073/pnas.231474698","ISSN":"00278424","PMID":"11687634","abstract":"Rickets and hyperparathyroidism caused by a defective vitamin D receptor (VDR) can be prevented in humans and animals by high calcium intake, suggesting that intestinal calcium absorption is critical for 1,25(OH)2 vitamin D [1,25(OH)2D3] action on calcium homeostasis. We assessed the rate of serum 45Ca accumulation within 10 min of oral gavage in two strains of VDR-knockout (KO) mice (Leuven and Tokyo KO) and observed a 3-fold lower area under the curve in both KO strains. Moreover, we evaluated the expression of intestinal candidate genes involved in transcellular calcium transport. The calcium transport protein1 (CAT1) was more abundantly expressed at mRNA level than the epithelial calcium channel (ECaC) in duodenum, but both were considerably reduced (CAT1&gt;90%, ECaC&gt;60%) in the two VDR-KO strains on a normal calcium diet. Calbindin-D9K expression was decreased only in the Tokyo KO, whereas plasma membrane calcium ATPase (PMCA1b) expression was normal in both VDR-KOs. In Leuven wild-type mice, a high calcium diet inhibited (&gt;90%) and 1,25(OH)2D3 injection or low calcium diet induced (6-fold) duodenal CaT1 expression and, to a lesser degree, ECaC and calbindin-D9K expression. In Leuven KO mice, however, high or low calcium intake decreased calbindin-D9K and PMCA1b expression, whereas CaT1 and ECaC expression remained consistently low on any diet. These results suggest that the expression of the novel duodenal epithelial calcium channels (in particular CAT1) is strongly vitamin D-dependent, and that calcium influx, probably interacting with calbindin-D9K, should be considered as a rate-limiting step in the process of vitamin D-dependent active calcium absorption.","author":[{"dropping-particle":"","family":"Cromphaut","given":"Sophie J.","non-dropping-particle":"Van","parse-names":false,"suffix":""},{"dropping-particle":"","family":"Dewerchin","given":"Mieke","non-dropping-particle":"","parse-names":false,"suffix":""},{"dropping-particle":"","family":"Hoenderop","given":"Joost G.J.","non-dropping-particle":"","parse-names":false,"suffix":""},{"dropping-particle":"","family":"Stockmans","given":"Ingrid","non-dropping-particle":"","parse-names":false,"suffix":""},{"dropping-particle":"","family":"Herck","given":"Erik","non-dropping-particle":"Van","parse-names":false,"suffix":""},{"dropping-particle":"","family":"Kato","given":"Shigeaki","non-dropping-particle":"","parse-names":false,"suffix":""},{"dropping-particle":"","family":"Bindels","given":"René J.M.","non-dropping-particle":"","parse-names":false,"suffix":""},{"dropping-particle":"","family":"Collen","given":"Désiré","non-dropping-particle":"","parse-names":false,"suffix":""},{"dropping-particle":"","family":"Carmeliet","given":"Peter","non-dropping-particle":"","parse-names":false,"suffix":""},{"dropping-particle":"","family":"Bouillon","given":"Roger","non-dropping-particle":"","parse-names":false,"suffix":""},{"dropping-particle":"","family":"Carmeliet","given":"Geert","non-dropping-particle":"","parse-names":false,"suffix":""}],"container-title":"Proceedings of the National Academy of Sciences of the United States of America","id":"ITEM-2","issue":"23","issued":{"date-parts":[["2001","11","6"]]},"page":"13324-13329","publisher":"National Academy of Sciences","title":"Duodenal calcium absorption in vitamin D receptor-knockout mice: Functional and molecular aspects","type":"article-journal","volume":"98"},"uris":["http://www.mendeley.com/documents/?uuid=3ca5c627-ca08-3029-9d1a-c8aca695fed4"]}],"mendeley":{"formattedCitation":"&lt;sup&gt;12,13&lt;/sup&gt;","plainTextFormattedCitation":"12,13","previouslyFormattedCitation":"&lt;sup&gt;12,13&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12,13</w:t>
            </w:r>
            <w:r w:rsidRPr="007D001E">
              <w:rPr>
                <w:rFonts w:ascii="Calibri" w:eastAsia="Times New Roman" w:hAnsi="Calibri" w:cs="Calibri"/>
                <w:lang w:val="en-GB" w:eastAsia="nl-NL"/>
              </w:rPr>
              <w:fldChar w:fldCharType="end"/>
            </w:r>
          </w:p>
        </w:tc>
      </w:tr>
      <w:tr w:rsidR="00822D13" w:rsidRPr="007D001E" w14:paraId="76F9E169" w14:textId="77777777" w:rsidTr="00890C83">
        <w:trPr>
          <w:trHeight w:val="300"/>
          <w:jc w:val="center"/>
        </w:trPr>
        <w:tc>
          <w:tcPr>
            <w:tcW w:w="4390" w:type="dxa"/>
            <w:shd w:val="clear" w:color="auto" w:fill="auto"/>
            <w:noWrap/>
            <w:vAlign w:val="bottom"/>
          </w:tcPr>
          <w:p w14:paraId="6C8A713D"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Longevity regulating pathway</w:t>
            </w:r>
          </w:p>
        </w:tc>
        <w:tc>
          <w:tcPr>
            <w:tcW w:w="4252" w:type="dxa"/>
            <w:shd w:val="clear" w:color="auto" w:fill="auto"/>
            <w:noWrap/>
            <w:vAlign w:val="bottom"/>
          </w:tcPr>
          <w:p w14:paraId="1627266D" w14:textId="72FFB5EE"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{"citationItems":[{"id":"ITEM-1","itemData":{"DOI":"10.1126/science.1172539","ISSN":"00368075","PMID":"20395504","abstract":"When the food intake of organisms such as yeast and rodents is reduced (dietary restriction), they live longer than organisms fed a normal diet. A similar effect is seen when the activity of nutrientsensing pathways is reduced by mutations or chemical inhibitors. In rodents, both dietary restriction and decreased nutrient-sensing pathway activity can lower the incidence of age-related loss of function and disease, including tumors and neurodegeneration. Dietary restriction also increases life span and protects against diabetes, cancer, and cardiovascular disease in rhesus monkeys, and in humans it causes changes that protect against these age-related pathologies. Tumors and diabetes are also uncommon in humans with mutations in the growth hormone receptor, and natural genetic variants in nutrient-sensing pathways are associated with increased human life span. Dietary restriction and reduced activity of nutrient-sensing pathways may thus slow aging by similar mechanisms, which have been conserved during evolution. We discuss these findings and their potential application to prevention of age-related disease and promotion of healthy aging in humans, and the challenge of possible negative side effects.","author":[{"dropping-particle":"","family":"Fontana","given":"Luigi","non-dropping-particle":"","parse-names":false,"suffix":""},{"dropping-particle":"","family":"Partridge","given":"Linda","non-dropping-particle":"","parse-names":false,"suffix":""},{"dropping-particle":"","family":"Longo","given":"Valter D.","non-dropping-particle":"","parse-names":false,"suffix":""}],"container-title":"Science","id":"ITEM-1","issue":"5976","issued":{"date-parts":[["2010","4","16"]]},"page":"321-326","publisher":"American Association for the Advancement of Science","title":"Extending healthy life span-from yeast to humans","type":"article","volume":"328"},"uris":["http://www.mendeley.com/documents/?uuid=106d2be6-06f5-3aa6-840f-c7feddd23962"]},{"id":"ITEM-2","itemData":{"DOI":"10.1038/nature08980","ISSN":"00280836","PMID":"20336132","abstract":"The nematode Caenorhabditis elegans ages and dies in a few weeks, but humans can live for 100 years or more. Assuming that the ancestor we share with nematodes aged rapidly, this means that over evolutionary time mutations have increased lifespan more than 2,000-fold. Which genes can extend lifespan? Can we augment their activities and live even longer? After centuries of wistful poetry and wild imagination, we are now getting answers, often unexpected ones, to these fundamental questions. © 2010 Macmillan Publishers Limited. All rights reserved.","author":[{"dropping-particle":"","family":"Kenyon","given":"Cynthia J.","non-dropping-particle":"","parse-names":false,"suffix":""}],"container-title":"Nature","id":"ITEM-2","issue":"7288","issued":{"date-parts":[["2010","3","25"]]},"page":"504-512","publisher":"Nature Publishing Group","title":"The genetics of ageing","type":"article","volume":"464"},"uris":["http://www.mendeley.com/documents/?uuid=ba2b09c8-cdb9-3eec-b750-4fbad47eba8b"]},{"id":"ITEM-3","itemData":{"DOI":"10.1016/j.tips.2009.11.004","ISSN":"01656147","PMID":"20097433","abstract":"An important discovery of recent years has been that lifestyle and environmental factors affect cancer initiation, promotion and progression, suggesting that many malignancies are preventable. Epidemiological studies strongly suggest that excessive adiposity, decreased physical activity, and unhealthy diets are key players in the pathogenesis and prognosis of many common cancers. In addition, calorie restriction (CR), without malnutrition, has been shown to be broadly effective in cancer prevention in laboratory strains of rodents. Adult-onset moderate CR also reduces cancer incidence by 50% in monkeys. Whether the antitumorigenic effects of CR will apply to humans is unknown, but CR results in a consistent reduction in circulating levels of growth factors, anabolic hormones, inflammatory cytokines and oxidative stress markers associated with various malignancies. Here, we discuss the link between nutritional interventions and cancer prevention with focus on the mechanisms that might be responsible for these effects in simple systems and mammals with a view to developing chemoprevention agents. © 2009 Elsevier Ltd. All rights reserved.","author":[{"dropping-particle":"","family":"Longo","given":"Valter D.","non-dropping-particle":"","parse-names":false,"suffix":""},{"dropping-particle":"","family":"Fontana","given":"Luigi","non-dropping-particle":"","parse-names":false,"suffix":""}],"container-title":"Trends in Pharmacological Sciences","id":"ITEM-3","issue":"2","issued":{"date-parts":[["2010","2","1"]]},"page":"89-98","publisher":"Elsevier Current Trends","title":"Calorie restriction and cancer prevention: metabolic and molecular mechanisms","type":"article","volume":"31"},"uris":["http://www.mendeley.com/documents/?uuid=da6bc4b1-eacc-3bf1-bd19-f2992175c9e9"]}],"mendeley":{"formattedCitation":"&lt;sup&gt;58–60&lt;/sup&gt;","plainTextFormattedCitation":"58–60","previouslyFormattedCitation":"&lt;sup&gt;58–60&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58–60</w:t>
            </w:r>
            <w:r w:rsidRPr="007D001E">
              <w:rPr>
                <w:rFonts w:ascii="Calibri" w:eastAsia="Times New Roman" w:hAnsi="Calibri" w:cs="Calibri"/>
                <w:lang w:val="en-GB" w:eastAsia="nl-NL"/>
              </w:rPr>
              <w:fldChar w:fldCharType="end"/>
            </w:r>
          </w:p>
        </w:tc>
      </w:tr>
      <w:tr w:rsidR="00822D13" w:rsidRPr="007D001E" w14:paraId="48E18307" w14:textId="77777777" w:rsidTr="00890C83">
        <w:trPr>
          <w:trHeight w:val="300"/>
          <w:jc w:val="center"/>
        </w:trPr>
        <w:tc>
          <w:tcPr>
            <w:tcW w:w="4390" w:type="dxa"/>
            <w:shd w:val="clear" w:color="auto" w:fill="auto"/>
            <w:noWrap/>
            <w:vAlign w:val="bottom"/>
          </w:tcPr>
          <w:p w14:paraId="6B4973BA"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Mineral absorption</w:t>
            </w:r>
          </w:p>
        </w:tc>
        <w:tc>
          <w:tcPr>
            <w:tcW w:w="4252" w:type="dxa"/>
            <w:shd w:val="clear" w:color="auto" w:fill="auto"/>
            <w:noWrap/>
            <w:vAlign w:val="bottom"/>
          </w:tcPr>
          <w:p w14:paraId="7BE986B3" w14:textId="2CFEDDED"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{"citationItems":[{"id":"ITEM-1","itemData":{"DOI":"10.1146/annurev-nutr-033009-083312","ISSN":"01999885","PMID":"19400752","abstract":"Research advances defining how zinc is transported into and out of cells and organelles have increased exponentially within the past five years. Research has progressed through application of molecular techniques including genomic analysis, cell transfection, RNA interference, kinetic analysis of ion transport, and application of cell and animal models including knockout mice. The knowledge base has increased for most of 10 members of the ZnT family and 14 members of the Zrt-, Irtlike protein (ZIP) family. Relative to the handling of dietary zinc is the involvement of ZnT1, ZIP4, and ZIP5 in intestinal zinc transport, involvement of ZIP10 and ZnT1 in renal zinc reabsorption, and the roles of ZIP5, ZnT2, and ZnT1 in pancreatic release of endogenous zinc. These events are major factors in regulation of zinc homeostasis. Other salient findings are the involvement of ZnT2 in lactation, ZIP14 in the hypozincemia of inflammation, ZIP6, ZIP7, and ZIP10 in metastatic breast cancer, and ZnT8 in insulin processing and as an autoantigen in diabetes. Copyright © 2009 by Annual Reviews. All rights reserved.","author":[{"dropping-particle":"","family":"Lichten","given":"Louis A.","non-dropping-particle":"","parse-names":false,"suffix":""},{"dropping-particle":"","family":"Cousins","given":"Robert J.","non-dropping-particle":"","parse-names":false,"suffix":""}],"container-title":"Annual Review of Nutrition","id":"ITEM-1","issued":{"date-parts":[["2009","8","22"]]},"page":"153-176","publisher":" Annual Reviews ","title":"Mammalian zinc transporters: Nutritional and physiologic regulation","type":"article","volume":"29"},"uris":["http://www.mendeley.com/documents/?uuid=7f2b8e34-a44f-3f73-9bb0-6a39e105e1a4"]},{"id":"ITEM-2","itemData":{"DOI":"10.1016/j.tcb.2006.12.003","ISSN":"09628924","PMID":"17194590","abstract":"Iron is an essential element for metabolic processes intrinsic to life, and yet the properties that make iron a necessity also make it potentially deleterious. To avoid harm, iron homeostasis is achieved through iron transport, storage and regulatory proteins. The functions of some of these molecules are well described, for example transferrin and transferrin receptor-1, whereas the roles of others, such as the transferrin homolog melanotransferrin, remain unclear. The past decade has seen the identification of new molecules involved in iron metabolism, such as divalent metal transporter-1, ferroportin-1, hepcidin, hemojuvelin and heme carrier protein-1. Here, we focus on these intriguing new molecules and the insights gained from them into cellular iron uptake and the regulation of iron metabolism. © 2006 Elsevier Ltd. All rights reserved.","author":[{"dropping-particle":"","family":"Dunn","given":"Louise L.","non-dropping-particle":"","parse-names":false,"suffix":""},{"dropping-particle":"","family":"Rahmanto","given":"Yohan Suryo","non-dropping-particle":"","parse-names":false,"suffix":""},{"dropping-particle":"","family":"Richardson","given":"Des R.","non-dropping-particle":"","parse-names":false,"suffix":""}],"container-title":"Trends in Cell Biology","id":"ITEM-2","issue":"2","issued":{"date-parts":[["2007","2","1"]]},"page":"93-100","publisher":"Elsevier Current Trends","title":"Iron uptake and metabolism in the new millennium","type":"article","volume":"17"},"uris":["http://www.mendeley.com/documents/?uuid=f9eab95b-0518-346b-8e28-4b83014f70b9"]},{"id":"ITEM-3","itemData":{"DOI":"10.1097/MOG.0b013e3282f37b59","ISSN":"02671379","PMID":"18301276","abstract":"PURPOSE OF REVIEW: Recent identification and characterization of novel Mg transporters have clarified our understanding of intestinal magnesium absorption. The predominant Mg transporters include TRPM6 and TRPM7, members of the transient receptor potential melastatin family of cation channels. Mutations of TRPM6 result in a primary disorder termed hypomagnesemia with secondary hypocalcemia. RECENT FINDINGS: Both TRPM6 and TRPM7 channels possess an atypical α-kinase domain. Recent studies have shown that TRPM7 channel activity is regulated by intracellular Mg and magnesium-nucleotides and modulated via this phosphotransferase kinase. TRPM6 channel function and intestinal magnesium absorption is altered by a variety of hormones and factors. Although it is apparent that TRPM6 and TRPM7 form heteromeric ion channels, controversy surrounds the nature of this interaction. Some studies show that TRPM6 may function on its own whereas other research concludes that TRPM7 is required for effective trafficking of TRPM6 to the plasma membrane. Finally, a number of other Mg transporters have been identified in intestinal epithelial cells but the role of these proteins is unclear. SUMMARY: The recent developments in intestinal magnesium absorption and cellular magnesium homeostasis provide a basis for understanding magnesium deficiency disorders and provide a platform for future investigations. © 2008 Lippincott Williams &amp; Wilkins, Inc.","author":[{"dropping-particle":"","family":"Quamme","given":"Gary A.","non-dropping-particle":"","parse-names":false,"suffix":""}],"container-title":"Current Opinion in Gastroenterology","id":"ITEM-3","issue":"2","issued":{"date-parts":[["2008","3"]]},"page":"230-235","title":"Recent developments in intestinal magnesium absorption","type":"article","volume":"24"},"uris":["http://www.mendeley.com/documents/?uuid=c788e143-24b9-3ffa-b954-d2739c5cb078"]},{"id":"ITEM-4","itemData":{"DOI":"10.1093/ajcn/88.3.846s","ISSN":"00029165","PMID":"18779306","abstract":"Stable-isotope studies in human infants and adults have shown that copper homeostasis occurs, but the contribution of the small intestine to this regulation is still not well understood. Copper first needs to be reduced to the cuprous form, most likely by Steap proteins on the apical membrane. Copper is subsequently absorbed by Ctr1 and then transferred in the enterocyte by the chaperone Atox1 to reach ATP7A for export from the cell. The role of ATP7B, shown to be present in the small intestine, is still poorly understood. In situations of high copper exposure, Ctr1 is endocytosed, metallothionein is induced, and ATP7A moves to a more basolateral localization. However, the ontogeny of regulation of copper homeostasis has received little attention. In rat pups, tissue copper and total-body 67Cu retention decrease throughout postnatal development, whereas liver 67Cu retention, serum copper, and ceruloplasmin activity increase. Total 67Cu absorption decreases and intestinal 67Cu retention increases with increased copper intake. During early infancy (day 10), copper supplementation increases intestinal copper and metallothionein gene expression, and Ctr1 protein levels increase, whereas Atp7A and Atp7B are unaffected. However, during late infancy (day 20), intestinal copper concentrations are unaffected by supplementation, but Ctr1, ATP7A, and Atp7B protein levels are higher than in controls. Thus, maturation of small intestine copper transport occurs through increased abundance and altered localization of Ctr1, Atp7A, and Atp7B. The mechanisms behind this maturation, including both transcriptional and posttranscriptional regulation, require further studies. © 2008 American Society for Nutrition.","author":[{"dropping-particle":"","family":"Lönnerdal","given":"Bo","non-dropping-particle":"","parse-names":false,"suffix":""}],"container-title":"American Journal of Clinical Nutrition","id":"ITEM-4","issue":"3","issued":{"date-parts":[["2008","9","1"]]},"page":"846S-850S","publisher":"American Society for Nutrition","title":"Intestinal regulation of copper homeostasis: A developmental perspective","type":"paper-conference","volume":"88"},"uris":["http://www.mendeley.com/documents/?uuid=44d1aea0-3f9a-384b-8468-374aa7255b17"]}],"mendeley":{"formattedCitation":"&lt;sup&gt;15–18&lt;/sup&gt;","plainTextFormattedCitation":"15–18","previouslyFormattedCitation":"&lt;sup&gt;15–18&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15–18</w:t>
            </w:r>
            <w:r w:rsidRPr="007D001E">
              <w:rPr>
                <w:rFonts w:ascii="Calibri" w:eastAsia="Times New Roman" w:hAnsi="Calibri" w:cs="Calibri"/>
                <w:lang w:val="en-GB" w:eastAsia="nl-NL"/>
              </w:rPr>
              <w:fldChar w:fldCharType="end"/>
            </w:r>
          </w:p>
        </w:tc>
      </w:tr>
      <w:tr w:rsidR="00822D13" w:rsidRPr="007D001E" w14:paraId="73ED6071" w14:textId="77777777" w:rsidTr="00890C83">
        <w:trPr>
          <w:trHeight w:val="300"/>
          <w:jc w:val="center"/>
        </w:trPr>
        <w:tc>
          <w:tcPr>
            <w:tcW w:w="8642" w:type="dxa"/>
            <w:gridSpan w:val="2"/>
            <w:shd w:val="clear" w:color="auto" w:fill="auto"/>
            <w:noWrap/>
            <w:vAlign w:val="bottom"/>
            <w:hideMark/>
          </w:tcPr>
          <w:p w14:paraId="0E6C8314" w14:textId="77777777"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t>Downregulated pathways</w:t>
            </w:r>
          </w:p>
        </w:tc>
      </w:tr>
      <w:tr w:rsidR="00822D13" w:rsidRPr="007D001E" w14:paraId="125BE9B3" w14:textId="77777777" w:rsidTr="00890C83">
        <w:trPr>
          <w:trHeight w:val="300"/>
          <w:jc w:val="center"/>
        </w:trPr>
        <w:tc>
          <w:tcPr>
            <w:tcW w:w="4390" w:type="dxa"/>
            <w:shd w:val="clear" w:color="auto" w:fill="auto"/>
            <w:noWrap/>
            <w:vAlign w:val="bottom"/>
            <w:hideMark/>
          </w:tcPr>
          <w:p w14:paraId="7499C882"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P53 signaling pathway</w:t>
            </w:r>
          </w:p>
        </w:tc>
        <w:tc>
          <w:tcPr>
            <w:tcW w:w="4252" w:type="dxa"/>
            <w:shd w:val="clear" w:color="auto" w:fill="auto"/>
            <w:noWrap/>
          </w:tcPr>
          <w:p w14:paraId="4AAE0E00" w14:textId="3F5C5EDB"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{"citationItems":[{"id":"ITEM-1","itemData":{"DOI":"10.1038/sj.onc.1208615","ISSN":"09509232","PMID":"15838523","abstract":"The p53 pathway responds to stresses that can disrupt the fidelity of DNA replication and cell division. A stress signal is transmitted to the p53 protein by post-translational modifications. This results in the activation of the p53 protein as a transcription factor that initiates a program of cell cycle arrest, cellular senescence or apoptosis. The transcriptional network of p53-responsive genes produces proteins that interact with a large number of other signal transduction pathways in the cell and a number of positive and negative autoregulatory feedback loops act upon the p53 response. There are at least seven negative and three positive feedback loops described here, and of these, six act through the MDM-2 protein to regulate p53 activity. The p53 circuit communicates with the Wnt-beta-catenin, IGF-1-AKT, Rb-E2F, p38 MAP kinase, cyclin-cdk, p14/19 ARF pathways and the cyclin G-PP2A, and p73 gene products. There are at least three different ubiquitin ligases that can regulate p53 in an autoregulatory manner: MDM-2, Cop-1 and Pirh-2. The meaning of this redundancy and the relative activity of each of these feedback loops in different cell types or stages of development remains to be elucidated. The interconnections between signal transduction pathways will play a central role in our understanding of cancer. © 2005 Nature Publishing Group All rights reserved.","author":[{"dropping-particle":"","family":"Harris","given":"Sandra L.","non-dropping-particle":"","parse-names":false,"suffix":""},{"dropping-particle":"","family":"Levine","given":"Arnold J.","non-dropping-particle":"","parse-names":false,"suffix":""}],"container-title":"Oncogene","id":"ITEM-1","issue":"17","issued":{"date-parts":[["2005","4","18"]]},"page":"2899-2908","publisher":"Nature Publishing Group","title":"The p53 pathway: Positive and negative feedback loops","type":"article","volume":"24"},"uris":["http://www.mendeley.com/documents/?uuid=f080f5c0-993a-35a5-853c-e552f71bd31f"]}],"mendeley":{"formattedCitation":"&lt;sup&gt;19&lt;/sup&gt;","plainTextFormattedCitation":"19","previouslyFormattedCitation":"&lt;sup&gt;19&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19</w:t>
            </w:r>
            <w:r w:rsidRPr="007D001E">
              <w:rPr>
                <w:rFonts w:ascii="Calibri" w:eastAsia="Times New Roman" w:hAnsi="Calibri" w:cs="Calibri"/>
                <w:lang w:val="en-GB" w:eastAsia="nl-NL"/>
              </w:rPr>
              <w:fldChar w:fldCharType="end"/>
            </w:r>
          </w:p>
        </w:tc>
      </w:tr>
      <w:tr w:rsidR="00822D13" w:rsidRPr="00822D13" w14:paraId="391C3240" w14:textId="77777777" w:rsidTr="00890C83">
        <w:trPr>
          <w:trHeight w:val="300"/>
          <w:jc w:val="center"/>
        </w:trPr>
        <w:tc>
          <w:tcPr>
            <w:tcW w:w="4390" w:type="dxa"/>
            <w:shd w:val="clear" w:color="auto" w:fill="auto"/>
            <w:noWrap/>
            <w:vAlign w:val="bottom"/>
            <w:hideMark/>
          </w:tcPr>
          <w:p w14:paraId="6B212761"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Proteasome</w:t>
            </w:r>
          </w:p>
        </w:tc>
        <w:tc>
          <w:tcPr>
            <w:tcW w:w="4252" w:type="dxa"/>
            <w:shd w:val="clear" w:color="auto" w:fill="auto"/>
            <w:noWrap/>
          </w:tcPr>
          <w:p w14:paraId="71F0ACA5" w14:textId="65C48A6F" w:rsidR="00822D13" w:rsidRPr="00822D13"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{"citationItems":[{"id":"ITEM-1","itemData":{"DOI":"10.1002/ibd.20930","ISSN":"10780998","PMID":"19373789","abstract":"Background: Bacteria play a role in inflammatory bowel disease and other forms of intestinal inflammation. Although much attention has focused on the search for a pathogen or inciting inflammatory bacteria, another possibility is a lack of beneficial bacteria that normally confer anti-inflammatory properties in the gut. The purpose of this study was to determine whether normal commensal bacteria could inhibit inflammatory pathways important in intestinal inflammation. Methods: Conditioned media from Lactobacillus plantarum (Lp-CM) and other gut bacteria was used to treat intestinal epithelial cell (YAMC) and macrophage (RAW 264.7) or primary culture murine dendritic cells. NF-κB was activated through TNF-Receptor, MyD88-dependent and -independent pathways and effects of Lp-CM on the NF-κB pathway were assessed. NF-κB binding activity was measured using ELISA and EMSA. 1κB expression was assessed by Western blot analysis, and proteasome activity determined using fluorescence-based proteasome assays. MCP-1 release was determined by ELISA. Results: Lp-CM inhibited NF-κB binding activity, degradation of IκBα and the chymotrypsin-like activity of the proteasome. Moreover, Lp-CM directly inhibited the activity of purified mouse proteasomes. This effect was specific, since conditioned media from other bacteria had no inhibitory effect. Unlike other proteasome inhibitors, Lp-CM was not toxic in cell death assays. Lp-CM inhibited MCP-1 release in all cell types tested. Conclusions: These studies confirm, and provide a mechanism for, the anti-inflammatory effects of the probiotic and commensal bacterium Lactobacillus plantarum. The use of bacteria-free Lp-CM provides a novel strategy for treatment of intestinal inflammation which would eliminate the risk of bacteremia reported with conventional probiotics. Copyright © 2009 Crohn's &amp; Colitis Foundation of America, Inc.","author":[{"dropping-particle":"","family":"Petrof","given":"Elaine O.","non-dropping-particle":"","parse-names":false,"suffix":""},{"dropping-particle":"","family":"Claud","given":"Erika C.","non-dropping-particle":"","parse-names":false,"suffix":""},{"dropping-particle":"","family":"Sun","given":"Jun","non-dropping-particle":"","parse-names":false,"suffix":""},{"dropping-particle":"","family":"Abramova","given":"Tatiana","non-dropping-particle":"","parse-names":false,"suffix":""},{"dropping-particle":"","family":"Guo","given":"Yuee","non-dropping-particle":"","parse-names":false,"suffix":""},{"dropping-particle":"","family":"Waypa","given":"Tonya S.","non-dropping-particle":"","parse-names":false,"suffix":""},{"dropping-particle":"","family":"He","given":"Shu Mei","non-dropping-particle":"","parse-names":false,"suffix":""},{"dropping-particle":"","family":"Nakagawa","given":"Yasushi","non-dropping-particle":"","parse-names":false,"suffix":""},{"dropping-particle":"","family":"Chang","given":"Eugene B.","non-dropping-particle":"","parse-names":false,"suffix":""}],"container-title":"Inflammatory Bowel Diseases","id":"ITEM-1","issue":"10","issued":{"date-parts":[["2009","10","1"]]},"page":"1537-1547","publisher":"Oxford Academic","title":"Bacteria-free solution derived from Lactobacillus plantarum inhibits multiple NF-kappaB pathways and inhibits proteasome function","type":"article-journal","volume":"15"},"uris":["http://www.mendeley.com/documents/?uuid=91e0960d-1af7-3a48-8008-bd6a48b3847b"]},{"id":"ITEM-2","itemData":{"DOI":"10.1016/j.jsb.2006.04.012","ISSN":"10478477","PMID":"16919475","abstract":"Protein degradation by 20S proteasomes in vivo requires ATP hydrolysis by associated hexameric AAA ATPase complexes such as PAN in archaea and the homologous ATPases in the eukaryotic 26S proteasome. This review discusses recent insights into their multistep mechanisms and the roles of ATP. We have focused on the PAN complex, which offers many advantages for mechanistic and structural studies over the more complex 26S proteasome. By single-particle EM, PAN resembles a \"top-hat\" capping the ends of the 20S proteasome and resembles densities in the base of the 19S regulatory complex. The binding of ATP promotes formation of the PAN-20S complex, which induces opening of a gate for substrate entry into the 20S. PAN's C-termini, containing a conserved motif, docks into pockets in the 20S's α ring and causes gate opening. Surprisingly, once substrates are unfolded, their translocation into the 20S requires ATP-binding but not hydrolysis and can occur by facilitated diffusion through the ATPase in its ATP-bound form. ATP therefore serves multiple functions in proteolysis and the only step that absolutely requires ATP hydrolysis is the unfolding of globular proteins. The 26S proteasome appears to function by similar mechanisms. © 2006 Elsevier Inc. All rights reserved.","author":[{"dropping-particle":"","family":"Smith","given":"David M.","non-dropping-particle":"","parse-names":false,"suffix":""},{"dropping-particle":"","family":"Benaroudj","given":"Nadia","non-dropping-particle":"","parse-names":false,"suffix":""},{"dropping-particle":"","family":"Goldberg","given":"Alfred","non-dropping-particle":"","parse-names":false,"suffix":""}],"container-title":"Journal of Structural Biology","id":"ITEM-2","issue":"1","issued":{"date-parts":[["2006","10","1"]]},"page":"72-83","publisher":"Academic Press","title":"Proteasomes and their associated ATPases: A destructive combination","type":"article","volume":"156"},"uris":["http://www.mendeley.com/documents/?uuid=b4e6090d-a862-3024-9a3c-df23531f6268"]}],"mendeley":{"formattedCitation":"&lt;sup&gt;45,46&lt;/sup&gt;","plainTextFormattedCitation":"45,46","previouslyFormattedCitation":"&lt;sup&gt;45,46&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45,46</w:t>
            </w:r>
            <w:r w:rsidRPr="007D001E">
              <w:rPr>
                <w:rFonts w:ascii="Calibri" w:eastAsia="Times New Roman" w:hAnsi="Calibri" w:cs="Calibri"/>
                <w:lang w:val="en-GB" w:eastAsia="nl-NL"/>
              </w:rPr>
              <w:fldChar w:fldCharType="end"/>
            </w:r>
          </w:p>
        </w:tc>
      </w:tr>
      <w:tr w:rsidR="00822D13" w:rsidRPr="007D001E" w14:paraId="1D4C51AC" w14:textId="77777777" w:rsidTr="00890C83">
        <w:trPr>
          <w:trHeight w:val="300"/>
          <w:jc w:val="center"/>
        </w:trPr>
        <w:tc>
          <w:tcPr>
            <w:tcW w:w="4390" w:type="dxa"/>
            <w:shd w:val="clear" w:color="auto" w:fill="auto"/>
            <w:noWrap/>
            <w:vAlign w:val="bottom"/>
            <w:hideMark/>
          </w:tcPr>
          <w:p w14:paraId="09C081EB" w14:textId="77777777" w:rsidR="00822D13" w:rsidRPr="00822D13" w:rsidRDefault="00822D13" w:rsidP="00890C83">
            <w:pPr>
              <w:spacing w:after="0" w:line="300" w:lineRule="auto"/>
              <w:jc w:val="both"/>
              <w:rPr>
                <w:rFonts w:ascii="Calibri" w:eastAsia="Times New Roman" w:hAnsi="Calibri" w:cs="Calibri"/>
                <w:color w:val="000000"/>
                <w:lang w:val="en-GB" w:eastAsia="nl-NL"/>
              </w:rPr>
            </w:pPr>
            <w:r w:rsidRPr="00822D13">
              <w:rPr>
                <w:rFonts w:ascii="Calibri" w:eastAsia="Times New Roman" w:hAnsi="Calibri" w:cs="Calibri"/>
                <w:color w:val="000000"/>
                <w:lang w:val="en-GB" w:eastAsia="nl-NL"/>
              </w:rPr>
              <w:t>NF kappa B signaling pathway</w:t>
            </w:r>
          </w:p>
        </w:tc>
        <w:tc>
          <w:tcPr>
            <w:tcW w:w="4252" w:type="dxa"/>
            <w:shd w:val="clear" w:color="auto" w:fill="auto"/>
            <w:noWrap/>
          </w:tcPr>
          <w:p w14:paraId="3944BE7B" w14:textId="308BBF88"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{"citationItems":[{"id":"ITEM-1","itemData":{"DOI":"10.1136/gut.43.6.856","ISSN":"00175749","PMID":"9824616","abstract":"NF-κB is a pleiotropic transcription factor with key functions in the intestinal immune system. NF-κB family members control transcriptional activity of various promoters of proinflammatory cytokines, cell surface receptors, transcription factors, and adhesion molecules that are involved in intestinal inflammation. The perpetuated activation of NF-κB in patients with active inflammatory bowel disease suggests that regulation of NF-κB activity is a very attractive target for therapeutic intervention. Such strategies include antioxidants, proteasome inhibitors, inhibition of NF-κB by adenoviral IκBα expression vectors, and antisense DNA targeting of NF- κB. These approaches will hopefully permit the design of new treatment strategies for chronic intestinal inflammation.","author":[{"dropping-particle":"","family":"Neurath","given":"M. F.","non-dropping-particle":"","parse-names":false,"suffix":""},{"dropping-particle":"","family":"Becker","given":"C.","non-dropping-particle":"","parse-names":false,"suffix":""},{"dropping-particle":"","family":"Barbulescu","given":"K.","non-dropping-particle":"","parse-names":false,"suffix":""}],"container-title":"Gut","id":"ITEM-1","issue":"6","issued":{"date-parts":[["1998","12","1"]]},"page":"856-860","publisher":"BMJ Publishing Group","title":"Role of NF-κB in immune and inflammatory responses in the gut","type":"article","volume":"43"},"uris":["http://www.mendeley.com/documents/?uuid=1d9a610c-2508-3797-b66b-eb024040a4aa"]},{"id":"ITEM-2","itemData":{"DOI":"10.1111/j.1600-065X.2012.01109.x","ISSN":"01052896","PMID":"22435565","abstract":"Since its discovery, nuclear factor-κB (NF-κB) has been recognized as a critical regulator of immune responses. While early studies focused on studying the role of NF-κB in the development and function of immune cells, more recently the function of the inhibitor of NF-κB kinase (IKK)/NF-κB pathway in non-immune cells has gained increased attention. Studies in genetic mouse models were instrumental in dissecting the cell-specific functions of NF-κB and provided experimental evidence that NF-κB signaling in epithelial cells is important for the maintenance of immune homeostasis in barrier tissues such as the skin and the intestine. Increased activation of IKK/NF-κB triggered cytokine expression by the epithelial cells, resulting in exacerbated tissue inflammatory responses. NF-κB inhibition in keratinocytes triggered severe tumor necrosis factor-dependent skin inflammation and epidermal hyperplasia, while inhibition of IKK/NF-κB signaling in intestinal epithelial cells disturbed the intestinal barrier and triggered severe chronic colon inflammation. Therefore, epithelial NF-κB signaling performs critical 'peace keeping' functions in barrier tissues at the interface with the environment by regulating cell survival, barrier integrity, and the immunological and anti-microbial responses of epithelial cells. Improved understanding of epithelial NF-κB functions may hold the key for elucidating the etiology and pathophysiology of chronic inflammatory diseases in epithelial tissues. © 2012 John Wiley &amp; Sons A/S.","author":[{"dropping-particle":"","family":"Pasparakis","given":"Manolis","non-dropping-particle":"","parse-names":false,"suffix":""}],"container-title":"Immunological Reviews","id":"ITEM-2","issue":"1","issued":{"date-parts":[["2012","3","1"]]},"page":"346-358","publisher":"John Wiley &amp; Sons, Ltd","title":"Role of NF-κB in epithelial biology","type":"article-journal","volume":"246"},"uris":["http://www.mendeley.com/documents/?uuid=f6cd6957-5d5c-3142-a077-270feee1ea5e"]}],"mendeley":{"formattedCitation":"&lt;sup&gt;25,26&lt;/sup&gt;","plainTextFormattedCitation":"25,26","previouslyFormattedCitation":"&lt;sup&gt;25,26&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25,26</w:t>
            </w:r>
            <w:r w:rsidRPr="007D001E">
              <w:rPr>
                <w:rFonts w:ascii="Calibri" w:eastAsia="Times New Roman" w:hAnsi="Calibri" w:cs="Calibri"/>
                <w:lang w:val="en-GB" w:eastAsia="nl-NL"/>
              </w:rPr>
              <w:fldChar w:fldCharType="end"/>
            </w:r>
          </w:p>
        </w:tc>
      </w:tr>
      <w:tr w:rsidR="00822D13" w:rsidRPr="007D001E" w14:paraId="10FA9CBD" w14:textId="77777777" w:rsidTr="00890C83">
        <w:trPr>
          <w:trHeight w:val="300"/>
          <w:jc w:val="center"/>
        </w:trPr>
        <w:tc>
          <w:tcPr>
            <w:tcW w:w="4390" w:type="dxa"/>
            <w:shd w:val="clear" w:color="auto" w:fill="auto"/>
            <w:noWrap/>
            <w:vAlign w:val="bottom"/>
            <w:hideMark/>
          </w:tcPr>
          <w:p w14:paraId="13E5F6EC"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Spliceosome</w:t>
            </w:r>
          </w:p>
        </w:tc>
        <w:tc>
          <w:tcPr>
            <w:tcW w:w="4252" w:type="dxa"/>
            <w:shd w:val="clear" w:color="auto" w:fill="auto"/>
            <w:noWrap/>
          </w:tcPr>
          <w:p w14:paraId="783E817D" w14:textId="7C388D20"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{"citationItems":[{"id":"ITEM-1","itemData":{"DOI":"10.1016/j.cell.2009.02.009","ISSN":"00928674","PMID":"19239890","abstract":"Ribonucleoproteins (RNPs) mediate key cellular functions such as gene expression and its regulation. Whereas most RNP enzymes are stable in composition and harbor preformed active sites, the spliceosome, which removes noncoding introns from precursor messenger RNAs (pre-mRNAs), follows fundamentally different strategies. In order to provide both accuracy to the recognition of reactive splice sites in the pre-mRNA and flexibility to the choice of splice sites during alternative splicing, the spliceosome exhibits exceptional compositional and structural dynamics that are exploited during substrate-dependent complex assembly, catalytic activation, and active site remodeling. © 2009 Elsevier Inc. All rights reserved.","author":[{"dropping-particle":"","family":"Wahl","given":"Markus C.","non-dropping-particle":"","parse-names":false,"suffix":""},{"dropping-particle":"","family":"Will","given":"Cindy L.","non-dropping-particle":"","parse-names":false,"suffix":""},{"dropping-particle":"","family":"Lührmann","given":"Reinhard","non-dropping-particle":"","parse-names":false,"suffix":""}],"container-title":"Cell","id":"ITEM-1","issue":"4","issued":{"date-parts":[["2009","2","20"]]},"page":"701-718","publisher":"Elsevier B.V.","title":"The Spliceosome: Design Principles of a Dynamic RNP Machine","type":"article","volume":"136"},"uris":["http://www.mendeley.com/documents/?uuid=9a8c1ba9-b304-35ba-b0c5-7b8eb81017f2"]}],"mendeley":{"formattedCitation":"&lt;sup&gt;47&lt;/sup&gt;","plainTextFormattedCitation":"47","previouslyFormattedCitation":"&lt;sup&gt;47&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47</w:t>
            </w:r>
            <w:r w:rsidRPr="007D001E">
              <w:rPr>
                <w:rFonts w:ascii="Calibri" w:eastAsia="Times New Roman" w:hAnsi="Calibri" w:cs="Calibri"/>
                <w:lang w:val="en-GB" w:eastAsia="nl-NL"/>
              </w:rPr>
              <w:fldChar w:fldCharType="end"/>
            </w:r>
          </w:p>
        </w:tc>
      </w:tr>
      <w:tr w:rsidR="00822D13" w:rsidRPr="007D001E" w14:paraId="29A5EDC0" w14:textId="77777777" w:rsidTr="00890C83">
        <w:trPr>
          <w:trHeight w:val="300"/>
          <w:jc w:val="center"/>
        </w:trPr>
        <w:tc>
          <w:tcPr>
            <w:tcW w:w="4390" w:type="dxa"/>
            <w:shd w:val="clear" w:color="auto" w:fill="auto"/>
            <w:noWrap/>
            <w:vAlign w:val="bottom"/>
            <w:hideMark/>
          </w:tcPr>
          <w:p w14:paraId="795BA9BE"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Pathogenic Escherichia Coli infection</w:t>
            </w:r>
          </w:p>
        </w:tc>
        <w:tc>
          <w:tcPr>
            <w:tcW w:w="4252" w:type="dxa"/>
            <w:shd w:val="clear" w:color="auto" w:fill="auto"/>
            <w:noWrap/>
          </w:tcPr>
          <w:p w14:paraId="4C8BC8DF" w14:textId="7C6CA244"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{"citationItems":[{"id":"ITEM-1","itemData":{"DOI":"10.1111/cmi.12179","ISSN":"14625814","PMID":"23927593","abstract":"Summary: Enteropathogenic and enterohaemorrhagic Escherichia coli use a novel infection strategy to colonize the gut epithelium, involving translocation of their own receptor, Tir, via a type III secretion system and subsequent formation of attaching and effecting (A/E) lesions. Following integration into the host cell plasma membrane of cultured cells, and clustering by the outer membrane adhesin intimin, Tir triggers multiple actin polymerization pathways involving host and bacterial adaptor proteins that converge on the host Arp2/3 actin nucleator. Although initially thought to be involved in A/E lesion formation, recent data have shown that the known Tir-induced actin polymerization pathways are dispensable for this activity, but can play other major roles in colonization efficiency, in vivo fitness and systemic disease. In this review we summarize the roadmap leading from the discovery of Tir, through the different actin polymerization pathways it triggers, to our current understanding of their physiological functions. © 2013 John Wiley &amp; Sons Ltd.","author":[{"dropping-particle":"","family":"Lai","given":"Yushuan","non-dropping-particle":"","parse-names":false,"suffix":""},{"dropping-particle":"","family":"Rosenshine","given":"Ilan","non-dropping-particle":"","parse-names":false,"suffix":""},{"dropping-particle":"","family":"Leong","given":"John M.","non-dropping-particle":"","parse-names":false,"suffix":""},{"dropping-particle":"","family":"Frankel","given":"Gad","non-dropping-particle":"","parse-names":false,"suffix":""}],"container-title":"Cellular Microbiology","id":"ITEM-1","issue":"11","issued":{"date-parts":[["2013","11","1"]]},"page":"1796-1808","publisher":"John Wiley &amp; Sons, Ltd","title":"Intimate host attachment: Enteropathogenic and enterohaemorrhagic Escherichia coli","type":"article","volume":"15"},"uris":["http://www.mendeley.com/documents/?uuid=27d5782b-d895-3242-b042-0615b1fe51a9"]}],"mendeley":{"formattedCitation":"&lt;sup&gt;20&lt;/sup&gt;","plainTextFormattedCitation":"20","previouslyFormattedCitation":"&lt;sup&gt;20&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20</w:t>
            </w:r>
            <w:r w:rsidRPr="007D001E">
              <w:rPr>
                <w:rFonts w:ascii="Calibri" w:eastAsia="Times New Roman" w:hAnsi="Calibri" w:cs="Calibri"/>
                <w:lang w:val="en-GB" w:eastAsia="nl-NL"/>
              </w:rPr>
              <w:fldChar w:fldCharType="end"/>
            </w:r>
          </w:p>
        </w:tc>
      </w:tr>
      <w:tr w:rsidR="00822D13" w:rsidRPr="007D001E" w14:paraId="5EB6EE4A" w14:textId="77777777" w:rsidTr="00890C83">
        <w:trPr>
          <w:trHeight w:val="300"/>
          <w:jc w:val="center"/>
        </w:trPr>
        <w:tc>
          <w:tcPr>
            <w:tcW w:w="4390" w:type="dxa"/>
            <w:shd w:val="clear" w:color="auto" w:fill="auto"/>
            <w:noWrap/>
            <w:vAlign w:val="bottom"/>
            <w:hideMark/>
          </w:tcPr>
          <w:p w14:paraId="5D9EB750"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Ribosome biogenesis in eukaryotes</w:t>
            </w:r>
          </w:p>
        </w:tc>
        <w:tc>
          <w:tcPr>
            <w:tcW w:w="4252" w:type="dxa"/>
            <w:shd w:val="clear" w:color="auto" w:fill="auto"/>
            <w:noWrap/>
          </w:tcPr>
          <w:p w14:paraId="2CEB6CBA" w14:textId="76BBA977"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{"citationItems":[{"id":"ITEM-1","itemData":{"DOI":"10.1038/s41418-020-0548-6","ISSN":"14765403","PMID":"32355182","abstract":"Ribosome biogenesis inhibition causes cell cycle arrest and apoptosis through the activation of tumor suppressor-dependent surveillance pathways. These responses are exacerbated in cancer cells, suggesting that targeting ribosome synthesis may be beneficial to patients. Here, we characterize the effect of the loss-of-function of Notchless (Nle), an essential actor of ribosome biogenesis, on the intestinal epithelium undergoing tumor initiation due to acute Apc loss-of-function. We show that ribosome biogenesis dysfunction strongly alleviates Wnt-driven tumor initiation by restoring cell cycle exit and differentiation in Apc-deficient progenitors. Conversely Wnt hyperactivation attenuates the cellular responses to surveillance pathways activation induced by ribosome biogenesis dysfunction, as proliferation was maintained at control-like levels in the stem cells and progenitors of double mutants. Thus, our data indicate that, while ribosome biogenesis inhibition efficiently reduces cancer cell proliferation in the intestinal epithelium, enhanced resistance of Apc-deficient stem and progenitor cells to ribosome biogenesis defects may be an important concern when using a therapeutic strategy targeting ribosome production for the treatment of Wnt-dependent tumorigenesis.","author":[{"dropping-particle":"","family":"Raveux","given":"Aurélien","non-dropping-particle":"","parse-names":false,"suffix":""},{"dropping-particle":"","family":"Stedman","given":"Aline","non-dropping-particle":"","parse-names":false,"suffix":""},{"dropping-particle":"","family":"Coqueran","given":"Sabrina","non-dropping-particle":"","parse-names":false,"suffix":""},{"dropping-particle":"","family":"Vandormael-Pournin","given":"Sandrine","non-dropping-particle":"","parse-names":false,"suffix":""},{"dropping-particle":"","family":"Owens","given":"Nick","non-dropping-particle":"","parse-names":false,"suffix":""},{"dropping-particle":"","family":"Romagnolo","given":"Béatrice","non-dropping-particle":"","parse-names":false,"suffix":""},{"dropping-particle":"","family":"Cohen-Tannoudji","given":"Michel","non-dropping-particle":"","parse-names":false,"suffix":""}],"container-title":"Cell Death and Differentiation","id":"ITEM-1","issue":"10","issued":{"date-parts":[["2020","10","1"]]},"page":"2872-2887","publisher":"Springer Nature","title":"Compensation between Wnt-driven tumorigenesis and cellular responses to ribosome biogenesis inhibition in the murine intestinal epithelium","type":"article-journal","volume":"27"},"uris":["http://www.mendeley.com/documents/?uuid=c6c38347-335b-3c9c-b57d-467baf06c6b5"]},{"id":"ITEM-2","itemData":{"DOI":"10.1038/cdd.2015.57","ISSN":"14765403","PMID":"26068591","abstract":"Ribosome biogenesis is an essential cellular process. Its impairment is associated with developmental defects and increased risk of cancer. The in vivo cellular responses to defective ribosome biogenesis and the underlying molecular mechanisms are still incompletely understood. In particular, the consequences of impaired ribosome biogenesis within the intestinal epithelium in mammals have not been investigated so far. Here we adopted a genetic approach to investigate the role of Notchless (NLE), an essential actor of ribosome biogenesis, in the adult mouse intestinal lineage. Nle deficiency led to defects in the synthesis of large ribosomal subunit in crypts cells and resulted in the rapid elimination of intestinal stem cells and progenitors through distinct types of cellular responses, including apoptosis, cell cycle arrest and biased differentiation toward the goblet cell lineage. Similar observations were made using the rRNA transcription inhibitor CX-5461 on intestinal organoids culture. Importantly, we found that p53 activation was responsible for most of the cellular responses observed, including differentiation toward the goblet cell lineage. Moreover, we identify the goblet cell-specific marker Muc2 as a direct transcriptional target of p53. Nle-deficient ISCs and progenitors disappearance persisted in the absence of p53, underlying the existence of p53-independent cellular responses following defective ribosome biogenesis. Our data indicate that NLE is a crucial factor for intestinal homeostasis and provide new insights into how perturbations of ribosome biogenesis impact on cell fate decisions within the intestinal epithelium.","author":[{"dropping-particle":"","family":"Stedman","given":"A.","non-dropping-particle":"","parse-names":false,"suffix":""},{"dropping-particle":"","family":"Beck-Cormier","given":"S.","non-dropping-particle":"","parse-names":false,"suffix":""},{"dropping-particle":"","family":"Bouteiller","given":"M.","non-dropping-particle":"Le","parse-names":false,"suffix":""},{"dropping-particle":"","family":"Raveux","given":"A.","non-dropping-particle":"","parse-names":false,"suffix":""},{"dropping-particle":"","family":"Vandormael-Pournin","given":"S.","non-dropping-particle":"","parse-names":false,"suffix":""},{"dropping-particle":"","family":"Coqueran","given":"S.","non-dropping-particle":"","parse-names":false,"suffix":""},{"dropping-particle":"","family":"Lejour","given":"V.","non-dropping-particle":"","parse-names":false,"suffix":""},{"dropping-particle":"","family":"Jarzebowski","given":"L.","non-dropping-particle":"","parse-names":false,"suffix":""},{"dropping-particle":"","family":"Toledo","given":"F.","non-dropping-particle":"","parse-names":false,"suffix":""},{"dropping-particle":"","family":"Robine","given":"S.","non-dropping-particle":"","parse-names":false,"suffix":""},{"dropping-particle":"","family":"Cohen-Tannoudji","given":"M.","non-dropping-particle":"","parse-names":false,"suffix":""}],"container-title":"Cell Death and Differentiation","id":"ITEM-2","issue":"11","issued":{"date-parts":[["2015","11","1"]]},"page":"1865-1876","publisher":"Nature Publishing Group","title":"Ribosome biogenesis dysfunction leads to p53-mediated apoptosis and goblet cell differentiation of mouse intestinal stem/progenitor cells","type":"article-journal","volume":"22"},"uris":["http://www.mendeley.com/documents/?uuid=7d5221f3-214f-3d09-ae50-e63e93ebe28d"]}],"mendeley":{"formattedCitation":"&lt;sup&gt;48,49&lt;/sup&gt;","plainTextFormattedCitation":"48,49","previouslyFormattedCitation":"&lt;sup&gt;48,49&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48,49</w:t>
            </w:r>
            <w:r w:rsidRPr="007D001E">
              <w:rPr>
                <w:rFonts w:ascii="Calibri" w:eastAsia="Times New Roman" w:hAnsi="Calibri" w:cs="Calibri"/>
                <w:lang w:val="en-GB" w:eastAsia="nl-NL"/>
              </w:rPr>
              <w:fldChar w:fldCharType="end"/>
            </w:r>
          </w:p>
        </w:tc>
      </w:tr>
      <w:tr w:rsidR="00822D13" w:rsidRPr="007D001E" w14:paraId="17B34B64" w14:textId="77777777" w:rsidTr="00890C83">
        <w:trPr>
          <w:trHeight w:val="300"/>
          <w:jc w:val="center"/>
        </w:trPr>
        <w:tc>
          <w:tcPr>
            <w:tcW w:w="4390" w:type="dxa"/>
            <w:shd w:val="clear" w:color="auto" w:fill="auto"/>
            <w:noWrap/>
            <w:vAlign w:val="bottom"/>
            <w:hideMark/>
          </w:tcPr>
          <w:p w14:paraId="2AE07B1B"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RNA transport</w:t>
            </w:r>
          </w:p>
        </w:tc>
        <w:tc>
          <w:tcPr>
            <w:tcW w:w="4252" w:type="dxa"/>
            <w:shd w:val="clear" w:color="auto" w:fill="auto"/>
            <w:noWrap/>
          </w:tcPr>
          <w:p w14:paraId="00DF75B5" w14:textId="799BF5E5"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{"citationItems":[{"id":"ITEM-1","itemData":{"DOI":"10.1016/j.biolcel.2004.04.014","ISSN":"02484900","PMID":"15519698","abstract":"A defining feature of eukaryotic cells is the presence of a nuclear envelope separating transcription and DNA replication in the nucleus from the site of protein synthesis in the cytoplasm. The regulation of gene expression relies in part on the controlled exchange of molecules between these two compartments. Factors implicated in transcription regulation and DNA replication have to be imported into the nucleus, whereas RNAs produced in the nucleus have to be exported, either to fulfill their function in protein synthesis or to mature into functional particles. This review summarizes studies performed over the last 15 years that led to the identification of cellular factors mediating nuclear export of the different classes of RNAs, including tRNAs, UsnRNAs, micro-RNAs, ribosomal RNAs and mRNAs. We also discuss recent evidence indicating that the nuclear transport step is intimately linked to RNA synthesis, processing and mRNP assembly, thus ensuring that only properly matured ribonucleoprotein (RNP) complexes reach the cytoplasm. © 2004 Elsevier SAS. All rights reserved.","author":[{"dropping-particle":"","family":"Rodriguez","given":"Manuel S.","non-dropping-particle":"","parse-names":false,"suffix":""},{"dropping-particle":"","family":"Dargemont","given":"Catherine","non-dropping-particle":"","parse-names":false,"suffix":""},{"dropping-particle":"","family":"Stutz","given":"Françoise","non-dropping-particle":"","parse-names":false,"suffix":""}],"container-title":"Biology of the Cell","id":"ITEM-1","issue":"8","issued":{"date-parts":[["2004","10","1"]]},"page":"639-655","publisher":"Elsevier","title":"Nuclear export of RNA","type":"article","volume":"96"},"uris":["http://www.mendeley.com/documents/?uuid=a28fd803-9665-371c-a34d-b8d62093bfbf"]}],"mendeley":{"formattedCitation":"&lt;sup&gt;50&lt;/sup&gt;","plainTextFormattedCitation":"50","previouslyFormattedCitation":"&lt;sup&gt;50&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50</w:t>
            </w:r>
            <w:r w:rsidRPr="007D001E">
              <w:rPr>
                <w:rFonts w:ascii="Calibri" w:eastAsia="Times New Roman" w:hAnsi="Calibri" w:cs="Calibri"/>
                <w:lang w:val="en-GB" w:eastAsia="nl-NL"/>
              </w:rPr>
              <w:fldChar w:fldCharType="end"/>
            </w:r>
          </w:p>
        </w:tc>
      </w:tr>
      <w:tr w:rsidR="00822D13" w:rsidRPr="007D001E" w14:paraId="13A93D04" w14:textId="77777777" w:rsidTr="00890C83">
        <w:trPr>
          <w:trHeight w:val="300"/>
          <w:jc w:val="center"/>
        </w:trPr>
        <w:tc>
          <w:tcPr>
            <w:tcW w:w="4390" w:type="dxa"/>
            <w:shd w:val="clear" w:color="auto" w:fill="auto"/>
            <w:noWrap/>
            <w:vAlign w:val="bottom"/>
          </w:tcPr>
          <w:p w14:paraId="545FFC5E"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Shigellosis</w:t>
            </w:r>
          </w:p>
        </w:tc>
        <w:tc>
          <w:tcPr>
            <w:tcW w:w="4252" w:type="dxa"/>
            <w:shd w:val="clear" w:color="auto" w:fill="auto"/>
            <w:noWrap/>
          </w:tcPr>
          <w:p w14:paraId="01617A9B" w14:textId="4F9978A2"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{"citationItems":[{"id":"ITEM-1","itemData":{"DOI":"10.2183/pjab.86.229","ISSN":"03862208","PMID":"20228623","abstract":"Bacteria-gut epithelial interplay and the mucosal immune response are the most critical issues in determining the fate of bacterial infection and the severity of diseases. Shigella species (abbreviated here as Shigella), the causative agent of bacillary dysentery (shigellosis), are highly adapted human pathogens that are capable of invading and colonizing the intestinal epithelium, which results in severe inflammatory colitis. Shigella secrete a large and diverse number (more then 50) of effectors via the type III secretion system (TTSS) during infection, some of which are delivered into the surrounding bacterial space and some others into the host cell cytoplasm and nucleus. The delivered effectors mimic and usurp the host cellular functions, and modulate host cell signaling and immune response, thus playing pivotal roles in promoting bacterial infection and circumventing host defense systems. This article overviews the pathogenic characteristics of Shigella, and highlights current topics related to the bacterial infectious stratagem executed by the TTSS-secreted effectors. Though bacterial stratagems and the molecular mechanisms of infection vary greatly among pathogens, the current studies of Shigella provide a paradigm shift in bacterial pathogenesis. © 2010 The Japan Academy.","author":[{"dropping-particle":"","family":"Sasakawa","given":"Chihiro","non-dropping-particle":"","parse-names":false,"suffix":""}],"container-title":"Proceedings of the Japan Academy Series B: Physical and Biological Sciences","id":"ITEM-1","issue":"3","issued":{"date-parts":[["2010","3"]]},"page":"229-243","publisher":"The Japan Academy","title":"A new paradigm of bacteria-gut interplay brought through the study of Shigella","type":"article","volume":"86"},"uris":["http://www.mendeley.com/documents/?uuid=efdbbb8d-d5d6-3ca5-a805-2e902111085c"]},{"id":"ITEM-2","itemData":{"DOI":"10.1128/microbiolspec.bai-0023-2019","ISSN":"2165-0497","PMID":"30953429","abstract":" Shigella is a genus of Gram-negative enteropathogens that have long been, and continue to be, an important public health concern worldwide. Over the past several decades, Shigella spp. have also served as model pathogens in the study of bacterial pathogenesis, and Shigella flexneri has become one of the best-studied pathogens on a molecular, cellular, and tissue level. In the arms race between Shigella and the host immune system, Shigella has developed highly sophisticated mechanisms to subvert host cell processes in order to promote infection, escape immune detection, and prevent bacterial clearance. Here, we give an overview of Shigella pathogenesis while highlighting innovative techniques and methods whose application has significantly advanced our understanding of Shigella pathogenesis in recent years. ","author":[{"dropping-particle":"","family":"Schnupf","given":"Pamela","non-dropping-particle":"","parse-names":false,"suffix":""},{"dropping-particle":"","family":"Sansonetti","given":"Philippe J.","non-dropping-particle":"","parse-names":false,"suffix":""}],"container-title":"Microbiology Spectrum","id":"ITEM-2","issue":"2","issued":{"date-parts":[["2019","4","12"]]},"publisher":"American Society for Microbiology","title":" Shigella Pathogenesis: New Insights through Advanced Methodologies ","type":"article-journal","volume":"7"},"uris":["http://www.mendeley.com/documents/?uuid=12156fb9-f34b-3221-b63f-a111ba41ff28"]}],"mendeley":{"formattedCitation":"&lt;sup&gt;22,23&lt;/sup&gt;","plainTextFormattedCitation":"22,23","previouslyFormattedCitation":"&lt;sup&gt;22,23&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22,23</w:t>
            </w:r>
            <w:r w:rsidRPr="007D001E">
              <w:rPr>
                <w:rFonts w:ascii="Calibri" w:eastAsia="Times New Roman" w:hAnsi="Calibri" w:cs="Calibri"/>
                <w:lang w:val="en-GB" w:eastAsia="nl-NL"/>
              </w:rPr>
              <w:fldChar w:fldCharType="end"/>
            </w:r>
          </w:p>
        </w:tc>
      </w:tr>
      <w:tr w:rsidR="00822D13" w:rsidRPr="007D001E" w14:paraId="78AD2722" w14:textId="77777777" w:rsidTr="00890C83">
        <w:trPr>
          <w:trHeight w:val="300"/>
          <w:jc w:val="center"/>
        </w:trPr>
        <w:tc>
          <w:tcPr>
            <w:tcW w:w="4390" w:type="dxa"/>
            <w:shd w:val="clear" w:color="auto" w:fill="auto"/>
            <w:noWrap/>
            <w:vAlign w:val="bottom"/>
          </w:tcPr>
          <w:p w14:paraId="5E96787A"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Protein processing in endoplasmic reticulum</w:t>
            </w:r>
          </w:p>
        </w:tc>
        <w:tc>
          <w:tcPr>
            <w:tcW w:w="4252" w:type="dxa"/>
            <w:shd w:val="clear" w:color="auto" w:fill="auto"/>
            <w:noWrap/>
          </w:tcPr>
          <w:p w14:paraId="4D98C43D" w14:textId="0AA7BC46"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ADDIN CSL_CITATION {"citationItems":[{"id":"ITEM-1","itemData":{"DOI":"10.1016/j.arr.2009.03.001","ISSN":"15681637","PMID":"19491040","abstract":"The endoplasmic reticulum (ER) is a multifunctional organelle which co-ordinates protein folding, lipid biosynthesis, calcium storage and release. Perturbations that disrupt ER homeostasis lead to the misfolding of proteins, ER stress and up-regulation of a signaling pathway called the ER stress response or the unfolded protein response (UPR). The UPR is characterized by the induction of chaperones, degradation of misfolded proteins and attenuation of protein translation. Age-related declines and activity in key molecular chaperones and folding enzymes compromise proper protein folding and the adaptive response of the UPR. This review will highlight age-related changes in the protein folding machinery and in the UPR. © 2009 Elsevier Ireland Ltd. All rights reserved.","author":[{"dropping-particle":"","family":"Naidoo","given":"Nirinjini","non-dropping-particle":"","parse-names":false,"suffix":""}],"container-title":"Ageing Research Reviews","id":"ITEM-1","issue":"3","issued":{"date-parts":[["2009","7","1"]]},"page":"150-159","publisher":"Elsevier","title":"ER and aging-Protein folding and the ER stress response","type":"article","volume":"8"},"uris":["http://www.mendeley.com/documents/?uuid=93b07487-5be8-3801-b20c-2d697f7d64f3"]},{"id":"ITEM-2","itemData":{"DOI":"10.1016/j.semcdb.2010.03.006","ISSN":"10849521","abstract":"The mechanism, in molecular terms of protein quality control, specifically of how the cell recognizes and discriminates misfolded proteins, remains a challenge. In the secretory pathway the folding status of glycoproteins passing through the endoplasmic reticulum is marked by the composition of the N-glycan. The different glycoforms are recognized by specialized lectins. The folding sensor UGGT acts as an unusual molecular chaperone and covalently modifies the Man9 N-glycan of a misfolded protein by adding a glucose moiety and converts it to Glc1Man9 that rebinds the lectin calnexin. However, further links between the folding status of a glycoprotein and the composition of the N-glycan are unclear. There is little unequivocal evidence for other proteins in the ER recognizing the N-glycan and also acting as molecular chaperones. Nevertheless, based upon a few examples, we suggest that this function is carried out by individual proteins in several different complexes. Thus, calnexin binds the protein disulfide isomerase ERp57, that acts upon Glc1Man9 glycoproteins. In another example the protein disulfide isomerase ERdj5 binds specifically to EDEM (which is probably a mannosidase) and a lectin OS9, and reduces the disulfide bonds of bound glycoproteins destined for ERAD. Thus the glycan recognition is performed by a lectin and the chaperone function performed by a specific partner protein that can recognize misfolded proteins. We predict that this will be a common arrangement of proteins in the ER and that members of protein foldase families such as PDI and PPI will bind specifically to lectins in the ER. Molecular chaperones BiP and GRp94 will assist in the folding of proteins bound in these complexes as well as in the folding of non-glycoproteins. © 2010 Elsevier Ltd. All rights reserved.","author":[{"dropping-particle":"","family":"Määttänen","given":"Pekka","non-dropping-particle":"","parse-names":false,"suffix":""},{"dropping-particle":"","family":"Gehring","given":"Kalle","non-dropping-particle":"","parse-names":false,"suffix":""},{"dropping-particle":"","family":"Bergeron","given":"John J.M.","non-dropping-particle":"","parse-names":false,"suffix":""},{"dropping-particle":"","family":"Thomas","given":"David Y.","non-dropping-particle":"","parse-names":false,"suffix":""}],"container-title":"Seminars in Cell and Developmental Biology","id":"ITEM-2","issue":"5","issued":{"date-parts":[["2010","7","1"]]},"page":"500-511","publisher":"Elsevier Ltd","title":"Protein quality control in the ER: The recognition of misfolded proteins","type":"article","volume":"21"},"uris":["http://www.mendeley.com/documents/?uuid=bd26da0e-ee21-3aa8-9d0f-2cdc1b174613"]}],"mendeley":{"formattedCitation":"&lt;sup&gt;61,62&lt;/sup&gt;","plainTextFormattedCitation":"61,62","previouslyFormattedCitation":"&lt;sup&gt;61,62&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61,62</w:t>
            </w:r>
            <w:r w:rsidRPr="007D001E">
              <w:rPr>
                <w:rFonts w:ascii="Calibri" w:eastAsia="Times New Roman" w:hAnsi="Calibri" w:cs="Calibri"/>
                <w:lang w:val="en-GB" w:eastAsia="nl-NL"/>
              </w:rPr>
              <w:fldChar w:fldCharType="end"/>
            </w:r>
          </w:p>
        </w:tc>
      </w:tr>
      <w:tr w:rsidR="00822D13" w:rsidRPr="007D001E" w14:paraId="5868A812" w14:textId="77777777" w:rsidTr="00890C83">
        <w:trPr>
          <w:trHeight w:val="300"/>
          <w:jc w:val="center"/>
        </w:trPr>
        <w:tc>
          <w:tcPr>
            <w:tcW w:w="4390" w:type="dxa"/>
            <w:shd w:val="clear" w:color="auto" w:fill="auto"/>
            <w:noWrap/>
            <w:vAlign w:val="bottom"/>
          </w:tcPr>
          <w:p w14:paraId="25C32E6D" w14:textId="77777777" w:rsidR="00822D13" w:rsidRPr="007D001E" w:rsidRDefault="00822D13" w:rsidP="00890C83">
            <w:pPr>
              <w:spacing w:after="0" w:line="300" w:lineRule="auto"/>
              <w:jc w:val="both"/>
              <w:rPr>
                <w:rFonts w:ascii="Calibri" w:eastAsia="Times New Roman" w:hAnsi="Calibri" w:cs="Calibri"/>
                <w:color w:val="000000"/>
                <w:lang w:val="en-GB" w:eastAsia="nl-NL"/>
              </w:rPr>
            </w:pPr>
            <w:r w:rsidRPr="007D001E">
              <w:rPr>
                <w:rFonts w:ascii="Calibri" w:eastAsia="Times New Roman" w:hAnsi="Calibri" w:cs="Calibri"/>
                <w:color w:val="000000"/>
                <w:lang w:val="en-GB" w:eastAsia="nl-NL"/>
              </w:rPr>
              <w:t>Starch and sucrose metabolism</w:t>
            </w:r>
          </w:p>
        </w:tc>
        <w:tc>
          <w:tcPr>
            <w:tcW w:w="4252" w:type="dxa"/>
            <w:shd w:val="clear" w:color="auto" w:fill="auto"/>
            <w:noWrap/>
            <w:vAlign w:val="bottom"/>
          </w:tcPr>
          <w:p w14:paraId="4BD8D4CD" w14:textId="4F5D4C29" w:rsidR="00822D13" w:rsidRPr="007D001E" w:rsidRDefault="00822D13" w:rsidP="00890C83">
            <w:pPr>
              <w:spacing w:after="0" w:line="300" w:lineRule="auto"/>
              <w:jc w:val="both"/>
              <w:rPr>
                <w:rFonts w:ascii="Calibri" w:eastAsia="Times New Roman" w:hAnsi="Calibri" w:cs="Calibri"/>
                <w:lang w:val="en-GB" w:eastAsia="nl-NL"/>
              </w:rPr>
            </w:pPr>
            <w:r w:rsidRPr="007D001E">
              <w:rPr>
                <w:rFonts w:ascii="Calibri" w:eastAsia="Times New Roman" w:hAnsi="Calibri" w:cs="Calibri"/>
                <w:lang w:val="en-GB" w:eastAsia="nl-NL"/>
              </w:rPr>
              <w:fldChar w:fldCharType="begin" w:fldLock="1"/>
            </w:r>
            <w:r w:rsidR="004802B1">
              <w:rPr>
                <w:rFonts w:ascii="Calibri" w:eastAsia="Times New Roman" w:hAnsi="Calibri" w:cs="Calibri"/>
                <w:lang w:val="en-GB" w:eastAsia="nl-NL"/>
              </w:rPr>
              <w:instrText xml:space="preserve">ADDIN CSL_CITATION {"citationItems":[{"id":"ITEM-1","itemData":{"DOI":"10.1016/j.cmet.2017.12.016","ISSN":"19327420","PMID":"29414685","abstract":"Excessive consumption of sweets is a risk factor for metabolic syndrome. A major chemical feature of sweets is fructose. Despite strong ties between fructose and disease, the metabolic fate of fructose in mammals remains incompletely understood. Here we use isotope tracing and mass spectrometry to track the fate of glucose and fructose carbons in vivo, finding that dietary fructose is cleared by the small intestine. Clearance requires the fructose-phosphorylating enzyme ketohexokinase. Low doses of fructose are </w:instrText>
            </w:r>
            <w:r w:rsidR="004802B1">
              <w:rPr>
                <w:rFonts w:ascii="Cambria Math" w:eastAsia="Times New Roman" w:hAnsi="Cambria Math" w:cs="Cambria Math"/>
                <w:lang w:val="en-GB" w:eastAsia="nl-NL"/>
              </w:rPr>
              <w:instrText>∼</w:instrText>
            </w:r>
            <w:r w:rsidR="004802B1">
              <w:rPr>
                <w:rFonts w:ascii="Calibri" w:eastAsia="Times New Roman" w:hAnsi="Calibri" w:cs="Calibri"/>
                <w:lang w:val="en-GB" w:eastAsia="nl-NL"/>
              </w:rPr>
              <w:instrText>90% cleared by the intestine, with only trace fructose but extensive fructose-derived glucose, lactate, and glycerate found in the portal blood. High doses of fructose (≥1 g/kg) overwhelm intestinal fructose absorption and clearance, resulting in fructose reaching both the liver and colonic microbiota. Intestinal fructose clearance is augmented both by prior exposure to fructose and by feeding. We propose that the small intestine shields the liver from otherwise toxic fructose exposure. While it is commonly believed that the liver is the main site of fructose metabolism, Jang et al. show that it is actually the small intestine that clears most dietary fructose, and this is enhanced by feeding. High fructose doses spill over to the liver and to the colonic microbiota.","author":[{"dropping-particle":"","family":"Jang","given":"Cholsoon","non-dropping-particle":"","parse-names":false,"suffix":""},{"dropping-particle":"","family":"Hui","given":"Sheng","non-dropping-particle":"","parse-names":false,"suffix":""},{"dropping-particle":"","family":"Lu","given":"Wenyun","non-dropping-particle":"","parse-names":false,"suffix":""},{"dropping-particle":"","family":"Cowan","given":"Alexis J.","non-dropping-particle":"","parse-names":false,"suffix":""},{"dropping-particle":"","family":"Morscher","given":"Raphael J.","non-dropping-particle":"","parse-names":false,"suffix":""},{"dropping-particle":"","family":"Lee","given":"Gina","non-dropping-particle":"","parse-names":false,"suffix":""},{"dropping-particle":"","family":"Liu","given":"Wei","non-dropping-particle":"","parse-names":false,"suffix":""},{"dropping-particle":"","family":"Tesz","given":"Gregory J.","non-dropping-particle":"","parse-names":false,"suffix":""},{"dropping-particle":"","family":"Birnbaum","given":"Morris J.","non-dropping-particle":"","parse-names":false,"suffix":""},{"dropping-particle":"","family":"Rabinowitz","given":"Joshua D.","non-dropping-particle":"","parse-names":false,"suffix":""}],"container-title":"Cell Metabolism","id":"ITEM-1","issue":"2","issued":{"date-parts":[["2018","2","6"]]},"page":"351-361.e3","publisher":"Cell Press","title":"The Small Intestine Converts Dietary Fructose into Glucose and Organic Acids","type":"article-journal","volume":"27"},"uris":["http://www.mendeley.com/documents/?uuid=c9acc5ef-3b7e-33d2-b51d-29b8f61eb83b"]},{"id":"ITEM-2","itemData":{"DOI":"10.1111/1750-3841.13809","ISSN":"17503841","PMID":"28753728","abstract":"Twenty-five years ago, it was found that a significant fraction of the starch present in foods is not digested in the small intestine and continues to the large intestine, where it is fermented by the microbiota; this fraction was named resistant starch (RS). It was also reported that there is a fraction of starch that is slowly digested, sustaining a release of glucose in the small intestine. Later, health benefits were found to be associated with the consumption of this fraction, called slowly digestible starch (SDS). The authors declare both fractions to be “nutraceutical starch.” An overview of the structure of both fractions (RS and SDS), as well as their nutraceutical characteristics, is presented with the objective of suggesting methods and processes that will increase both fractions in starchy foods and prevent diseases that are associated with the consumption of glycemic carbohydrates.","author":[{"dropping-particle":"","family":"Magallanes-Cruz","given":"Perla A.","non-dropping-particle":"","parse-names":false,"suffix":""},{"dropping-particle":"","family":"Flores-Silva","given":"Pamela C.","non-dropping-particle":"","parse-names":false,"suffix":""},{"dropping-particle":"","family":"Bello-Perez","given":"Luis A.","non-dropping-particle":"","parse-names":false,"suffix":""}],"container-title":"Journal of Food Science","id":"ITEM-2","issue":"9","issued":{"date-parts":[["2017","9","1"]]},"page":"2016-2023","publisher":"Blackwell Publishing Inc.","title":"Starch Structure Influences Its Digestibility: A Review","type":"article","volume":"82"},"uris":["http://www.mendeley.com/documents/?uuid=9aad3a43-6869-3e19-bb5a-474cfb9c449f"]}],"mendeley":{"formattedCitation":"&lt;sup&gt;51,52&lt;/sup&gt;","plainTextFormattedCitation":"51,52","previouslyFormattedCitation":"&lt;sup&gt;51,52&lt;/sup&gt;"},"properties":{"noteIndex":0},"schema":"https://github.com/citation-style-language/schema/raw/master/csl-citation.json"}</w:instrText>
            </w:r>
            <w:r w:rsidRPr="007D001E">
              <w:rPr>
                <w:rFonts w:ascii="Calibri" w:eastAsia="Times New Roman" w:hAnsi="Calibri" w:cs="Calibri"/>
                <w:lang w:val="en-GB" w:eastAsia="nl-NL"/>
              </w:rPr>
              <w:fldChar w:fldCharType="separate"/>
            </w:r>
            <w:r w:rsidR="004802B1" w:rsidRPr="004802B1">
              <w:rPr>
                <w:rFonts w:ascii="Calibri" w:eastAsia="Times New Roman" w:hAnsi="Calibri" w:cs="Calibri"/>
                <w:noProof/>
                <w:vertAlign w:val="superscript"/>
                <w:lang w:val="en-GB" w:eastAsia="nl-NL"/>
              </w:rPr>
              <w:t>51,52</w:t>
            </w:r>
            <w:r w:rsidRPr="007D001E">
              <w:rPr>
                <w:rFonts w:ascii="Calibri" w:eastAsia="Times New Roman" w:hAnsi="Calibri" w:cs="Calibri"/>
                <w:lang w:val="en-GB" w:eastAsia="nl-NL"/>
              </w:rPr>
              <w:fldChar w:fldCharType="end"/>
            </w:r>
          </w:p>
        </w:tc>
      </w:tr>
    </w:tbl>
    <w:p w14:paraId="58EB75C6" w14:textId="67BC13FC" w:rsidR="0002010A" w:rsidRDefault="0002010A"/>
    <w:p w14:paraId="421831EA" w14:textId="37B510C6" w:rsidR="00493503" w:rsidRPr="00493503" w:rsidRDefault="00822D13" w:rsidP="00493503">
      <w:pPr>
        <w:widowControl w:val="0"/>
        <w:autoSpaceDE w:val="0"/>
        <w:autoSpaceDN w:val="0"/>
        <w:adjustRightInd w:val="0"/>
        <w:spacing w:line="240" w:lineRule="auto"/>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00493503" w:rsidRPr="00493503">
        <w:rPr>
          <w:rFonts w:ascii="Calibri" w:hAnsi="Calibri" w:cs="Calibri"/>
          <w:noProof/>
          <w:szCs w:val="24"/>
        </w:rPr>
        <w:t xml:space="preserve">1. </w:t>
      </w:r>
      <w:r w:rsidR="00493503" w:rsidRPr="00493503">
        <w:rPr>
          <w:rFonts w:ascii="Calibri" w:hAnsi="Calibri" w:cs="Calibri"/>
          <w:noProof/>
          <w:szCs w:val="24"/>
        </w:rPr>
        <w:tab/>
        <w:t xml:space="preserve">Waga S, Stillman B. The DNA replication fork in eukaryotic cells. </w:t>
      </w:r>
      <w:r w:rsidR="00493503" w:rsidRPr="00493503">
        <w:rPr>
          <w:rFonts w:ascii="Calibri" w:hAnsi="Calibri" w:cs="Calibri"/>
          <w:i/>
          <w:iCs/>
          <w:noProof/>
          <w:szCs w:val="24"/>
        </w:rPr>
        <w:t>Annu Rev Biochem</w:t>
      </w:r>
      <w:r w:rsidR="00493503" w:rsidRPr="00493503">
        <w:rPr>
          <w:rFonts w:ascii="Calibri" w:hAnsi="Calibri" w:cs="Calibri"/>
          <w:noProof/>
          <w:szCs w:val="24"/>
        </w:rPr>
        <w:t>. 1998;67:721-751. doi:10.1146/annurev.biochem.67.1.721</w:t>
      </w:r>
    </w:p>
    <w:p w14:paraId="353FB021"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2. </w:t>
      </w:r>
      <w:r w:rsidRPr="00493503">
        <w:rPr>
          <w:rFonts w:ascii="Calibri" w:hAnsi="Calibri" w:cs="Calibri"/>
          <w:noProof/>
          <w:szCs w:val="24"/>
        </w:rPr>
        <w:tab/>
        <w:t xml:space="preserve">Li GM. Mechanisms and functions of DNA mismatch repair. </w:t>
      </w:r>
      <w:r w:rsidRPr="00493503">
        <w:rPr>
          <w:rFonts w:ascii="Calibri" w:hAnsi="Calibri" w:cs="Calibri"/>
          <w:i/>
          <w:iCs/>
          <w:noProof/>
          <w:szCs w:val="24"/>
        </w:rPr>
        <w:t>Cell Res</w:t>
      </w:r>
      <w:r w:rsidRPr="00493503">
        <w:rPr>
          <w:rFonts w:ascii="Calibri" w:hAnsi="Calibri" w:cs="Calibri"/>
          <w:noProof/>
          <w:szCs w:val="24"/>
        </w:rPr>
        <w:t>. 2008;18(1):85-98. doi:10.1038/cr.2007.115</w:t>
      </w:r>
    </w:p>
    <w:p w14:paraId="6754BED3"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3. </w:t>
      </w:r>
      <w:r w:rsidRPr="00493503">
        <w:rPr>
          <w:rFonts w:ascii="Calibri" w:hAnsi="Calibri" w:cs="Calibri"/>
          <w:noProof/>
          <w:szCs w:val="24"/>
        </w:rPr>
        <w:tab/>
        <w:t xml:space="preserve">Jiricny J. The multifaceted mismatch-repair system. </w:t>
      </w:r>
      <w:r w:rsidRPr="00493503">
        <w:rPr>
          <w:rFonts w:ascii="Calibri" w:hAnsi="Calibri" w:cs="Calibri"/>
          <w:i/>
          <w:iCs/>
          <w:noProof/>
          <w:szCs w:val="24"/>
        </w:rPr>
        <w:t>Nat Rev Mol Cell Biol</w:t>
      </w:r>
      <w:r w:rsidRPr="00493503">
        <w:rPr>
          <w:rFonts w:ascii="Calibri" w:hAnsi="Calibri" w:cs="Calibri"/>
          <w:noProof/>
          <w:szCs w:val="24"/>
        </w:rPr>
        <w:t>. 2006;7(5):335-346. doi:10.1038/nrm1907</w:t>
      </w:r>
    </w:p>
    <w:p w14:paraId="39298084"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4. </w:t>
      </w:r>
      <w:r w:rsidRPr="00493503">
        <w:rPr>
          <w:rFonts w:ascii="Calibri" w:hAnsi="Calibri" w:cs="Calibri"/>
          <w:noProof/>
          <w:szCs w:val="24"/>
        </w:rPr>
        <w:tab/>
        <w:t xml:space="preserve">Hays L, Frohnmayer D, Frohnmayer L, Larsen K, Owen J. Fanconi Anemia: Guidelines for Diagnosis and Management. </w:t>
      </w:r>
      <w:r w:rsidRPr="00493503">
        <w:rPr>
          <w:rFonts w:ascii="Calibri" w:hAnsi="Calibri" w:cs="Calibri"/>
          <w:i/>
          <w:iCs/>
          <w:noProof/>
          <w:szCs w:val="24"/>
        </w:rPr>
        <w:t>Fanconi Anemia Res Fund, Inc</w:t>
      </w:r>
      <w:r w:rsidRPr="00493503">
        <w:rPr>
          <w:rFonts w:ascii="Calibri" w:hAnsi="Calibri" w:cs="Calibri"/>
          <w:noProof/>
          <w:szCs w:val="24"/>
        </w:rPr>
        <w:t>. Published online June 3, 2014:1-391. Accessed June 22, 2021. http://www.ncbi.nlm.nih.gov/books/NBK1401/</w:t>
      </w:r>
    </w:p>
    <w:p w14:paraId="083415F5"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5. </w:t>
      </w:r>
      <w:r w:rsidRPr="00493503">
        <w:rPr>
          <w:rFonts w:ascii="Calibri" w:hAnsi="Calibri" w:cs="Calibri"/>
          <w:noProof/>
          <w:szCs w:val="24"/>
        </w:rPr>
        <w:tab/>
        <w:t xml:space="preserve">Moldovan GL, D’Andrea AD. How the fanconi anemia pathway guards the genome. </w:t>
      </w:r>
      <w:r w:rsidRPr="00493503">
        <w:rPr>
          <w:rFonts w:ascii="Calibri" w:hAnsi="Calibri" w:cs="Calibri"/>
          <w:i/>
          <w:iCs/>
          <w:noProof/>
          <w:szCs w:val="24"/>
        </w:rPr>
        <w:t>Annu Rev Genet</w:t>
      </w:r>
      <w:r w:rsidRPr="00493503">
        <w:rPr>
          <w:rFonts w:ascii="Calibri" w:hAnsi="Calibri" w:cs="Calibri"/>
          <w:noProof/>
          <w:szCs w:val="24"/>
        </w:rPr>
        <w:t>. 2009;43:223-249. doi:10.1146/annurev-genet-102108-134222</w:t>
      </w:r>
    </w:p>
    <w:p w14:paraId="513B0EDA"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lastRenderedPageBreak/>
        <w:t xml:space="preserve">6. </w:t>
      </w:r>
      <w:r w:rsidRPr="00493503">
        <w:rPr>
          <w:rFonts w:ascii="Calibri" w:hAnsi="Calibri" w:cs="Calibri"/>
          <w:noProof/>
          <w:szCs w:val="24"/>
        </w:rPr>
        <w:tab/>
        <w:t xml:space="preserve">Michel B, Boubakri H, Baharoglu Z, LeMasson M, Lestini R. Recombination proteins and rescue of arrested replication forks. </w:t>
      </w:r>
      <w:r w:rsidRPr="00493503">
        <w:rPr>
          <w:rFonts w:ascii="Calibri" w:hAnsi="Calibri" w:cs="Calibri"/>
          <w:i/>
          <w:iCs/>
          <w:noProof/>
          <w:szCs w:val="24"/>
        </w:rPr>
        <w:t>DNA Repair (Amst)</w:t>
      </w:r>
      <w:r w:rsidRPr="00493503">
        <w:rPr>
          <w:rFonts w:ascii="Calibri" w:hAnsi="Calibri" w:cs="Calibri"/>
          <w:noProof/>
          <w:szCs w:val="24"/>
        </w:rPr>
        <w:t>. 2007;6(7):967-980. doi:10.1016/j.dnarep.2007.02.016</w:t>
      </w:r>
    </w:p>
    <w:p w14:paraId="61B59989"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7. </w:t>
      </w:r>
      <w:r w:rsidRPr="00493503">
        <w:rPr>
          <w:rFonts w:ascii="Calibri" w:hAnsi="Calibri" w:cs="Calibri"/>
          <w:noProof/>
          <w:szCs w:val="24"/>
        </w:rPr>
        <w:tab/>
        <w:t xml:space="preserve">Maloisel L, Fabre F, Gangloff S. DNA Polymerase δ Is Preferentially Recruited during Homologous Recombination To Promote Heteroduplex DNA Extension. </w:t>
      </w:r>
      <w:r w:rsidRPr="00493503">
        <w:rPr>
          <w:rFonts w:ascii="Calibri" w:hAnsi="Calibri" w:cs="Calibri"/>
          <w:i/>
          <w:iCs/>
          <w:noProof/>
          <w:szCs w:val="24"/>
        </w:rPr>
        <w:t>Mol Cell Biol</w:t>
      </w:r>
      <w:r w:rsidRPr="00493503">
        <w:rPr>
          <w:rFonts w:ascii="Calibri" w:hAnsi="Calibri" w:cs="Calibri"/>
          <w:noProof/>
          <w:szCs w:val="24"/>
        </w:rPr>
        <w:t>. 2008;28(4):1373-1382. doi:10.1128/mcb.01651-07</w:t>
      </w:r>
    </w:p>
    <w:p w14:paraId="0ECFFC88"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8. </w:t>
      </w:r>
      <w:r w:rsidRPr="00493503">
        <w:rPr>
          <w:rFonts w:ascii="Calibri" w:hAnsi="Calibri" w:cs="Calibri"/>
          <w:noProof/>
          <w:szCs w:val="24"/>
        </w:rPr>
        <w:tab/>
        <w:t xml:space="preserve">Cramer P, Armache KJ, Baumli S, et al. Structure of eukaryotic RNA polymerases. </w:t>
      </w:r>
      <w:r w:rsidRPr="00493503">
        <w:rPr>
          <w:rFonts w:ascii="Calibri" w:hAnsi="Calibri" w:cs="Calibri"/>
          <w:i/>
          <w:iCs/>
          <w:noProof/>
          <w:szCs w:val="24"/>
        </w:rPr>
        <w:t>Annu Rev Biophys</w:t>
      </w:r>
      <w:r w:rsidRPr="00493503">
        <w:rPr>
          <w:rFonts w:ascii="Calibri" w:hAnsi="Calibri" w:cs="Calibri"/>
          <w:noProof/>
          <w:szCs w:val="24"/>
        </w:rPr>
        <w:t>. 2008;37:337-352. doi:10.1146/annurev.biophys.37.032807.130008</w:t>
      </w:r>
    </w:p>
    <w:p w14:paraId="5C17A620" w14:textId="77777777" w:rsidR="00493503" w:rsidRPr="00F30AD6" w:rsidRDefault="00493503" w:rsidP="00493503">
      <w:pPr>
        <w:widowControl w:val="0"/>
        <w:autoSpaceDE w:val="0"/>
        <w:autoSpaceDN w:val="0"/>
        <w:adjustRightInd w:val="0"/>
        <w:spacing w:line="240" w:lineRule="auto"/>
        <w:ind w:left="640" w:hanging="640"/>
        <w:rPr>
          <w:rFonts w:ascii="Calibri" w:hAnsi="Calibri" w:cs="Calibri"/>
          <w:noProof/>
          <w:szCs w:val="24"/>
          <w:lang w:val="nl-NL"/>
        </w:rPr>
      </w:pPr>
      <w:r w:rsidRPr="00493503">
        <w:rPr>
          <w:rFonts w:ascii="Calibri" w:hAnsi="Calibri" w:cs="Calibri"/>
          <w:noProof/>
          <w:szCs w:val="24"/>
        </w:rPr>
        <w:t xml:space="preserve">9. </w:t>
      </w:r>
      <w:r w:rsidRPr="00493503">
        <w:rPr>
          <w:rFonts w:ascii="Calibri" w:hAnsi="Calibri" w:cs="Calibri"/>
          <w:noProof/>
          <w:szCs w:val="24"/>
        </w:rPr>
        <w:tab/>
        <w:t xml:space="preserve">Hiltunen JK, Chen Z, Haapalainen AM, Wierenga RK, Kastaniotis AJ. Mitochondrial fatty acid synthesis - An adopted set of enzymes making a pathway of major importance for the cellular metabolism. </w:t>
      </w:r>
      <w:r w:rsidRPr="00F30AD6">
        <w:rPr>
          <w:rFonts w:ascii="Calibri" w:hAnsi="Calibri" w:cs="Calibri"/>
          <w:i/>
          <w:iCs/>
          <w:noProof/>
          <w:szCs w:val="24"/>
          <w:lang w:val="nl-NL"/>
        </w:rPr>
        <w:t>Prog Lipid Res</w:t>
      </w:r>
      <w:r w:rsidRPr="00F30AD6">
        <w:rPr>
          <w:rFonts w:ascii="Calibri" w:hAnsi="Calibri" w:cs="Calibri"/>
          <w:noProof/>
          <w:szCs w:val="24"/>
          <w:lang w:val="nl-NL"/>
        </w:rPr>
        <w:t>. 2010;49(1):27-45. doi:10.1016/j.plipres.2009.08.001</w:t>
      </w:r>
    </w:p>
    <w:p w14:paraId="124D06B9"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F30AD6">
        <w:rPr>
          <w:rFonts w:ascii="Calibri" w:hAnsi="Calibri" w:cs="Calibri"/>
          <w:noProof/>
          <w:szCs w:val="24"/>
          <w:lang w:val="nl-NL"/>
        </w:rPr>
        <w:t xml:space="preserve">10. </w:t>
      </w:r>
      <w:r w:rsidRPr="00F30AD6">
        <w:rPr>
          <w:rFonts w:ascii="Calibri" w:hAnsi="Calibri" w:cs="Calibri"/>
          <w:noProof/>
          <w:szCs w:val="24"/>
          <w:lang w:val="nl-NL"/>
        </w:rPr>
        <w:tab/>
        <w:t xml:space="preserve">Kastaniotis AJ, Autio KJ, Kerätär JM, et al. </w:t>
      </w:r>
      <w:r w:rsidRPr="00493503">
        <w:rPr>
          <w:rFonts w:ascii="Calibri" w:hAnsi="Calibri" w:cs="Calibri"/>
          <w:noProof/>
          <w:szCs w:val="24"/>
        </w:rPr>
        <w:t xml:space="preserve">Mitochondrial fatty acid synthesis, fatty acids and mitochondrial physiology. </w:t>
      </w:r>
      <w:r w:rsidRPr="00493503">
        <w:rPr>
          <w:rFonts w:ascii="Calibri" w:hAnsi="Calibri" w:cs="Calibri"/>
          <w:i/>
          <w:iCs/>
          <w:noProof/>
          <w:szCs w:val="24"/>
        </w:rPr>
        <w:t>Biochim Biophys Acta - Mol Cell Biol Lipids</w:t>
      </w:r>
      <w:r w:rsidRPr="00493503">
        <w:rPr>
          <w:rFonts w:ascii="Calibri" w:hAnsi="Calibri" w:cs="Calibri"/>
          <w:noProof/>
          <w:szCs w:val="24"/>
        </w:rPr>
        <w:t>. 2017;1862(1):39-48. doi:10.1016/j.bbalip.2016.08.011</w:t>
      </w:r>
    </w:p>
    <w:p w14:paraId="3007ACAB" w14:textId="77777777" w:rsidR="00493503" w:rsidRPr="00F30AD6" w:rsidRDefault="00493503" w:rsidP="00493503">
      <w:pPr>
        <w:widowControl w:val="0"/>
        <w:autoSpaceDE w:val="0"/>
        <w:autoSpaceDN w:val="0"/>
        <w:adjustRightInd w:val="0"/>
        <w:spacing w:line="240" w:lineRule="auto"/>
        <w:ind w:left="640" w:hanging="640"/>
        <w:rPr>
          <w:rFonts w:ascii="Calibri" w:hAnsi="Calibri" w:cs="Calibri"/>
          <w:noProof/>
          <w:szCs w:val="24"/>
          <w:lang w:val="nl-NL"/>
        </w:rPr>
      </w:pPr>
      <w:r w:rsidRPr="00493503">
        <w:rPr>
          <w:rFonts w:ascii="Calibri" w:hAnsi="Calibri" w:cs="Calibri"/>
          <w:noProof/>
          <w:szCs w:val="24"/>
        </w:rPr>
        <w:t xml:space="preserve">11. </w:t>
      </w:r>
      <w:r w:rsidRPr="00493503">
        <w:rPr>
          <w:rFonts w:ascii="Calibri" w:hAnsi="Calibri" w:cs="Calibri"/>
          <w:noProof/>
          <w:szCs w:val="24"/>
        </w:rPr>
        <w:tab/>
        <w:t xml:space="preserve">Friedberg EC. How nucleotide excision repair protects against cancer. </w:t>
      </w:r>
      <w:r w:rsidRPr="00F30AD6">
        <w:rPr>
          <w:rFonts w:ascii="Calibri" w:hAnsi="Calibri" w:cs="Calibri"/>
          <w:i/>
          <w:iCs/>
          <w:noProof/>
          <w:szCs w:val="24"/>
          <w:lang w:val="nl-NL"/>
        </w:rPr>
        <w:t>Nat Rev Cancer</w:t>
      </w:r>
      <w:r w:rsidRPr="00F30AD6">
        <w:rPr>
          <w:rFonts w:ascii="Calibri" w:hAnsi="Calibri" w:cs="Calibri"/>
          <w:noProof/>
          <w:szCs w:val="24"/>
          <w:lang w:val="nl-NL"/>
        </w:rPr>
        <w:t>. 2001;1(1):22-33. doi:10.1038/35094000</w:t>
      </w:r>
    </w:p>
    <w:p w14:paraId="3177DE36"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F30AD6">
        <w:rPr>
          <w:rFonts w:ascii="Calibri" w:hAnsi="Calibri" w:cs="Calibri"/>
          <w:noProof/>
          <w:szCs w:val="24"/>
          <w:lang w:val="nl-NL"/>
        </w:rPr>
        <w:t xml:space="preserve">12. </w:t>
      </w:r>
      <w:r w:rsidRPr="00F30AD6">
        <w:rPr>
          <w:rFonts w:ascii="Calibri" w:hAnsi="Calibri" w:cs="Calibri"/>
          <w:noProof/>
          <w:szCs w:val="24"/>
          <w:lang w:val="nl-NL"/>
        </w:rPr>
        <w:tab/>
        <w:t xml:space="preserve">Van Abel M, Hoenderop JGJ, Van der Kemp AWCM, Van Leeuwen JPTM, Bindels RJM. </w:t>
      </w:r>
      <w:r w:rsidRPr="00493503">
        <w:rPr>
          <w:rFonts w:ascii="Calibri" w:hAnsi="Calibri" w:cs="Calibri"/>
          <w:noProof/>
          <w:szCs w:val="24"/>
        </w:rPr>
        <w:t xml:space="preserve">Regulation of the epithelial Ca2+ channels in small intestine as studied by quantitative mRNA detection. </w:t>
      </w:r>
      <w:r w:rsidRPr="00493503">
        <w:rPr>
          <w:rFonts w:ascii="Calibri" w:hAnsi="Calibri" w:cs="Calibri"/>
          <w:i/>
          <w:iCs/>
          <w:noProof/>
          <w:szCs w:val="24"/>
        </w:rPr>
        <w:t>Am J Physiol - Gastrointest Liver Physiol</w:t>
      </w:r>
      <w:r w:rsidRPr="00493503">
        <w:rPr>
          <w:rFonts w:ascii="Calibri" w:hAnsi="Calibri" w:cs="Calibri"/>
          <w:noProof/>
          <w:szCs w:val="24"/>
        </w:rPr>
        <w:t>. 2003;285(1 48-1). doi:10.1152/ajpgi.00036.2003</w:t>
      </w:r>
    </w:p>
    <w:p w14:paraId="5E947909"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13. </w:t>
      </w:r>
      <w:r w:rsidRPr="00493503">
        <w:rPr>
          <w:rFonts w:ascii="Calibri" w:hAnsi="Calibri" w:cs="Calibri"/>
          <w:noProof/>
          <w:szCs w:val="24"/>
        </w:rPr>
        <w:tab/>
        <w:t xml:space="preserve">Van Cromphaut SJ, Dewerchin M, Hoenderop JGJ, et al. Duodenal calcium absorption in vitamin D receptor-knockout mice: Functional and molecular aspects. </w:t>
      </w:r>
      <w:r w:rsidRPr="00493503">
        <w:rPr>
          <w:rFonts w:ascii="Calibri" w:hAnsi="Calibri" w:cs="Calibri"/>
          <w:i/>
          <w:iCs/>
          <w:noProof/>
          <w:szCs w:val="24"/>
        </w:rPr>
        <w:t>Proc Natl Acad Sci U S A</w:t>
      </w:r>
      <w:r w:rsidRPr="00493503">
        <w:rPr>
          <w:rFonts w:ascii="Calibri" w:hAnsi="Calibri" w:cs="Calibri"/>
          <w:noProof/>
          <w:szCs w:val="24"/>
        </w:rPr>
        <w:t>. 2001;98(23):13324-13329. doi:10.1073/pnas.231474698</w:t>
      </w:r>
    </w:p>
    <w:p w14:paraId="00F429B0" w14:textId="77777777" w:rsidR="00493503" w:rsidRPr="00F30AD6" w:rsidRDefault="00493503" w:rsidP="00493503">
      <w:pPr>
        <w:widowControl w:val="0"/>
        <w:autoSpaceDE w:val="0"/>
        <w:autoSpaceDN w:val="0"/>
        <w:adjustRightInd w:val="0"/>
        <w:spacing w:line="240" w:lineRule="auto"/>
        <w:ind w:left="640" w:hanging="640"/>
        <w:rPr>
          <w:rFonts w:ascii="Calibri" w:hAnsi="Calibri" w:cs="Calibri"/>
          <w:noProof/>
          <w:szCs w:val="24"/>
          <w:lang w:val="nl-NL"/>
        </w:rPr>
      </w:pPr>
      <w:r w:rsidRPr="00493503">
        <w:rPr>
          <w:rFonts w:ascii="Calibri" w:hAnsi="Calibri" w:cs="Calibri"/>
          <w:noProof/>
          <w:szCs w:val="24"/>
        </w:rPr>
        <w:t xml:space="preserve">14. </w:t>
      </w:r>
      <w:r w:rsidRPr="00493503">
        <w:rPr>
          <w:rFonts w:ascii="Calibri" w:hAnsi="Calibri" w:cs="Calibri"/>
          <w:noProof/>
          <w:szCs w:val="24"/>
        </w:rPr>
        <w:tab/>
        <w:t xml:space="preserve">Wu G. Intestinal mucosal amino acid catabolism. </w:t>
      </w:r>
      <w:r w:rsidRPr="00F30AD6">
        <w:rPr>
          <w:rFonts w:ascii="Calibri" w:hAnsi="Calibri" w:cs="Calibri"/>
          <w:i/>
          <w:iCs/>
          <w:noProof/>
          <w:szCs w:val="24"/>
          <w:lang w:val="nl-NL"/>
        </w:rPr>
        <w:t>J Nutr</w:t>
      </w:r>
      <w:r w:rsidRPr="00F30AD6">
        <w:rPr>
          <w:rFonts w:ascii="Calibri" w:hAnsi="Calibri" w:cs="Calibri"/>
          <w:noProof/>
          <w:szCs w:val="24"/>
          <w:lang w:val="nl-NL"/>
        </w:rPr>
        <w:t>. 1998;128(8):1249. doi:10.1093/jn/128.8.1249</w:t>
      </w:r>
    </w:p>
    <w:p w14:paraId="31EFE921" w14:textId="77777777" w:rsidR="00493503" w:rsidRPr="00F30AD6" w:rsidRDefault="00493503" w:rsidP="00493503">
      <w:pPr>
        <w:widowControl w:val="0"/>
        <w:autoSpaceDE w:val="0"/>
        <w:autoSpaceDN w:val="0"/>
        <w:adjustRightInd w:val="0"/>
        <w:spacing w:line="240" w:lineRule="auto"/>
        <w:ind w:left="640" w:hanging="640"/>
        <w:rPr>
          <w:rFonts w:ascii="Calibri" w:hAnsi="Calibri" w:cs="Calibri"/>
          <w:noProof/>
          <w:szCs w:val="24"/>
          <w:lang w:val="nl-NL"/>
        </w:rPr>
      </w:pPr>
      <w:r w:rsidRPr="00F30AD6">
        <w:rPr>
          <w:rFonts w:ascii="Calibri" w:hAnsi="Calibri" w:cs="Calibri"/>
          <w:noProof/>
          <w:szCs w:val="24"/>
          <w:lang w:val="nl-NL"/>
        </w:rPr>
        <w:t xml:space="preserve">15. </w:t>
      </w:r>
      <w:r w:rsidRPr="00F30AD6">
        <w:rPr>
          <w:rFonts w:ascii="Calibri" w:hAnsi="Calibri" w:cs="Calibri"/>
          <w:noProof/>
          <w:szCs w:val="24"/>
          <w:lang w:val="nl-NL"/>
        </w:rPr>
        <w:tab/>
        <w:t xml:space="preserve">Quamme GA. </w:t>
      </w:r>
      <w:r w:rsidRPr="00493503">
        <w:rPr>
          <w:rFonts w:ascii="Calibri" w:hAnsi="Calibri" w:cs="Calibri"/>
          <w:noProof/>
          <w:szCs w:val="24"/>
        </w:rPr>
        <w:t xml:space="preserve">Recent developments in intestinal magnesium absorption. </w:t>
      </w:r>
      <w:r w:rsidRPr="00F30AD6">
        <w:rPr>
          <w:rFonts w:ascii="Calibri" w:hAnsi="Calibri" w:cs="Calibri"/>
          <w:i/>
          <w:iCs/>
          <w:noProof/>
          <w:szCs w:val="24"/>
          <w:lang w:val="nl-NL"/>
        </w:rPr>
        <w:t>Curr Opin Gastroenterol</w:t>
      </w:r>
      <w:r w:rsidRPr="00F30AD6">
        <w:rPr>
          <w:rFonts w:ascii="Calibri" w:hAnsi="Calibri" w:cs="Calibri"/>
          <w:noProof/>
          <w:szCs w:val="24"/>
          <w:lang w:val="nl-NL"/>
        </w:rPr>
        <w:t>. 2008;24(2):230-235. doi:10.1097/MOG.0b013e3282f37b59</w:t>
      </w:r>
    </w:p>
    <w:p w14:paraId="5BCF6690"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F30AD6">
        <w:rPr>
          <w:rFonts w:ascii="Calibri" w:hAnsi="Calibri" w:cs="Calibri"/>
          <w:noProof/>
          <w:szCs w:val="24"/>
          <w:lang w:val="nl-NL"/>
        </w:rPr>
        <w:t xml:space="preserve">16. </w:t>
      </w:r>
      <w:r w:rsidRPr="00F30AD6">
        <w:rPr>
          <w:rFonts w:ascii="Calibri" w:hAnsi="Calibri" w:cs="Calibri"/>
          <w:noProof/>
          <w:szCs w:val="24"/>
          <w:lang w:val="nl-NL"/>
        </w:rPr>
        <w:tab/>
        <w:t xml:space="preserve">Lichten LA, Cousins RJ. </w:t>
      </w:r>
      <w:r w:rsidRPr="00493503">
        <w:rPr>
          <w:rFonts w:ascii="Calibri" w:hAnsi="Calibri" w:cs="Calibri"/>
          <w:noProof/>
          <w:szCs w:val="24"/>
        </w:rPr>
        <w:t xml:space="preserve">Mammalian zinc transporters: Nutritional and physiologic regulation. </w:t>
      </w:r>
      <w:r w:rsidRPr="00493503">
        <w:rPr>
          <w:rFonts w:ascii="Calibri" w:hAnsi="Calibri" w:cs="Calibri"/>
          <w:i/>
          <w:iCs/>
          <w:noProof/>
          <w:szCs w:val="24"/>
        </w:rPr>
        <w:t>Annu Rev Nutr</w:t>
      </w:r>
      <w:r w:rsidRPr="00493503">
        <w:rPr>
          <w:rFonts w:ascii="Calibri" w:hAnsi="Calibri" w:cs="Calibri"/>
          <w:noProof/>
          <w:szCs w:val="24"/>
        </w:rPr>
        <w:t>. 2009;29:153-176. doi:10.1146/annurev-nutr-033009-083312</w:t>
      </w:r>
    </w:p>
    <w:p w14:paraId="3E9E83E8"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17. </w:t>
      </w:r>
      <w:r w:rsidRPr="00493503">
        <w:rPr>
          <w:rFonts w:ascii="Calibri" w:hAnsi="Calibri" w:cs="Calibri"/>
          <w:noProof/>
          <w:szCs w:val="24"/>
        </w:rPr>
        <w:tab/>
        <w:t xml:space="preserve">Lönnerdal B. Intestinal regulation of copper homeostasis: A developmental perspective. In: </w:t>
      </w:r>
      <w:r w:rsidRPr="00493503">
        <w:rPr>
          <w:rFonts w:ascii="Calibri" w:hAnsi="Calibri" w:cs="Calibri"/>
          <w:i/>
          <w:iCs/>
          <w:noProof/>
          <w:szCs w:val="24"/>
        </w:rPr>
        <w:t>American Journal of Clinical Nutrition</w:t>
      </w:r>
      <w:r w:rsidRPr="00493503">
        <w:rPr>
          <w:rFonts w:ascii="Calibri" w:hAnsi="Calibri" w:cs="Calibri"/>
          <w:noProof/>
          <w:szCs w:val="24"/>
        </w:rPr>
        <w:t>. Vol 88. American Society for Nutrition; 2008:846S-850S. doi:10.1093/ajcn/88.3.846s</w:t>
      </w:r>
    </w:p>
    <w:p w14:paraId="6237387E"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18. </w:t>
      </w:r>
      <w:r w:rsidRPr="00493503">
        <w:rPr>
          <w:rFonts w:ascii="Calibri" w:hAnsi="Calibri" w:cs="Calibri"/>
          <w:noProof/>
          <w:szCs w:val="24"/>
        </w:rPr>
        <w:tab/>
        <w:t xml:space="preserve">Dunn LL, Rahmanto YS, Richardson DR. Iron uptake and metabolism in the new millennium. </w:t>
      </w:r>
      <w:r w:rsidRPr="00493503">
        <w:rPr>
          <w:rFonts w:ascii="Calibri" w:hAnsi="Calibri" w:cs="Calibri"/>
          <w:i/>
          <w:iCs/>
          <w:noProof/>
          <w:szCs w:val="24"/>
        </w:rPr>
        <w:t>Trends Cell Biol</w:t>
      </w:r>
      <w:r w:rsidRPr="00493503">
        <w:rPr>
          <w:rFonts w:ascii="Calibri" w:hAnsi="Calibri" w:cs="Calibri"/>
          <w:noProof/>
          <w:szCs w:val="24"/>
        </w:rPr>
        <w:t>. 2007;17(2):93-100. doi:10.1016/j.tcb.2006.12.003</w:t>
      </w:r>
    </w:p>
    <w:p w14:paraId="7B7F121C"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19. </w:t>
      </w:r>
      <w:r w:rsidRPr="00493503">
        <w:rPr>
          <w:rFonts w:ascii="Calibri" w:hAnsi="Calibri" w:cs="Calibri"/>
          <w:noProof/>
          <w:szCs w:val="24"/>
        </w:rPr>
        <w:tab/>
        <w:t xml:space="preserve">Harris SL, Levine AJ. The p53 pathway: Positive and negative feedback loops. </w:t>
      </w:r>
      <w:r w:rsidRPr="00493503">
        <w:rPr>
          <w:rFonts w:ascii="Calibri" w:hAnsi="Calibri" w:cs="Calibri"/>
          <w:i/>
          <w:iCs/>
          <w:noProof/>
          <w:szCs w:val="24"/>
        </w:rPr>
        <w:t>Oncogene</w:t>
      </w:r>
      <w:r w:rsidRPr="00493503">
        <w:rPr>
          <w:rFonts w:ascii="Calibri" w:hAnsi="Calibri" w:cs="Calibri"/>
          <w:noProof/>
          <w:szCs w:val="24"/>
        </w:rPr>
        <w:t>. 2005;24(17):2899-2908. doi:10.1038/sj.onc.1208615</w:t>
      </w:r>
    </w:p>
    <w:p w14:paraId="54E6C24B"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20. </w:t>
      </w:r>
      <w:r w:rsidRPr="00493503">
        <w:rPr>
          <w:rFonts w:ascii="Calibri" w:hAnsi="Calibri" w:cs="Calibri"/>
          <w:noProof/>
          <w:szCs w:val="24"/>
        </w:rPr>
        <w:tab/>
        <w:t xml:space="preserve">Lai Y, Rosenshine I, Leong JM, Frankel G. Intimate host attachment: Enteropathogenic and enterohaemorrhagic Escherichia coli. </w:t>
      </w:r>
      <w:r w:rsidRPr="00493503">
        <w:rPr>
          <w:rFonts w:ascii="Calibri" w:hAnsi="Calibri" w:cs="Calibri"/>
          <w:i/>
          <w:iCs/>
          <w:noProof/>
          <w:szCs w:val="24"/>
        </w:rPr>
        <w:t>Cell Microbiol</w:t>
      </w:r>
      <w:r w:rsidRPr="00493503">
        <w:rPr>
          <w:rFonts w:ascii="Calibri" w:hAnsi="Calibri" w:cs="Calibri"/>
          <w:noProof/>
          <w:szCs w:val="24"/>
        </w:rPr>
        <w:t>. 2013;15(11):1796-1808. doi:10.1111/cmi.12179</w:t>
      </w:r>
    </w:p>
    <w:p w14:paraId="33B8967B"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21. </w:t>
      </w:r>
      <w:r w:rsidRPr="00493503">
        <w:rPr>
          <w:rFonts w:ascii="Calibri" w:hAnsi="Calibri" w:cs="Calibri"/>
          <w:noProof/>
          <w:szCs w:val="24"/>
        </w:rPr>
        <w:tab/>
        <w:t xml:space="preserve">Bouguen G, Dubuquoy L, Desreumaux P, Brunner T, Bertin B. Intestinal steroidogenesis. </w:t>
      </w:r>
      <w:r w:rsidRPr="00493503">
        <w:rPr>
          <w:rFonts w:ascii="Calibri" w:hAnsi="Calibri" w:cs="Calibri"/>
          <w:i/>
          <w:iCs/>
          <w:noProof/>
          <w:szCs w:val="24"/>
        </w:rPr>
        <w:t>Steroids</w:t>
      </w:r>
      <w:r w:rsidRPr="00493503">
        <w:rPr>
          <w:rFonts w:ascii="Calibri" w:hAnsi="Calibri" w:cs="Calibri"/>
          <w:noProof/>
          <w:szCs w:val="24"/>
        </w:rPr>
        <w:t xml:space="preserve">. </w:t>
      </w:r>
      <w:r w:rsidRPr="00493503">
        <w:rPr>
          <w:rFonts w:ascii="Calibri" w:hAnsi="Calibri" w:cs="Calibri"/>
          <w:noProof/>
          <w:szCs w:val="24"/>
        </w:rPr>
        <w:lastRenderedPageBreak/>
        <w:t>2015;103:64-71. doi:10.1016/j.steroids.2014.12.022</w:t>
      </w:r>
    </w:p>
    <w:p w14:paraId="4B71C15A"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22. </w:t>
      </w:r>
      <w:r w:rsidRPr="00493503">
        <w:rPr>
          <w:rFonts w:ascii="Calibri" w:hAnsi="Calibri" w:cs="Calibri"/>
          <w:noProof/>
          <w:szCs w:val="24"/>
        </w:rPr>
        <w:tab/>
        <w:t xml:space="preserve">Schnupf P, Sansonetti PJ.  Shigella Pathogenesis: New Insights through Advanced Methodologies . </w:t>
      </w:r>
      <w:r w:rsidRPr="00493503">
        <w:rPr>
          <w:rFonts w:ascii="Calibri" w:hAnsi="Calibri" w:cs="Calibri"/>
          <w:i/>
          <w:iCs/>
          <w:noProof/>
          <w:szCs w:val="24"/>
        </w:rPr>
        <w:t>Microbiol Spectr</w:t>
      </w:r>
      <w:r w:rsidRPr="00493503">
        <w:rPr>
          <w:rFonts w:ascii="Calibri" w:hAnsi="Calibri" w:cs="Calibri"/>
          <w:noProof/>
          <w:szCs w:val="24"/>
        </w:rPr>
        <w:t>. 2019;7(2). doi:10.1128/microbiolspec.bai-0023-2019</w:t>
      </w:r>
    </w:p>
    <w:p w14:paraId="66137D46"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23. </w:t>
      </w:r>
      <w:r w:rsidRPr="00493503">
        <w:rPr>
          <w:rFonts w:ascii="Calibri" w:hAnsi="Calibri" w:cs="Calibri"/>
          <w:noProof/>
          <w:szCs w:val="24"/>
        </w:rPr>
        <w:tab/>
        <w:t xml:space="preserve">Sasakawa C. A new paradigm of bacteria-gut interplay brought through the study of Shigella. </w:t>
      </w:r>
      <w:r w:rsidRPr="00493503">
        <w:rPr>
          <w:rFonts w:ascii="Calibri" w:hAnsi="Calibri" w:cs="Calibri"/>
          <w:i/>
          <w:iCs/>
          <w:noProof/>
          <w:szCs w:val="24"/>
        </w:rPr>
        <w:t>Proc Japan Acad Ser B Phys Biol Sci</w:t>
      </w:r>
      <w:r w:rsidRPr="00493503">
        <w:rPr>
          <w:rFonts w:ascii="Calibri" w:hAnsi="Calibri" w:cs="Calibri"/>
          <w:noProof/>
          <w:szCs w:val="24"/>
        </w:rPr>
        <w:t>. 2010;86(3):229-243. doi:10.2183/pjab.86.229</w:t>
      </w:r>
    </w:p>
    <w:p w14:paraId="14B9CFA2"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24. </w:t>
      </w:r>
      <w:r w:rsidRPr="00493503">
        <w:rPr>
          <w:rFonts w:ascii="Calibri" w:hAnsi="Calibri" w:cs="Calibri"/>
          <w:noProof/>
          <w:szCs w:val="24"/>
        </w:rPr>
        <w:tab/>
        <w:t xml:space="preserve">Bonnans C, Chou J, Werb Z. Remodelling the extracellular matrix in development and disease. </w:t>
      </w:r>
      <w:r w:rsidRPr="00493503">
        <w:rPr>
          <w:rFonts w:ascii="Calibri" w:hAnsi="Calibri" w:cs="Calibri"/>
          <w:i/>
          <w:iCs/>
          <w:noProof/>
          <w:szCs w:val="24"/>
        </w:rPr>
        <w:t>Nat Rev Mol Cell Biol</w:t>
      </w:r>
      <w:r w:rsidRPr="00493503">
        <w:rPr>
          <w:rFonts w:ascii="Calibri" w:hAnsi="Calibri" w:cs="Calibri"/>
          <w:noProof/>
          <w:szCs w:val="24"/>
        </w:rPr>
        <w:t>. 2014;15(12):786-801. doi:10.1038/nrm3904</w:t>
      </w:r>
    </w:p>
    <w:p w14:paraId="375F2E3A"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25. </w:t>
      </w:r>
      <w:r w:rsidRPr="00493503">
        <w:rPr>
          <w:rFonts w:ascii="Calibri" w:hAnsi="Calibri" w:cs="Calibri"/>
          <w:noProof/>
          <w:szCs w:val="24"/>
        </w:rPr>
        <w:tab/>
        <w:t xml:space="preserve">Neurath MF, Becker C, Barbulescu K. Role of NF-κB in immune and inflammatory responses in the gut. </w:t>
      </w:r>
      <w:r w:rsidRPr="00493503">
        <w:rPr>
          <w:rFonts w:ascii="Calibri" w:hAnsi="Calibri" w:cs="Calibri"/>
          <w:i/>
          <w:iCs/>
          <w:noProof/>
          <w:szCs w:val="24"/>
        </w:rPr>
        <w:t>Gut</w:t>
      </w:r>
      <w:r w:rsidRPr="00493503">
        <w:rPr>
          <w:rFonts w:ascii="Calibri" w:hAnsi="Calibri" w:cs="Calibri"/>
          <w:noProof/>
          <w:szCs w:val="24"/>
        </w:rPr>
        <w:t>. 1998;43(6):856-860. doi:10.1136/gut.43.6.856</w:t>
      </w:r>
    </w:p>
    <w:p w14:paraId="597D3FA2"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26. </w:t>
      </w:r>
      <w:r w:rsidRPr="00493503">
        <w:rPr>
          <w:rFonts w:ascii="Calibri" w:hAnsi="Calibri" w:cs="Calibri"/>
          <w:noProof/>
          <w:szCs w:val="24"/>
        </w:rPr>
        <w:tab/>
        <w:t xml:space="preserve">Pasparakis M. Role of NF-κB in epithelial biology. </w:t>
      </w:r>
      <w:r w:rsidRPr="00493503">
        <w:rPr>
          <w:rFonts w:ascii="Calibri" w:hAnsi="Calibri" w:cs="Calibri"/>
          <w:i/>
          <w:iCs/>
          <w:noProof/>
          <w:szCs w:val="24"/>
        </w:rPr>
        <w:t>Immunol Rev</w:t>
      </w:r>
      <w:r w:rsidRPr="00493503">
        <w:rPr>
          <w:rFonts w:ascii="Calibri" w:hAnsi="Calibri" w:cs="Calibri"/>
          <w:noProof/>
          <w:szCs w:val="24"/>
        </w:rPr>
        <w:t>. 2012;246(1):346-358. doi:10.1111/j.1600-065X.2012.01109.x</w:t>
      </w:r>
    </w:p>
    <w:p w14:paraId="34FF1E84"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27. </w:t>
      </w:r>
      <w:r w:rsidRPr="00493503">
        <w:rPr>
          <w:rFonts w:ascii="Calibri" w:hAnsi="Calibri" w:cs="Calibri"/>
          <w:noProof/>
          <w:szCs w:val="24"/>
        </w:rPr>
        <w:tab/>
        <w:t xml:space="preserve">Wu G, Fang YZ, Yang S, Lupton JR, Turner ND. Glutathione Metabolism and Its Implications for Health. </w:t>
      </w:r>
      <w:r w:rsidRPr="00493503">
        <w:rPr>
          <w:rFonts w:ascii="Calibri" w:hAnsi="Calibri" w:cs="Calibri"/>
          <w:i/>
          <w:iCs/>
          <w:noProof/>
          <w:szCs w:val="24"/>
        </w:rPr>
        <w:t>J Nutr</w:t>
      </w:r>
      <w:r w:rsidRPr="00493503">
        <w:rPr>
          <w:rFonts w:ascii="Calibri" w:hAnsi="Calibri" w:cs="Calibri"/>
          <w:noProof/>
          <w:szCs w:val="24"/>
        </w:rPr>
        <w:t>. 2004;134(3):489-492. doi:10.1093/jn/134.3.489</w:t>
      </w:r>
    </w:p>
    <w:p w14:paraId="3A4280AD"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28. </w:t>
      </w:r>
      <w:r w:rsidRPr="00493503">
        <w:rPr>
          <w:rFonts w:ascii="Calibri" w:hAnsi="Calibri" w:cs="Calibri"/>
          <w:noProof/>
          <w:szCs w:val="24"/>
        </w:rPr>
        <w:tab/>
        <w:t xml:space="preserve">Imajo M, Ebisuya M, Nishida E. Dual role of YAP and TAZ in renewal of the intestinal epithelium. </w:t>
      </w:r>
      <w:r w:rsidRPr="00493503">
        <w:rPr>
          <w:rFonts w:ascii="Calibri" w:hAnsi="Calibri" w:cs="Calibri"/>
          <w:i/>
          <w:iCs/>
          <w:noProof/>
          <w:szCs w:val="24"/>
        </w:rPr>
        <w:t>Nat Cell Biol</w:t>
      </w:r>
      <w:r w:rsidRPr="00493503">
        <w:rPr>
          <w:rFonts w:ascii="Calibri" w:hAnsi="Calibri" w:cs="Calibri"/>
          <w:noProof/>
          <w:szCs w:val="24"/>
        </w:rPr>
        <w:t>. 2015;17(1):7-19. doi:10.1038/ncb3084</w:t>
      </w:r>
    </w:p>
    <w:p w14:paraId="244F34B5"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29. </w:t>
      </w:r>
      <w:r w:rsidRPr="00493503">
        <w:rPr>
          <w:rFonts w:ascii="Calibri" w:hAnsi="Calibri" w:cs="Calibri"/>
          <w:noProof/>
          <w:szCs w:val="24"/>
        </w:rPr>
        <w:tab/>
        <w:t xml:space="preserve">Pollard TD. The cytoskeleton, cellular motility and the reductionist agenda. </w:t>
      </w:r>
      <w:r w:rsidRPr="00493503">
        <w:rPr>
          <w:rFonts w:ascii="Calibri" w:hAnsi="Calibri" w:cs="Calibri"/>
          <w:i/>
          <w:iCs/>
          <w:noProof/>
          <w:szCs w:val="24"/>
        </w:rPr>
        <w:t>Nature</w:t>
      </w:r>
      <w:r w:rsidRPr="00493503">
        <w:rPr>
          <w:rFonts w:ascii="Calibri" w:hAnsi="Calibri" w:cs="Calibri"/>
          <w:noProof/>
          <w:szCs w:val="24"/>
        </w:rPr>
        <w:t>. 2003;422(6933):741-745. doi:10.1038/nature01598</w:t>
      </w:r>
    </w:p>
    <w:p w14:paraId="0DA5BEA7" w14:textId="77777777" w:rsidR="00493503" w:rsidRPr="00F30AD6" w:rsidRDefault="00493503" w:rsidP="00493503">
      <w:pPr>
        <w:widowControl w:val="0"/>
        <w:autoSpaceDE w:val="0"/>
        <w:autoSpaceDN w:val="0"/>
        <w:adjustRightInd w:val="0"/>
        <w:spacing w:line="240" w:lineRule="auto"/>
        <w:ind w:left="640" w:hanging="640"/>
        <w:rPr>
          <w:rFonts w:ascii="Calibri" w:hAnsi="Calibri" w:cs="Calibri"/>
          <w:noProof/>
          <w:szCs w:val="24"/>
          <w:lang w:val="nl-NL"/>
        </w:rPr>
      </w:pPr>
      <w:r w:rsidRPr="00493503">
        <w:rPr>
          <w:rFonts w:ascii="Calibri" w:hAnsi="Calibri" w:cs="Calibri"/>
          <w:noProof/>
          <w:szCs w:val="24"/>
        </w:rPr>
        <w:t xml:space="preserve">30. </w:t>
      </w:r>
      <w:r w:rsidRPr="00493503">
        <w:rPr>
          <w:rFonts w:ascii="Calibri" w:hAnsi="Calibri" w:cs="Calibri"/>
          <w:noProof/>
          <w:szCs w:val="24"/>
        </w:rPr>
        <w:tab/>
        <w:t xml:space="preserve">Stempelj M, Kedinger M, Augenlicht L, Klampfer L. Essential Role of the JAK/STAT1 Signaling Pathway in the Expression of Inducible Nitric-oxide Synthase in Intestinal Epithelial Cells and Its Regulation by Butyrate. </w:t>
      </w:r>
      <w:r w:rsidRPr="00F30AD6">
        <w:rPr>
          <w:rFonts w:ascii="Calibri" w:hAnsi="Calibri" w:cs="Calibri"/>
          <w:i/>
          <w:iCs/>
          <w:noProof/>
          <w:szCs w:val="24"/>
          <w:lang w:val="nl-NL"/>
        </w:rPr>
        <w:t>J Biol Chem</w:t>
      </w:r>
      <w:r w:rsidRPr="00F30AD6">
        <w:rPr>
          <w:rFonts w:ascii="Calibri" w:hAnsi="Calibri" w:cs="Calibri"/>
          <w:noProof/>
          <w:szCs w:val="24"/>
          <w:lang w:val="nl-NL"/>
        </w:rPr>
        <w:t>. 2007;282(13):9797-9804. doi:10.1074/JBC.M609426200</w:t>
      </w:r>
    </w:p>
    <w:p w14:paraId="2A8FB74E" w14:textId="77777777" w:rsidR="00493503" w:rsidRPr="00F30AD6" w:rsidRDefault="00493503" w:rsidP="00493503">
      <w:pPr>
        <w:widowControl w:val="0"/>
        <w:autoSpaceDE w:val="0"/>
        <w:autoSpaceDN w:val="0"/>
        <w:adjustRightInd w:val="0"/>
        <w:spacing w:line="240" w:lineRule="auto"/>
        <w:ind w:left="640" w:hanging="640"/>
        <w:rPr>
          <w:rFonts w:ascii="Calibri" w:hAnsi="Calibri" w:cs="Calibri"/>
          <w:noProof/>
          <w:szCs w:val="24"/>
          <w:lang w:val="nl-NL"/>
        </w:rPr>
      </w:pPr>
      <w:r w:rsidRPr="00F30AD6">
        <w:rPr>
          <w:rFonts w:ascii="Calibri" w:hAnsi="Calibri" w:cs="Calibri"/>
          <w:noProof/>
          <w:szCs w:val="24"/>
          <w:lang w:val="nl-NL"/>
        </w:rPr>
        <w:t xml:space="preserve">31. </w:t>
      </w:r>
      <w:r w:rsidRPr="00F30AD6">
        <w:rPr>
          <w:rFonts w:ascii="Calibri" w:hAnsi="Calibri" w:cs="Calibri"/>
          <w:noProof/>
          <w:szCs w:val="24"/>
          <w:lang w:val="nl-NL"/>
        </w:rPr>
        <w:tab/>
        <w:t xml:space="preserve">Heneghan AF, Pierre JF, Kudsk KA. </w:t>
      </w:r>
      <w:r w:rsidRPr="00493503">
        <w:rPr>
          <w:rFonts w:ascii="Calibri" w:hAnsi="Calibri" w:cs="Calibri"/>
          <w:noProof/>
          <w:szCs w:val="24"/>
        </w:rPr>
        <w:t xml:space="preserve">JAK-STAT and intestinal mucosal immunology. </w:t>
      </w:r>
      <w:r w:rsidRPr="00F30AD6">
        <w:rPr>
          <w:rFonts w:ascii="Calibri" w:hAnsi="Calibri" w:cs="Calibri"/>
          <w:i/>
          <w:iCs/>
          <w:noProof/>
          <w:szCs w:val="24"/>
          <w:lang w:val="nl-NL"/>
        </w:rPr>
        <w:t>JAK-STAT</w:t>
      </w:r>
      <w:r w:rsidRPr="00F30AD6">
        <w:rPr>
          <w:rFonts w:ascii="Calibri" w:hAnsi="Calibri" w:cs="Calibri"/>
          <w:noProof/>
          <w:szCs w:val="24"/>
          <w:lang w:val="nl-NL"/>
        </w:rPr>
        <w:t>. 2013;2(4). doi:10.4161/JKST.25530</w:t>
      </w:r>
    </w:p>
    <w:p w14:paraId="6677EC5F"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F30AD6">
        <w:rPr>
          <w:rFonts w:ascii="Calibri" w:hAnsi="Calibri" w:cs="Calibri"/>
          <w:noProof/>
          <w:szCs w:val="24"/>
          <w:lang w:val="nl-NL"/>
        </w:rPr>
        <w:t xml:space="preserve">32. </w:t>
      </w:r>
      <w:r w:rsidRPr="00F30AD6">
        <w:rPr>
          <w:rFonts w:ascii="Calibri" w:hAnsi="Calibri" w:cs="Calibri"/>
          <w:noProof/>
          <w:szCs w:val="24"/>
          <w:lang w:val="nl-NL"/>
        </w:rPr>
        <w:tab/>
        <w:t xml:space="preserve">Zapletal O, Tylichová Z, Neča J, et al. </w:t>
      </w:r>
      <w:r w:rsidRPr="00493503">
        <w:rPr>
          <w:rFonts w:ascii="Calibri" w:hAnsi="Calibri" w:cs="Calibri"/>
          <w:noProof/>
          <w:szCs w:val="24"/>
        </w:rPr>
        <w:t xml:space="preserve">Butyrate alters expression of cytochrome P450 1A1 and metabolism of benzo[a]pyrene via its histone deacetylase activity in colon epithelial cell models. </w:t>
      </w:r>
      <w:r w:rsidRPr="00493503">
        <w:rPr>
          <w:rFonts w:ascii="Calibri" w:hAnsi="Calibri" w:cs="Calibri"/>
          <w:i/>
          <w:iCs/>
          <w:noProof/>
          <w:szCs w:val="24"/>
        </w:rPr>
        <w:t>Arch Toxicol</w:t>
      </w:r>
      <w:r w:rsidRPr="00493503">
        <w:rPr>
          <w:rFonts w:ascii="Calibri" w:hAnsi="Calibri" w:cs="Calibri"/>
          <w:noProof/>
          <w:szCs w:val="24"/>
        </w:rPr>
        <w:t>. 2017;3:2135-2150. doi:10.1007/s00204-016-1887-4</w:t>
      </w:r>
    </w:p>
    <w:p w14:paraId="21B3EBD4"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33. </w:t>
      </w:r>
      <w:r w:rsidRPr="00493503">
        <w:rPr>
          <w:rFonts w:ascii="Calibri" w:hAnsi="Calibri" w:cs="Calibri"/>
          <w:noProof/>
          <w:szCs w:val="24"/>
        </w:rPr>
        <w:tab/>
        <w:t xml:space="preserve">Goodman BE. Insights into digestion and absorption of major nutrients in humans. </w:t>
      </w:r>
      <w:r w:rsidRPr="00493503">
        <w:rPr>
          <w:rFonts w:ascii="Calibri" w:hAnsi="Calibri" w:cs="Calibri"/>
          <w:i/>
          <w:iCs/>
          <w:noProof/>
          <w:szCs w:val="24"/>
        </w:rPr>
        <w:t>Am J Physiol - Adv Physiol Educ</w:t>
      </w:r>
      <w:r w:rsidRPr="00493503">
        <w:rPr>
          <w:rFonts w:ascii="Calibri" w:hAnsi="Calibri" w:cs="Calibri"/>
          <w:noProof/>
          <w:szCs w:val="24"/>
        </w:rPr>
        <w:t>. 2010;34(2):44-53. doi:10.1152/advan.00094.2009</w:t>
      </w:r>
    </w:p>
    <w:p w14:paraId="0E6AEC66"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34. </w:t>
      </w:r>
      <w:r w:rsidRPr="00493503">
        <w:rPr>
          <w:rFonts w:ascii="Calibri" w:hAnsi="Calibri" w:cs="Calibri"/>
          <w:noProof/>
          <w:szCs w:val="24"/>
        </w:rPr>
        <w:tab/>
        <w:t xml:space="preserve">Gao J, Xu K, Liu H, et al. Impact of the gut microbiota on intestinal immunity mediated by tryptophan metabolism. </w:t>
      </w:r>
      <w:r w:rsidRPr="00493503">
        <w:rPr>
          <w:rFonts w:ascii="Calibri" w:hAnsi="Calibri" w:cs="Calibri"/>
          <w:i/>
          <w:iCs/>
          <w:noProof/>
          <w:szCs w:val="24"/>
        </w:rPr>
        <w:t>Front Cell Infect Microbiol</w:t>
      </w:r>
      <w:r w:rsidRPr="00493503">
        <w:rPr>
          <w:rFonts w:ascii="Calibri" w:hAnsi="Calibri" w:cs="Calibri"/>
          <w:noProof/>
          <w:szCs w:val="24"/>
        </w:rPr>
        <w:t>. 2018;8(FEB):13. doi:10.3389/fcimb.2018.00013</w:t>
      </w:r>
    </w:p>
    <w:p w14:paraId="36FBCA5D"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35. </w:t>
      </w:r>
      <w:r w:rsidRPr="00493503">
        <w:rPr>
          <w:rFonts w:ascii="Calibri" w:hAnsi="Calibri" w:cs="Calibri"/>
          <w:noProof/>
          <w:szCs w:val="24"/>
        </w:rPr>
        <w:tab/>
        <w:t xml:space="preserve">Keszthelyi D, Troost FJ, Masclee AAM. Understanding the role of tryptophan and serotonin metabolism in gastrointestinal function. </w:t>
      </w:r>
      <w:r w:rsidRPr="00493503">
        <w:rPr>
          <w:rFonts w:ascii="Calibri" w:hAnsi="Calibri" w:cs="Calibri"/>
          <w:i/>
          <w:iCs/>
          <w:noProof/>
          <w:szCs w:val="24"/>
        </w:rPr>
        <w:t>Neurogastroenterol Motil</w:t>
      </w:r>
      <w:r w:rsidRPr="00493503">
        <w:rPr>
          <w:rFonts w:ascii="Calibri" w:hAnsi="Calibri" w:cs="Calibri"/>
          <w:noProof/>
          <w:szCs w:val="24"/>
        </w:rPr>
        <w:t>. 2009;21(12):1239-1249. doi:10.1111/j.1365-2982.2009.01370.x</w:t>
      </w:r>
    </w:p>
    <w:p w14:paraId="748F2C4C"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36. </w:t>
      </w:r>
      <w:r w:rsidRPr="00493503">
        <w:rPr>
          <w:rFonts w:ascii="Calibri" w:hAnsi="Calibri" w:cs="Calibri"/>
          <w:noProof/>
          <w:szCs w:val="24"/>
        </w:rPr>
        <w:tab/>
        <w:t xml:space="preserve">Alves A, Bassot A, Bulteau AL, Pirola L, Morio B. Glycine metabolism and its alterations in obesity and metabolic diseases. </w:t>
      </w:r>
      <w:r w:rsidRPr="00493503">
        <w:rPr>
          <w:rFonts w:ascii="Calibri" w:hAnsi="Calibri" w:cs="Calibri"/>
          <w:i/>
          <w:iCs/>
          <w:noProof/>
          <w:szCs w:val="24"/>
        </w:rPr>
        <w:t>Nutrients</w:t>
      </w:r>
      <w:r w:rsidRPr="00493503">
        <w:rPr>
          <w:rFonts w:ascii="Calibri" w:hAnsi="Calibri" w:cs="Calibri"/>
          <w:noProof/>
          <w:szCs w:val="24"/>
        </w:rPr>
        <w:t>. 2019;11(6):1356. doi:10.3390/nu11061356</w:t>
      </w:r>
    </w:p>
    <w:p w14:paraId="33A349A2"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37. </w:t>
      </w:r>
      <w:r w:rsidRPr="00493503">
        <w:rPr>
          <w:rFonts w:ascii="Calibri" w:hAnsi="Calibri" w:cs="Calibri"/>
          <w:noProof/>
          <w:szCs w:val="24"/>
        </w:rPr>
        <w:tab/>
        <w:t xml:space="preserve">Wang W, Wu Z, Dai Z, Yang Y, Wang J, Wu G. Glycine metabolism in animals and humans: Implications for nutrition and health. </w:t>
      </w:r>
      <w:r w:rsidRPr="00493503">
        <w:rPr>
          <w:rFonts w:ascii="Calibri" w:hAnsi="Calibri" w:cs="Calibri"/>
          <w:i/>
          <w:iCs/>
          <w:noProof/>
          <w:szCs w:val="24"/>
        </w:rPr>
        <w:t>Amino Acids</w:t>
      </w:r>
      <w:r w:rsidRPr="00493503">
        <w:rPr>
          <w:rFonts w:ascii="Calibri" w:hAnsi="Calibri" w:cs="Calibri"/>
          <w:noProof/>
          <w:szCs w:val="24"/>
        </w:rPr>
        <w:t>. 2013;45(3):463-477. doi:10.1007/s00726-013-1493-1</w:t>
      </w:r>
    </w:p>
    <w:p w14:paraId="1A4CA698"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lastRenderedPageBreak/>
        <w:t xml:space="preserve">38. </w:t>
      </w:r>
      <w:r w:rsidRPr="00493503">
        <w:rPr>
          <w:rFonts w:ascii="Calibri" w:hAnsi="Calibri" w:cs="Calibri"/>
          <w:noProof/>
          <w:szCs w:val="24"/>
        </w:rPr>
        <w:tab/>
        <w:t xml:space="preserve">Konturek PC, Brzozowski T, Konturek SJ. Gut clock: Implication of circadian rhythms in the gastointestinal tract. </w:t>
      </w:r>
      <w:r w:rsidRPr="00493503">
        <w:rPr>
          <w:rFonts w:ascii="Calibri" w:hAnsi="Calibri" w:cs="Calibri"/>
          <w:i/>
          <w:iCs/>
          <w:noProof/>
          <w:szCs w:val="24"/>
        </w:rPr>
        <w:t>J Physiol Pharmacol</w:t>
      </w:r>
      <w:r w:rsidRPr="00493503">
        <w:rPr>
          <w:rFonts w:ascii="Calibri" w:hAnsi="Calibri" w:cs="Calibri"/>
          <w:noProof/>
          <w:szCs w:val="24"/>
        </w:rPr>
        <w:t>. Published online 2011.</w:t>
      </w:r>
    </w:p>
    <w:p w14:paraId="099FC76D"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39. </w:t>
      </w:r>
      <w:r w:rsidRPr="00493503">
        <w:rPr>
          <w:rFonts w:ascii="Calibri" w:hAnsi="Calibri" w:cs="Calibri"/>
          <w:noProof/>
          <w:szCs w:val="24"/>
        </w:rPr>
        <w:tab/>
        <w:t xml:space="preserve">Parkar SG, Kalsbeek A, Cheeseman JF. Potential role for the gut microbiota in modulating host circadian rhythms and metabolic health. </w:t>
      </w:r>
      <w:r w:rsidRPr="00493503">
        <w:rPr>
          <w:rFonts w:ascii="Calibri" w:hAnsi="Calibri" w:cs="Calibri"/>
          <w:i/>
          <w:iCs/>
          <w:noProof/>
          <w:szCs w:val="24"/>
        </w:rPr>
        <w:t>Microorganisms</w:t>
      </w:r>
      <w:r w:rsidRPr="00493503">
        <w:rPr>
          <w:rFonts w:ascii="Calibri" w:hAnsi="Calibri" w:cs="Calibri"/>
          <w:noProof/>
          <w:szCs w:val="24"/>
        </w:rPr>
        <w:t>. 2019;7(2):41. doi:10.3390/microorganisms7020041</w:t>
      </w:r>
    </w:p>
    <w:p w14:paraId="51B24889"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40. </w:t>
      </w:r>
      <w:r w:rsidRPr="00493503">
        <w:rPr>
          <w:rFonts w:ascii="Calibri" w:hAnsi="Calibri" w:cs="Calibri"/>
          <w:noProof/>
          <w:szCs w:val="24"/>
        </w:rPr>
        <w:tab/>
        <w:t xml:space="preserve">Thelen K, Dressman JB. Cytochrome P450-mediated metabolism in the human gut wall. </w:t>
      </w:r>
      <w:r w:rsidRPr="00493503">
        <w:rPr>
          <w:rFonts w:ascii="Calibri" w:hAnsi="Calibri" w:cs="Calibri"/>
          <w:i/>
          <w:iCs/>
          <w:noProof/>
          <w:szCs w:val="24"/>
        </w:rPr>
        <w:t>J Pharm Pharmacol</w:t>
      </w:r>
      <w:r w:rsidRPr="00493503">
        <w:rPr>
          <w:rFonts w:ascii="Calibri" w:hAnsi="Calibri" w:cs="Calibri"/>
          <w:noProof/>
          <w:szCs w:val="24"/>
        </w:rPr>
        <w:t>. 2010;61(5):541-558. doi:10.1211/jpp.61.05.0002</w:t>
      </w:r>
    </w:p>
    <w:p w14:paraId="3F95827E"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41. </w:t>
      </w:r>
      <w:r w:rsidRPr="00493503">
        <w:rPr>
          <w:rFonts w:ascii="Calibri" w:hAnsi="Calibri" w:cs="Calibri"/>
          <w:noProof/>
          <w:szCs w:val="24"/>
        </w:rPr>
        <w:tab/>
        <w:t xml:space="preserve">Dallner G, Sindelar PJ. Regulation of ubiquinone metabolism. </w:t>
      </w:r>
      <w:r w:rsidRPr="00493503">
        <w:rPr>
          <w:rFonts w:ascii="Calibri" w:hAnsi="Calibri" w:cs="Calibri"/>
          <w:i/>
          <w:iCs/>
          <w:noProof/>
          <w:szCs w:val="24"/>
        </w:rPr>
        <w:t>Free Radic Biol Med</w:t>
      </w:r>
      <w:r w:rsidRPr="00493503">
        <w:rPr>
          <w:rFonts w:ascii="Calibri" w:hAnsi="Calibri" w:cs="Calibri"/>
          <w:noProof/>
          <w:szCs w:val="24"/>
        </w:rPr>
        <w:t>. 2000;29(3-4):285-294. doi:10.1016/S0891-5849(00)00307-5</w:t>
      </w:r>
    </w:p>
    <w:p w14:paraId="65BBE3A1" w14:textId="77777777" w:rsidR="00493503" w:rsidRPr="00F30AD6" w:rsidRDefault="00493503" w:rsidP="00493503">
      <w:pPr>
        <w:widowControl w:val="0"/>
        <w:autoSpaceDE w:val="0"/>
        <w:autoSpaceDN w:val="0"/>
        <w:adjustRightInd w:val="0"/>
        <w:spacing w:line="240" w:lineRule="auto"/>
        <w:ind w:left="640" w:hanging="640"/>
        <w:rPr>
          <w:rFonts w:ascii="Calibri" w:hAnsi="Calibri" w:cs="Calibri"/>
          <w:noProof/>
          <w:szCs w:val="24"/>
          <w:lang w:val="nl-NL"/>
        </w:rPr>
      </w:pPr>
      <w:r w:rsidRPr="00493503">
        <w:rPr>
          <w:rFonts w:ascii="Calibri" w:hAnsi="Calibri" w:cs="Calibri"/>
          <w:noProof/>
          <w:szCs w:val="24"/>
        </w:rPr>
        <w:t xml:space="preserve">42. </w:t>
      </w:r>
      <w:r w:rsidRPr="00493503">
        <w:rPr>
          <w:rFonts w:ascii="Calibri" w:hAnsi="Calibri" w:cs="Calibri"/>
          <w:noProof/>
          <w:szCs w:val="24"/>
        </w:rPr>
        <w:tab/>
        <w:t xml:space="preserve">Duszka K, Oresic M, May C Le, König J, Wahli W. PPARγ modulates long chain fatty acid processing in the intestinal epithelium. </w:t>
      </w:r>
      <w:r w:rsidRPr="00F30AD6">
        <w:rPr>
          <w:rFonts w:ascii="Calibri" w:hAnsi="Calibri" w:cs="Calibri"/>
          <w:i/>
          <w:iCs/>
          <w:noProof/>
          <w:szCs w:val="24"/>
          <w:lang w:val="nl-NL"/>
        </w:rPr>
        <w:t>Int J Mol Sci</w:t>
      </w:r>
      <w:r w:rsidRPr="00F30AD6">
        <w:rPr>
          <w:rFonts w:ascii="Calibri" w:hAnsi="Calibri" w:cs="Calibri"/>
          <w:noProof/>
          <w:szCs w:val="24"/>
          <w:lang w:val="nl-NL"/>
        </w:rPr>
        <w:t>. 2017;18(12):2559. doi:10.3390/ijms18122559</w:t>
      </w:r>
    </w:p>
    <w:p w14:paraId="741878BE"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F30AD6">
        <w:rPr>
          <w:rFonts w:ascii="Calibri" w:hAnsi="Calibri" w:cs="Calibri"/>
          <w:noProof/>
          <w:szCs w:val="24"/>
          <w:lang w:val="nl-NL"/>
        </w:rPr>
        <w:t xml:space="preserve">43. </w:t>
      </w:r>
      <w:r w:rsidRPr="00F30AD6">
        <w:rPr>
          <w:rFonts w:ascii="Calibri" w:hAnsi="Calibri" w:cs="Calibri"/>
          <w:noProof/>
          <w:szCs w:val="24"/>
          <w:lang w:val="nl-NL"/>
        </w:rPr>
        <w:tab/>
        <w:t xml:space="preserve">Wang J, Chao T, Wang G, et al. </w:t>
      </w:r>
      <w:r w:rsidRPr="00493503">
        <w:rPr>
          <w:rFonts w:ascii="Calibri" w:hAnsi="Calibri" w:cs="Calibri"/>
          <w:noProof/>
          <w:szCs w:val="24"/>
        </w:rPr>
        <w:t xml:space="preserve">Transcriptome Analysis of Three Sheep Intestinal Regions reveals Key Pathways and Hub Regulatory Genes of Large Intestinal Lipid Metabolism. </w:t>
      </w:r>
      <w:r w:rsidRPr="00493503">
        <w:rPr>
          <w:rFonts w:ascii="Calibri" w:hAnsi="Calibri" w:cs="Calibri"/>
          <w:i/>
          <w:iCs/>
          <w:noProof/>
          <w:szCs w:val="24"/>
        </w:rPr>
        <w:t>Sci Rep</w:t>
      </w:r>
      <w:r w:rsidRPr="00493503">
        <w:rPr>
          <w:rFonts w:ascii="Calibri" w:hAnsi="Calibri" w:cs="Calibri"/>
          <w:noProof/>
          <w:szCs w:val="24"/>
        </w:rPr>
        <w:t>. 2017;7(1):1-12. doi:10.1038/s41598-017-05551-2</w:t>
      </w:r>
    </w:p>
    <w:p w14:paraId="69DD0862"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44. </w:t>
      </w:r>
      <w:r w:rsidRPr="00493503">
        <w:rPr>
          <w:rFonts w:ascii="Calibri" w:hAnsi="Calibri" w:cs="Calibri"/>
          <w:noProof/>
          <w:szCs w:val="24"/>
        </w:rPr>
        <w:tab/>
        <w:t xml:space="preserve">Kroetz DL, Zeldin DC. Cytochrome P450 pathways of arachidonic acid metabolism. </w:t>
      </w:r>
      <w:r w:rsidRPr="00493503">
        <w:rPr>
          <w:rFonts w:ascii="Calibri" w:hAnsi="Calibri" w:cs="Calibri"/>
          <w:i/>
          <w:iCs/>
          <w:noProof/>
          <w:szCs w:val="24"/>
        </w:rPr>
        <w:t>Curr Opin Lipidol</w:t>
      </w:r>
      <w:r w:rsidRPr="00493503">
        <w:rPr>
          <w:rFonts w:ascii="Calibri" w:hAnsi="Calibri" w:cs="Calibri"/>
          <w:noProof/>
          <w:szCs w:val="24"/>
        </w:rPr>
        <w:t>. Published online 2002. doi:10.1097/00041433-200206000-00007</w:t>
      </w:r>
    </w:p>
    <w:p w14:paraId="5F977F13" w14:textId="77777777" w:rsidR="00493503" w:rsidRPr="00F30AD6" w:rsidRDefault="00493503" w:rsidP="00493503">
      <w:pPr>
        <w:widowControl w:val="0"/>
        <w:autoSpaceDE w:val="0"/>
        <w:autoSpaceDN w:val="0"/>
        <w:adjustRightInd w:val="0"/>
        <w:spacing w:line="240" w:lineRule="auto"/>
        <w:ind w:left="640" w:hanging="640"/>
        <w:rPr>
          <w:rFonts w:ascii="Calibri" w:hAnsi="Calibri" w:cs="Calibri"/>
          <w:noProof/>
          <w:szCs w:val="24"/>
          <w:lang w:val="nl-NL"/>
        </w:rPr>
      </w:pPr>
      <w:r w:rsidRPr="00493503">
        <w:rPr>
          <w:rFonts w:ascii="Calibri" w:hAnsi="Calibri" w:cs="Calibri"/>
          <w:noProof/>
          <w:szCs w:val="24"/>
        </w:rPr>
        <w:t xml:space="preserve">45. </w:t>
      </w:r>
      <w:r w:rsidRPr="00493503">
        <w:rPr>
          <w:rFonts w:ascii="Calibri" w:hAnsi="Calibri" w:cs="Calibri"/>
          <w:noProof/>
          <w:szCs w:val="24"/>
        </w:rPr>
        <w:tab/>
        <w:t xml:space="preserve">Smith DM, Benaroudj N, Goldberg A. Proteasomes and their associated ATPases: A destructive combination. </w:t>
      </w:r>
      <w:r w:rsidRPr="00F30AD6">
        <w:rPr>
          <w:rFonts w:ascii="Calibri" w:hAnsi="Calibri" w:cs="Calibri"/>
          <w:i/>
          <w:iCs/>
          <w:noProof/>
          <w:szCs w:val="24"/>
          <w:lang w:val="nl-NL"/>
        </w:rPr>
        <w:t>J Struct Biol</w:t>
      </w:r>
      <w:r w:rsidRPr="00F30AD6">
        <w:rPr>
          <w:rFonts w:ascii="Calibri" w:hAnsi="Calibri" w:cs="Calibri"/>
          <w:noProof/>
          <w:szCs w:val="24"/>
          <w:lang w:val="nl-NL"/>
        </w:rPr>
        <w:t>. 2006;156(1):72-83. doi:10.1016/j.jsb.2006.04.012</w:t>
      </w:r>
    </w:p>
    <w:p w14:paraId="51F2F62F"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F30AD6">
        <w:rPr>
          <w:rFonts w:ascii="Calibri" w:hAnsi="Calibri" w:cs="Calibri"/>
          <w:noProof/>
          <w:szCs w:val="24"/>
          <w:lang w:val="nl-NL"/>
        </w:rPr>
        <w:t xml:space="preserve">46. </w:t>
      </w:r>
      <w:r w:rsidRPr="00F30AD6">
        <w:rPr>
          <w:rFonts w:ascii="Calibri" w:hAnsi="Calibri" w:cs="Calibri"/>
          <w:noProof/>
          <w:szCs w:val="24"/>
          <w:lang w:val="nl-NL"/>
        </w:rPr>
        <w:tab/>
        <w:t xml:space="preserve">Petrof EO, Claud EC, Sun J, et al. </w:t>
      </w:r>
      <w:r w:rsidRPr="00493503">
        <w:rPr>
          <w:rFonts w:ascii="Calibri" w:hAnsi="Calibri" w:cs="Calibri"/>
          <w:noProof/>
          <w:szCs w:val="24"/>
        </w:rPr>
        <w:t xml:space="preserve">Bacteria-free solution derived from Lactobacillus plantarum inhibits multiple NF-kappaB pathways and inhibits proteasome function. </w:t>
      </w:r>
      <w:r w:rsidRPr="00493503">
        <w:rPr>
          <w:rFonts w:ascii="Calibri" w:hAnsi="Calibri" w:cs="Calibri"/>
          <w:i/>
          <w:iCs/>
          <w:noProof/>
          <w:szCs w:val="24"/>
        </w:rPr>
        <w:t>Inflamm Bowel Dis</w:t>
      </w:r>
      <w:r w:rsidRPr="00493503">
        <w:rPr>
          <w:rFonts w:ascii="Calibri" w:hAnsi="Calibri" w:cs="Calibri"/>
          <w:noProof/>
          <w:szCs w:val="24"/>
        </w:rPr>
        <w:t>. 2009;15(10):1537-1547. doi:10.1002/ibd.20930</w:t>
      </w:r>
    </w:p>
    <w:p w14:paraId="70DB53B2"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47. </w:t>
      </w:r>
      <w:r w:rsidRPr="00493503">
        <w:rPr>
          <w:rFonts w:ascii="Calibri" w:hAnsi="Calibri" w:cs="Calibri"/>
          <w:noProof/>
          <w:szCs w:val="24"/>
        </w:rPr>
        <w:tab/>
        <w:t xml:space="preserve">Wahl MC, Will CL, Lührmann R. The Spliceosome: Design Principles of a Dynamic RNP Machine. </w:t>
      </w:r>
      <w:r w:rsidRPr="00493503">
        <w:rPr>
          <w:rFonts w:ascii="Calibri" w:hAnsi="Calibri" w:cs="Calibri"/>
          <w:i/>
          <w:iCs/>
          <w:noProof/>
          <w:szCs w:val="24"/>
        </w:rPr>
        <w:t>Cell</w:t>
      </w:r>
      <w:r w:rsidRPr="00493503">
        <w:rPr>
          <w:rFonts w:ascii="Calibri" w:hAnsi="Calibri" w:cs="Calibri"/>
          <w:noProof/>
          <w:szCs w:val="24"/>
        </w:rPr>
        <w:t>. 2009;136(4):701-718. doi:10.1016/j.cell.2009.02.009</w:t>
      </w:r>
    </w:p>
    <w:p w14:paraId="2926BFB6"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48. </w:t>
      </w:r>
      <w:r w:rsidRPr="00493503">
        <w:rPr>
          <w:rFonts w:ascii="Calibri" w:hAnsi="Calibri" w:cs="Calibri"/>
          <w:noProof/>
          <w:szCs w:val="24"/>
        </w:rPr>
        <w:tab/>
        <w:t xml:space="preserve">Raveux A, Stedman A, Coqueran S, et al. Compensation between Wnt-driven tumorigenesis and cellular responses to ribosome biogenesis inhibition in the murine intestinal epithelium. </w:t>
      </w:r>
      <w:r w:rsidRPr="00493503">
        <w:rPr>
          <w:rFonts w:ascii="Calibri" w:hAnsi="Calibri" w:cs="Calibri"/>
          <w:i/>
          <w:iCs/>
          <w:noProof/>
          <w:szCs w:val="24"/>
        </w:rPr>
        <w:t>Cell Death Differ</w:t>
      </w:r>
      <w:r w:rsidRPr="00493503">
        <w:rPr>
          <w:rFonts w:ascii="Calibri" w:hAnsi="Calibri" w:cs="Calibri"/>
          <w:noProof/>
          <w:szCs w:val="24"/>
        </w:rPr>
        <w:t>. 2020;27(10):2872-2887. doi:10.1038/s41418-020-0548-6</w:t>
      </w:r>
    </w:p>
    <w:p w14:paraId="4E958042"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49. </w:t>
      </w:r>
      <w:r w:rsidRPr="00493503">
        <w:rPr>
          <w:rFonts w:ascii="Calibri" w:hAnsi="Calibri" w:cs="Calibri"/>
          <w:noProof/>
          <w:szCs w:val="24"/>
        </w:rPr>
        <w:tab/>
        <w:t xml:space="preserve">Stedman A, Beck-Cormier S, Le Bouteiller M, et al. Ribosome biogenesis dysfunction leads to p53-mediated apoptosis and goblet cell differentiation of mouse intestinal stem/progenitor cells. </w:t>
      </w:r>
      <w:r w:rsidRPr="00493503">
        <w:rPr>
          <w:rFonts w:ascii="Calibri" w:hAnsi="Calibri" w:cs="Calibri"/>
          <w:i/>
          <w:iCs/>
          <w:noProof/>
          <w:szCs w:val="24"/>
        </w:rPr>
        <w:t>Cell Death Differ</w:t>
      </w:r>
      <w:r w:rsidRPr="00493503">
        <w:rPr>
          <w:rFonts w:ascii="Calibri" w:hAnsi="Calibri" w:cs="Calibri"/>
          <w:noProof/>
          <w:szCs w:val="24"/>
        </w:rPr>
        <w:t>. 2015;22(11):1865-1876. doi:10.1038/cdd.2015.57</w:t>
      </w:r>
    </w:p>
    <w:p w14:paraId="58664755"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50. </w:t>
      </w:r>
      <w:r w:rsidRPr="00493503">
        <w:rPr>
          <w:rFonts w:ascii="Calibri" w:hAnsi="Calibri" w:cs="Calibri"/>
          <w:noProof/>
          <w:szCs w:val="24"/>
        </w:rPr>
        <w:tab/>
        <w:t xml:space="preserve">Rodriguez MS, Dargemont C, Stutz F. Nuclear export of RNA. </w:t>
      </w:r>
      <w:r w:rsidRPr="00493503">
        <w:rPr>
          <w:rFonts w:ascii="Calibri" w:hAnsi="Calibri" w:cs="Calibri"/>
          <w:i/>
          <w:iCs/>
          <w:noProof/>
          <w:szCs w:val="24"/>
        </w:rPr>
        <w:t>Biol Cell</w:t>
      </w:r>
      <w:r w:rsidRPr="00493503">
        <w:rPr>
          <w:rFonts w:ascii="Calibri" w:hAnsi="Calibri" w:cs="Calibri"/>
          <w:noProof/>
          <w:szCs w:val="24"/>
        </w:rPr>
        <w:t>. 2004;96(8):639-655. doi:10.1016/j.biolcel.2004.04.014</w:t>
      </w:r>
    </w:p>
    <w:p w14:paraId="66CB5C2C"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51. </w:t>
      </w:r>
      <w:r w:rsidRPr="00493503">
        <w:rPr>
          <w:rFonts w:ascii="Calibri" w:hAnsi="Calibri" w:cs="Calibri"/>
          <w:noProof/>
          <w:szCs w:val="24"/>
        </w:rPr>
        <w:tab/>
        <w:t xml:space="preserve">Magallanes-Cruz PA, Flores-Silva PC, Bello-Perez LA. Starch Structure Influences Its Digestibility: A Review. </w:t>
      </w:r>
      <w:r w:rsidRPr="00493503">
        <w:rPr>
          <w:rFonts w:ascii="Calibri" w:hAnsi="Calibri" w:cs="Calibri"/>
          <w:i/>
          <w:iCs/>
          <w:noProof/>
          <w:szCs w:val="24"/>
        </w:rPr>
        <w:t>J Food Sci</w:t>
      </w:r>
      <w:r w:rsidRPr="00493503">
        <w:rPr>
          <w:rFonts w:ascii="Calibri" w:hAnsi="Calibri" w:cs="Calibri"/>
          <w:noProof/>
          <w:szCs w:val="24"/>
        </w:rPr>
        <w:t>. 2017;82(9):2016-2023. doi:10.1111/1750-3841.13809</w:t>
      </w:r>
    </w:p>
    <w:p w14:paraId="229BEB16"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52. </w:t>
      </w:r>
      <w:r w:rsidRPr="00493503">
        <w:rPr>
          <w:rFonts w:ascii="Calibri" w:hAnsi="Calibri" w:cs="Calibri"/>
          <w:noProof/>
          <w:szCs w:val="24"/>
        </w:rPr>
        <w:tab/>
        <w:t xml:space="preserve">Jang C, Hui S, Lu W, et al. The Small Intestine Converts Dietary Fructose into Glucose and Organic Acids. </w:t>
      </w:r>
      <w:r w:rsidRPr="00493503">
        <w:rPr>
          <w:rFonts w:ascii="Calibri" w:hAnsi="Calibri" w:cs="Calibri"/>
          <w:i/>
          <w:iCs/>
          <w:noProof/>
          <w:szCs w:val="24"/>
        </w:rPr>
        <w:t>Cell Metab</w:t>
      </w:r>
      <w:r w:rsidRPr="00493503">
        <w:rPr>
          <w:rFonts w:ascii="Calibri" w:hAnsi="Calibri" w:cs="Calibri"/>
          <w:noProof/>
          <w:szCs w:val="24"/>
        </w:rPr>
        <w:t>. 2018;27(2):351-361.e3. doi:10.1016/j.cmet.2017.12.016</w:t>
      </w:r>
    </w:p>
    <w:p w14:paraId="5296826F"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53. </w:t>
      </w:r>
      <w:r w:rsidRPr="00493503">
        <w:rPr>
          <w:rFonts w:ascii="Calibri" w:hAnsi="Calibri" w:cs="Calibri"/>
          <w:noProof/>
          <w:szCs w:val="24"/>
        </w:rPr>
        <w:tab/>
        <w:t xml:space="preserve">Amrani N, Sachs MS, Jacobson A. Early nonsense: mRNA decay solves a translational problem. </w:t>
      </w:r>
      <w:r w:rsidRPr="00493503">
        <w:rPr>
          <w:rFonts w:ascii="Calibri" w:hAnsi="Calibri" w:cs="Calibri"/>
          <w:i/>
          <w:iCs/>
          <w:noProof/>
          <w:szCs w:val="24"/>
        </w:rPr>
        <w:t>Nat Rev Mol Cell Biol</w:t>
      </w:r>
      <w:r w:rsidRPr="00493503">
        <w:rPr>
          <w:rFonts w:ascii="Calibri" w:hAnsi="Calibri" w:cs="Calibri"/>
          <w:noProof/>
          <w:szCs w:val="24"/>
        </w:rPr>
        <w:t>. 2006;7(6):415-425. doi:10.1038/nrm1942</w:t>
      </w:r>
    </w:p>
    <w:p w14:paraId="7316B530"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lastRenderedPageBreak/>
        <w:t xml:space="preserve">54. </w:t>
      </w:r>
      <w:r w:rsidRPr="00493503">
        <w:rPr>
          <w:rFonts w:ascii="Calibri" w:hAnsi="Calibri" w:cs="Calibri"/>
          <w:noProof/>
          <w:szCs w:val="24"/>
        </w:rPr>
        <w:tab/>
        <w:t xml:space="preserve">Clement SL, Lykke-Andersen J. No mercy for messages that mess with the ribosome. </w:t>
      </w:r>
      <w:r w:rsidRPr="00493503">
        <w:rPr>
          <w:rFonts w:ascii="Calibri" w:hAnsi="Calibri" w:cs="Calibri"/>
          <w:i/>
          <w:iCs/>
          <w:noProof/>
          <w:szCs w:val="24"/>
        </w:rPr>
        <w:t>Nat Struct Mol Biol</w:t>
      </w:r>
      <w:r w:rsidRPr="00493503">
        <w:rPr>
          <w:rFonts w:ascii="Calibri" w:hAnsi="Calibri" w:cs="Calibri"/>
          <w:noProof/>
          <w:szCs w:val="24"/>
        </w:rPr>
        <w:t>. 2006;13(4):299-301. doi:10.1038/nsmb0406-299</w:t>
      </w:r>
    </w:p>
    <w:p w14:paraId="4931DC9C"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55. </w:t>
      </w:r>
      <w:r w:rsidRPr="00493503">
        <w:rPr>
          <w:rFonts w:ascii="Calibri" w:hAnsi="Calibri" w:cs="Calibri"/>
          <w:noProof/>
          <w:szCs w:val="24"/>
        </w:rPr>
        <w:tab/>
        <w:t xml:space="preserve">Brown G. Defects of thiamine transport and metabolism. </w:t>
      </w:r>
      <w:r w:rsidRPr="00493503">
        <w:rPr>
          <w:rFonts w:ascii="Calibri" w:hAnsi="Calibri" w:cs="Calibri"/>
          <w:i/>
          <w:iCs/>
          <w:noProof/>
          <w:szCs w:val="24"/>
        </w:rPr>
        <w:t>J Inherit Metab Dis</w:t>
      </w:r>
      <w:r w:rsidRPr="00493503">
        <w:rPr>
          <w:rFonts w:ascii="Calibri" w:hAnsi="Calibri" w:cs="Calibri"/>
          <w:noProof/>
          <w:szCs w:val="24"/>
        </w:rPr>
        <w:t>. 2014;37(4):577-585. doi:10.1007/S10545-014-9712-9/FIGURES/5</w:t>
      </w:r>
    </w:p>
    <w:p w14:paraId="18E93559"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56. </w:t>
      </w:r>
      <w:r w:rsidRPr="00493503">
        <w:rPr>
          <w:rFonts w:ascii="Calibri" w:hAnsi="Calibri" w:cs="Calibri"/>
          <w:noProof/>
          <w:szCs w:val="24"/>
        </w:rPr>
        <w:tab/>
        <w:t xml:space="preserve">Lonsdale D. A Review of the Biochemistry, Metabolism and Clinical Benefits of Thiamin(e) and Its Derivatives. </w:t>
      </w:r>
      <w:r w:rsidRPr="00493503">
        <w:rPr>
          <w:rFonts w:ascii="Calibri" w:hAnsi="Calibri" w:cs="Calibri"/>
          <w:i/>
          <w:iCs/>
          <w:noProof/>
          <w:szCs w:val="24"/>
        </w:rPr>
        <w:t>Evidence-based Complement Altern Med</w:t>
      </w:r>
      <w:r w:rsidRPr="00493503">
        <w:rPr>
          <w:rFonts w:ascii="Calibri" w:hAnsi="Calibri" w:cs="Calibri"/>
          <w:noProof/>
          <w:szCs w:val="24"/>
        </w:rPr>
        <w:t>. 2006;3(1):49. doi:10.1093/ECAM/NEK009</w:t>
      </w:r>
    </w:p>
    <w:p w14:paraId="45B067A8"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57. </w:t>
      </w:r>
      <w:r w:rsidRPr="00493503">
        <w:rPr>
          <w:rFonts w:ascii="Calibri" w:hAnsi="Calibri" w:cs="Calibri"/>
          <w:noProof/>
          <w:szCs w:val="24"/>
        </w:rPr>
        <w:tab/>
        <w:t xml:space="preserve">Lee IH, Campbell CR, Cook DI, Dinudom A. Regulation of epithelial Na+ channels by aldosterone: Role of Sgk1. In: </w:t>
      </w:r>
      <w:r w:rsidRPr="00493503">
        <w:rPr>
          <w:rFonts w:ascii="Calibri" w:hAnsi="Calibri" w:cs="Calibri"/>
          <w:i/>
          <w:iCs/>
          <w:noProof/>
          <w:szCs w:val="24"/>
        </w:rPr>
        <w:t>Clinical and Experimental Pharmacology and Physiology</w:t>
      </w:r>
      <w:r w:rsidRPr="00493503">
        <w:rPr>
          <w:rFonts w:ascii="Calibri" w:hAnsi="Calibri" w:cs="Calibri"/>
          <w:noProof/>
          <w:szCs w:val="24"/>
        </w:rPr>
        <w:t>. Vol 35. John Wiley &amp; Sons, Ltd; 2008:235-241. doi:10.1111/j.1440-1681.2007.04844.x</w:t>
      </w:r>
    </w:p>
    <w:p w14:paraId="1B856715"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58. </w:t>
      </w:r>
      <w:r w:rsidRPr="00493503">
        <w:rPr>
          <w:rFonts w:ascii="Calibri" w:hAnsi="Calibri" w:cs="Calibri"/>
          <w:noProof/>
          <w:szCs w:val="24"/>
        </w:rPr>
        <w:tab/>
        <w:t xml:space="preserve">Fontana L, Partridge L, Longo VD. Extending healthy life span-from yeast to humans. </w:t>
      </w:r>
      <w:r w:rsidRPr="00493503">
        <w:rPr>
          <w:rFonts w:ascii="Calibri" w:hAnsi="Calibri" w:cs="Calibri"/>
          <w:i/>
          <w:iCs/>
          <w:noProof/>
          <w:szCs w:val="24"/>
        </w:rPr>
        <w:t>Science (80- )</w:t>
      </w:r>
      <w:r w:rsidRPr="00493503">
        <w:rPr>
          <w:rFonts w:ascii="Calibri" w:hAnsi="Calibri" w:cs="Calibri"/>
          <w:noProof/>
          <w:szCs w:val="24"/>
        </w:rPr>
        <w:t>. 2010;328(5976):321-326. doi:10.1126/science.1172539</w:t>
      </w:r>
    </w:p>
    <w:p w14:paraId="67D05C4E"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59. </w:t>
      </w:r>
      <w:r w:rsidRPr="00493503">
        <w:rPr>
          <w:rFonts w:ascii="Calibri" w:hAnsi="Calibri" w:cs="Calibri"/>
          <w:noProof/>
          <w:szCs w:val="24"/>
        </w:rPr>
        <w:tab/>
        <w:t xml:space="preserve">Kenyon CJ. The genetics of ageing. </w:t>
      </w:r>
      <w:r w:rsidRPr="00493503">
        <w:rPr>
          <w:rFonts w:ascii="Calibri" w:hAnsi="Calibri" w:cs="Calibri"/>
          <w:i/>
          <w:iCs/>
          <w:noProof/>
          <w:szCs w:val="24"/>
        </w:rPr>
        <w:t>Nature</w:t>
      </w:r>
      <w:r w:rsidRPr="00493503">
        <w:rPr>
          <w:rFonts w:ascii="Calibri" w:hAnsi="Calibri" w:cs="Calibri"/>
          <w:noProof/>
          <w:szCs w:val="24"/>
        </w:rPr>
        <w:t>. 2010;464(7288):504-512. doi:10.1038/nature08980</w:t>
      </w:r>
    </w:p>
    <w:p w14:paraId="3F7207B5"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60. </w:t>
      </w:r>
      <w:r w:rsidRPr="00493503">
        <w:rPr>
          <w:rFonts w:ascii="Calibri" w:hAnsi="Calibri" w:cs="Calibri"/>
          <w:noProof/>
          <w:szCs w:val="24"/>
        </w:rPr>
        <w:tab/>
        <w:t xml:space="preserve">Longo VD, Fontana L. Calorie restriction and cancer prevention: metabolic and molecular mechanisms. </w:t>
      </w:r>
      <w:r w:rsidRPr="00493503">
        <w:rPr>
          <w:rFonts w:ascii="Calibri" w:hAnsi="Calibri" w:cs="Calibri"/>
          <w:i/>
          <w:iCs/>
          <w:noProof/>
          <w:szCs w:val="24"/>
        </w:rPr>
        <w:t>Trends Pharmacol Sci</w:t>
      </w:r>
      <w:r w:rsidRPr="00493503">
        <w:rPr>
          <w:rFonts w:ascii="Calibri" w:hAnsi="Calibri" w:cs="Calibri"/>
          <w:noProof/>
          <w:szCs w:val="24"/>
        </w:rPr>
        <w:t>. 2010;31(2):89-98. doi:10.1016/j.tips.2009.11.004</w:t>
      </w:r>
    </w:p>
    <w:p w14:paraId="149E8FC3"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szCs w:val="24"/>
        </w:rPr>
      </w:pPr>
      <w:r w:rsidRPr="00493503">
        <w:rPr>
          <w:rFonts w:ascii="Calibri" w:hAnsi="Calibri" w:cs="Calibri"/>
          <w:noProof/>
          <w:szCs w:val="24"/>
        </w:rPr>
        <w:t xml:space="preserve">61. </w:t>
      </w:r>
      <w:r w:rsidRPr="00493503">
        <w:rPr>
          <w:rFonts w:ascii="Calibri" w:hAnsi="Calibri" w:cs="Calibri"/>
          <w:noProof/>
          <w:szCs w:val="24"/>
        </w:rPr>
        <w:tab/>
        <w:t xml:space="preserve">Naidoo N. ER and aging-Protein folding and the ER stress response. </w:t>
      </w:r>
      <w:r w:rsidRPr="00493503">
        <w:rPr>
          <w:rFonts w:ascii="Calibri" w:hAnsi="Calibri" w:cs="Calibri"/>
          <w:i/>
          <w:iCs/>
          <w:noProof/>
          <w:szCs w:val="24"/>
        </w:rPr>
        <w:t>Ageing Res Rev</w:t>
      </w:r>
      <w:r w:rsidRPr="00493503">
        <w:rPr>
          <w:rFonts w:ascii="Calibri" w:hAnsi="Calibri" w:cs="Calibri"/>
          <w:noProof/>
          <w:szCs w:val="24"/>
        </w:rPr>
        <w:t>. 2009;8(3):150-159. doi:10.1016/j.arr.2009.03.001</w:t>
      </w:r>
    </w:p>
    <w:p w14:paraId="21FDD9A0" w14:textId="77777777" w:rsidR="00493503" w:rsidRPr="00493503" w:rsidRDefault="00493503" w:rsidP="00493503">
      <w:pPr>
        <w:widowControl w:val="0"/>
        <w:autoSpaceDE w:val="0"/>
        <w:autoSpaceDN w:val="0"/>
        <w:adjustRightInd w:val="0"/>
        <w:spacing w:line="240" w:lineRule="auto"/>
        <w:ind w:left="640" w:hanging="640"/>
        <w:rPr>
          <w:rFonts w:ascii="Calibri" w:hAnsi="Calibri" w:cs="Calibri"/>
          <w:noProof/>
        </w:rPr>
      </w:pPr>
      <w:r w:rsidRPr="00493503">
        <w:rPr>
          <w:rFonts w:ascii="Calibri" w:hAnsi="Calibri" w:cs="Calibri"/>
          <w:noProof/>
          <w:szCs w:val="24"/>
        </w:rPr>
        <w:t xml:space="preserve">62. </w:t>
      </w:r>
      <w:r w:rsidRPr="00493503">
        <w:rPr>
          <w:rFonts w:ascii="Calibri" w:hAnsi="Calibri" w:cs="Calibri"/>
          <w:noProof/>
          <w:szCs w:val="24"/>
        </w:rPr>
        <w:tab/>
        <w:t xml:space="preserve">Määttänen P, Gehring K, Bergeron JJM, Thomas DY. Protein quality control in the ER: The recognition of misfolded proteins. </w:t>
      </w:r>
      <w:r w:rsidRPr="00493503">
        <w:rPr>
          <w:rFonts w:ascii="Calibri" w:hAnsi="Calibri" w:cs="Calibri"/>
          <w:i/>
          <w:iCs/>
          <w:noProof/>
          <w:szCs w:val="24"/>
        </w:rPr>
        <w:t>Semin Cell Dev Biol</w:t>
      </w:r>
      <w:r w:rsidRPr="00493503">
        <w:rPr>
          <w:rFonts w:ascii="Calibri" w:hAnsi="Calibri" w:cs="Calibri"/>
          <w:noProof/>
          <w:szCs w:val="24"/>
        </w:rPr>
        <w:t>. 2010;21(5):500-511. doi:10.1016/j.semcdb.2010.03.006</w:t>
      </w:r>
    </w:p>
    <w:p w14:paraId="3557A6A1" w14:textId="2A1458E1" w:rsidR="00822D13" w:rsidRDefault="00822D13">
      <w:r>
        <w:fldChar w:fldCharType="end"/>
      </w:r>
    </w:p>
    <w:sectPr w:rsidR="00822D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D13"/>
    <w:rsid w:val="0002010A"/>
    <w:rsid w:val="001A15E2"/>
    <w:rsid w:val="00361B7B"/>
    <w:rsid w:val="004802B1"/>
    <w:rsid w:val="00493503"/>
    <w:rsid w:val="00592FC4"/>
    <w:rsid w:val="00822D13"/>
    <w:rsid w:val="00866B2A"/>
    <w:rsid w:val="00914058"/>
    <w:rsid w:val="00A044F5"/>
    <w:rsid w:val="00F30AD6"/>
    <w:rsid w:val="00FD7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BD945"/>
  <w15:chartTrackingRefBased/>
  <w15:docId w15:val="{56DAB21A-CEFB-44EA-AA55-C097C00C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D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22D13"/>
    <w:rPr>
      <w:sz w:val="16"/>
      <w:szCs w:val="16"/>
    </w:rPr>
  </w:style>
  <w:style w:type="paragraph" w:styleId="CommentText">
    <w:name w:val="annotation text"/>
    <w:basedOn w:val="Normal"/>
    <w:link w:val="CommentTextChar"/>
    <w:uiPriority w:val="99"/>
    <w:unhideWhenUsed/>
    <w:rsid w:val="00822D13"/>
    <w:pPr>
      <w:spacing w:line="240" w:lineRule="auto"/>
    </w:pPr>
    <w:rPr>
      <w:sz w:val="20"/>
      <w:szCs w:val="20"/>
    </w:rPr>
  </w:style>
  <w:style w:type="character" w:customStyle="1" w:styleId="CommentTextChar">
    <w:name w:val="Comment Text Char"/>
    <w:basedOn w:val="DefaultParagraphFont"/>
    <w:link w:val="CommentText"/>
    <w:uiPriority w:val="99"/>
    <w:rsid w:val="00822D13"/>
    <w:rPr>
      <w:sz w:val="20"/>
      <w:szCs w:val="20"/>
    </w:rPr>
  </w:style>
  <w:style w:type="character" w:styleId="FootnoteReference">
    <w:name w:val="footnote reference"/>
    <w:basedOn w:val="DefaultParagraphFont"/>
    <w:uiPriority w:val="99"/>
    <w:semiHidden/>
    <w:unhideWhenUsed/>
    <w:rsid w:val="00822D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C480F-5420-414B-B403-533019F14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36480</Words>
  <Characters>207936</Characters>
  <Application>Microsoft Office Word</Application>
  <DocSecurity>0</DocSecurity>
  <Lines>1732</Lines>
  <Paragraphs>487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Grouls, Menno</dc:creator>
  <cp:keywords/>
  <dc:description/>
  <cp:lastModifiedBy>Grouls, Menno</cp:lastModifiedBy>
  <cp:revision>3</cp:revision>
  <dcterms:created xsi:type="dcterms:W3CDTF">2022-07-06T12:30:00Z</dcterms:created>
  <dcterms:modified xsi:type="dcterms:W3CDTF">2022-08-08T10:17:00Z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http://www.zotero.org/styles/bmc-genomics</vt:lpwstr>
  </property>
  <property fmtid="{D5CDD505-2E9C-101B-9397-08002B2CF9AE}" pid="9" name="Mendeley Recent Style Name 3_1">
    <vt:lpwstr>BMC Genomics</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533cfe32-a03a-3f33-b571-cc4131491e13</vt:lpwstr>
  </property>
  <property fmtid="{D5CDD505-2E9C-101B-9397-08002B2CF9AE}" pid="24" name="Mendeley Citation Style_1">
    <vt:lpwstr>http://www.zotero.org/styles/american-medical-association</vt:lpwstr>
  </property>
</Properties>
</file>