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4D3F0" w14:textId="77777777" w:rsidR="00810349" w:rsidRDefault="00810349">
      <w:pPr>
        <w:rPr>
          <w:b/>
          <w:lang w:val="en-US"/>
        </w:rPr>
      </w:pPr>
    </w:p>
    <w:p w14:paraId="543CE873" w14:textId="41BB0D95" w:rsidR="007E6F4F" w:rsidRPr="002E4E02" w:rsidRDefault="00996C6C">
      <w:pPr>
        <w:rPr>
          <w:b/>
          <w:lang w:val="en-US"/>
        </w:rPr>
      </w:pPr>
      <w:r w:rsidRPr="002E4E02">
        <w:rPr>
          <w:b/>
          <w:lang w:val="en-US"/>
        </w:rPr>
        <w:t>Supplementary materials</w:t>
      </w:r>
    </w:p>
    <w:p w14:paraId="783FB0AC" w14:textId="5D96054E" w:rsidR="00711D7E" w:rsidRPr="00F26960" w:rsidRDefault="00711D7E" w:rsidP="00711D7E">
      <w:pPr>
        <w:rPr>
          <w:b/>
          <w:lang w:val="en-GB"/>
        </w:rPr>
      </w:pPr>
      <w:r w:rsidRPr="00F26960">
        <w:rPr>
          <w:b/>
          <w:lang w:val="en-GB"/>
        </w:rPr>
        <w:t xml:space="preserve">Post-foraging </w:t>
      </w:r>
      <w:r w:rsidR="00C75438">
        <w:rPr>
          <w:b/>
          <w:lang w:val="en-GB"/>
        </w:rPr>
        <w:t xml:space="preserve">in-colony </w:t>
      </w:r>
      <w:r w:rsidRPr="00F26960">
        <w:rPr>
          <w:b/>
          <w:lang w:val="en-GB"/>
        </w:rPr>
        <w:t xml:space="preserve">behaviour </w:t>
      </w:r>
      <w:r w:rsidR="00C75438">
        <w:rPr>
          <w:b/>
          <w:lang w:val="en-GB"/>
        </w:rPr>
        <w:t xml:space="preserve">of </w:t>
      </w:r>
      <w:r>
        <w:rPr>
          <w:b/>
          <w:lang w:val="en-GB"/>
        </w:rPr>
        <w:t>a central-place foraging seabird</w:t>
      </w:r>
    </w:p>
    <w:p w14:paraId="3E69A767" w14:textId="08443160" w:rsidR="00711D7E" w:rsidRDefault="00711D7E" w:rsidP="00711D7E">
      <w:pPr>
        <w:rPr>
          <w:lang w:val="en-GB"/>
        </w:rPr>
      </w:pPr>
      <w:r w:rsidRPr="00F37492">
        <w:rPr>
          <w:lang w:val="en-GB"/>
        </w:rPr>
        <w:t>Katarzyna Wojczulanis-Jakubas</w:t>
      </w:r>
      <w:r w:rsidRPr="008478B5">
        <w:rPr>
          <w:vertAlign w:val="superscript"/>
          <w:lang w:val="en-GB"/>
        </w:rPr>
        <w:t>1</w:t>
      </w:r>
      <w:r w:rsidRPr="008478B5">
        <w:rPr>
          <w:lang w:val="en-GB"/>
        </w:rPr>
        <w:t xml:space="preserve">*, </w:t>
      </w:r>
      <w:r w:rsidRPr="00F37492">
        <w:rPr>
          <w:lang w:val="en-GB"/>
        </w:rPr>
        <w:t>Antoine Grissot</w:t>
      </w:r>
      <w:r w:rsidRPr="0007124C">
        <w:rPr>
          <w:vertAlign w:val="superscript"/>
          <w:lang w:val="en-GB"/>
        </w:rPr>
        <w:t>1</w:t>
      </w:r>
      <w:r w:rsidRPr="00F37492">
        <w:rPr>
          <w:lang w:val="en-GB"/>
        </w:rPr>
        <w:t>, Marion Devogel</w:t>
      </w:r>
      <w:r w:rsidRPr="0007124C">
        <w:rPr>
          <w:vertAlign w:val="superscript"/>
          <w:lang w:val="en-GB"/>
        </w:rPr>
        <w:t>1</w:t>
      </w:r>
      <w:r w:rsidRPr="00F37492">
        <w:rPr>
          <w:lang w:val="en-GB"/>
        </w:rPr>
        <w:t xml:space="preserve">, </w:t>
      </w:r>
      <w:proofErr w:type="spellStart"/>
      <w:r>
        <w:rPr>
          <w:lang w:val="en-GB"/>
        </w:rPr>
        <w:t>Lauraleen</w:t>
      </w:r>
      <w:proofErr w:type="spellEnd"/>
      <w:r>
        <w:rPr>
          <w:lang w:val="en-GB"/>
        </w:rPr>
        <w:t xml:space="preserve"> Altmeyer</w:t>
      </w:r>
      <w:r w:rsidRPr="007921C7">
        <w:rPr>
          <w:vertAlign w:val="superscript"/>
          <w:lang w:val="en-GB"/>
        </w:rPr>
        <w:t>1,</w:t>
      </w:r>
      <w:r>
        <w:rPr>
          <w:vertAlign w:val="superscript"/>
          <w:lang w:val="en-GB"/>
        </w:rPr>
        <w:t>2</w:t>
      </w:r>
      <w:r>
        <w:rPr>
          <w:lang w:val="en-GB"/>
        </w:rPr>
        <w:t xml:space="preserve">, </w:t>
      </w:r>
      <w:r w:rsidRPr="00F37492">
        <w:rPr>
          <w:lang w:val="en-GB"/>
        </w:rPr>
        <w:t>Tessa Fujisaki</w:t>
      </w:r>
      <w:r>
        <w:rPr>
          <w:vertAlign w:val="superscript"/>
          <w:lang w:val="en-GB"/>
        </w:rPr>
        <w:t>3</w:t>
      </w:r>
      <w:r w:rsidRPr="00F37492">
        <w:rPr>
          <w:lang w:val="en-GB"/>
        </w:rPr>
        <w:t xml:space="preserve">, </w:t>
      </w:r>
      <w:proofErr w:type="spellStart"/>
      <w:r w:rsidRPr="00F37492">
        <w:rPr>
          <w:lang w:val="en-GB"/>
        </w:rPr>
        <w:t>Dariusz</w:t>
      </w:r>
      <w:proofErr w:type="spellEnd"/>
      <w:r w:rsidRPr="00F37492">
        <w:rPr>
          <w:lang w:val="en-GB"/>
        </w:rPr>
        <w:t xml:space="preserve"> Jakubas</w:t>
      </w:r>
      <w:r w:rsidRPr="0007124C">
        <w:rPr>
          <w:vertAlign w:val="superscript"/>
          <w:lang w:val="en-GB"/>
        </w:rPr>
        <w:t>1</w:t>
      </w:r>
      <w:r w:rsidRPr="00F37492">
        <w:rPr>
          <w:lang w:val="en-GB"/>
        </w:rPr>
        <w:t xml:space="preserve">, </w:t>
      </w:r>
      <w:proofErr w:type="spellStart"/>
      <w:r w:rsidRPr="00F37492">
        <w:rPr>
          <w:lang w:val="en-GB"/>
        </w:rPr>
        <w:t>Dorota</w:t>
      </w:r>
      <w:proofErr w:type="spellEnd"/>
      <w:r w:rsidRPr="00F37492">
        <w:rPr>
          <w:lang w:val="en-GB"/>
        </w:rPr>
        <w:t xml:space="preserve"> Kidawa</w:t>
      </w:r>
      <w:r w:rsidRPr="0007124C">
        <w:rPr>
          <w:vertAlign w:val="superscript"/>
          <w:lang w:val="en-GB"/>
        </w:rPr>
        <w:t>1</w:t>
      </w:r>
      <w:r w:rsidRPr="00F37492">
        <w:rPr>
          <w:lang w:val="en-GB"/>
        </w:rPr>
        <w:t>, Nina Karnovsky</w:t>
      </w:r>
      <w:r>
        <w:rPr>
          <w:vertAlign w:val="superscript"/>
          <w:lang w:val="en-GB"/>
        </w:rPr>
        <w:t>3</w:t>
      </w:r>
    </w:p>
    <w:p w14:paraId="73592D94" w14:textId="2BB899AF" w:rsidR="00EA52A2" w:rsidRDefault="00EA52A2">
      <w:pPr>
        <w:rPr>
          <w:lang w:val="en-GB"/>
        </w:rPr>
      </w:pPr>
    </w:p>
    <w:p w14:paraId="63EC9B00" w14:textId="0B61B9A8" w:rsidR="00810349" w:rsidRDefault="00810349">
      <w:pPr>
        <w:rPr>
          <w:b/>
          <w:lang w:val="en-GB"/>
        </w:rPr>
      </w:pPr>
      <w:r w:rsidRPr="00810349">
        <w:rPr>
          <w:b/>
          <w:lang w:val="en-GB"/>
        </w:rPr>
        <w:t>Location of focal nests</w:t>
      </w:r>
      <w:bookmarkStart w:id="0" w:name="_GoBack"/>
      <w:bookmarkEnd w:id="0"/>
      <w:r>
        <w:rPr>
          <w:b/>
          <w:lang w:val="en-GB"/>
        </w:rPr>
        <w:t>.</w:t>
      </w:r>
    </w:p>
    <w:p w14:paraId="3F1C0D57" w14:textId="0D93C6BE" w:rsidR="00810349" w:rsidRDefault="00C7288F" w:rsidP="00DE39AB">
      <w:pPr>
        <w:jc w:val="both"/>
        <w:rPr>
          <w:lang w:val="en-GB"/>
        </w:rPr>
      </w:pPr>
      <w:r w:rsidRPr="00C7288F">
        <w:rPr>
          <w:lang w:val="en-GB"/>
        </w:rPr>
        <w:t xml:space="preserve">All the nests considered </w:t>
      </w:r>
      <w:r>
        <w:rPr>
          <w:lang w:val="en-GB"/>
        </w:rPr>
        <w:t xml:space="preserve">in the study were randomly selected from all the nests that were available for researchers. Note that only part of the nests in a colony plot (unknown percentage) is available for the researchers due to nesting of the little auk in deep rock crevices. Also only part of the focal nest is denoted (due to missing coordinates for all the nests). The figure below illustrates spatial location of </w:t>
      </w:r>
      <w:r w:rsidR="00DE39AB">
        <w:rPr>
          <w:lang w:val="en-GB"/>
        </w:rPr>
        <w:t xml:space="preserve">some of </w:t>
      </w:r>
      <w:r>
        <w:rPr>
          <w:lang w:val="en-GB"/>
        </w:rPr>
        <w:t xml:space="preserve">the focal (black crosses) and </w:t>
      </w:r>
      <w:r w:rsidR="00DE39AB">
        <w:rPr>
          <w:lang w:val="en-GB"/>
        </w:rPr>
        <w:t xml:space="preserve">some of the </w:t>
      </w:r>
      <w:r>
        <w:rPr>
          <w:lang w:val="en-GB"/>
        </w:rPr>
        <w:t xml:space="preserve">other nests on </w:t>
      </w:r>
      <w:r w:rsidR="00DE39AB">
        <w:rPr>
          <w:lang w:val="en-GB"/>
        </w:rPr>
        <w:t xml:space="preserve">the </w:t>
      </w:r>
      <w:r>
        <w:rPr>
          <w:lang w:val="en-GB"/>
        </w:rPr>
        <w:t>study plot. Importantly, the colony plot does not have any specific structure that would favour/</w:t>
      </w:r>
      <w:r w:rsidR="00DE39AB">
        <w:rPr>
          <w:lang w:val="en-GB"/>
        </w:rPr>
        <w:t xml:space="preserve"> not favour</w:t>
      </w:r>
      <w:r>
        <w:rPr>
          <w:lang w:val="en-GB"/>
        </w:rPr>
        <w:t xml:space="preserve"> some nests in respect to predation. </w:t>
      </w:r>
      <w:r w:rsidR="00DE39AB">
        <w:rPr>
          <w:lang w:val="en-GB"/>
        </w:rPr>
        <w:t xml:space="preserve">Also the way the predators (the glaucous gull and Arctic fox) hunt on the little auk (exploiting freely the whole colony) does not favour/ not favour particular nests. </w:t>
      </w:r>
      <w:r>
        <w:rPr>
          <w:lang w:val="en-GB"/>
        </w:rPr>
        <w:t xml:space="preserve">All the focal nests were relatively close to each other (as denoted by the dashed lines of 49 m and 54 m long). </w:t>
      </w:r>
    </w:p>
    <w:p w14:paraId="425A9F4E" w14:textId="5F334E70" w:rsidR="00810349" w:rsidRDefault="00810349">
      <w:pPr>
        <w:rPr>
          <w:lang w:val="en-GB"/>
        </w:rPr>
      </w:pPr>
      <w:r>
        <w:rPr>
          <w:noProof/>
          <w:lang w:val="en-US"/>
        </w:rPr>
        <w:drawing>
          <wp:inline distT="0" distB="0" distL="0" distR="0" wp14:anchorId="7061D6F0" wp14:editId="1B099EBD">
            <wp:extent cx="5760720" cy="415544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4155440"/>
                    </a:xfrm>
                    <a:prstGeom prst="rect">
                      <a:avLst/>
                    </a:prstGeom>
                  </pic:spPr>
                </pic:pic>
              </a:graphicData>
            </a:graphic>
          </wp:inline>
        </w:drawing>
      </w:r>
    </w:p>
    <w:p w14:paraId="4E54FF45" w14:textId="2BA2332F" w:rsidR="00810349" w:rsidRDefault="00DE39AB" w:rsidP="00DE39AB">
      <w:pPr>
        <w:jc w:val="both"/>
        <w:rPr>
          <w:b/>
          <w:lang w:val="en-GB"/>
        </w:rPr>
      </w:pPr>
      <w:r w:rsidRPr="00DE39AB">
        <w:rPr>
          <w:b/>
          <w:lang w:val="en-GB"/>
        </w:rPr>
        <w:t xml:space="preserve">Figure S1. </w:t>
      </w:r>
      <w:r w:rsidRPr="00DE39AB">
        <w:rPr>
          <w:lang w:val="en-GB"/>
        </w:rPr>
        <w:t>Spatial arrangement of focal (black crosses) and other nests (violet triangles) available to researchers in a colony plot. Dashed lines are to measure across-the plot distance (49 and 54 shorter and longer lines, respectively).</w:t>
      </w:r>
    </w:p>
    <w:p w14:paraId="3DA7F802" w14:textId="77777777" w:rsidR="00DE39AB" w:rsidRPr="00DE39AB" w:rsidRDefault="00DE39AB">
      <w:pPr>
        <w:rPr>
          <w:b/>
          <w:lang w:val="en-GB"/>
        </w:rPr>
      </w:pPr>
    </w:p>
    <w:p w14:paraId="45FEE033" w14:textId="567CDF13" w:rsidR="00EA52A2" w:rsidRPr="001C4ED0" w:rsidRDefault="00C75438" w:rsidP="00EA52A2">
      <w:pPr>
        <w:jc w:val="both"/>
        <w:rPr>
          <w:rFonts w:cstheme="minorHAnsi"/>
          <w:b/>
          <w:bCs/>
          <w:lang w:val="en-US"/>
        </w:rPr>
      </w:pPr>
      <w:r>
        <w:rPr>
          <w:rFonts w:cstheme="minorHAnsi"/>
          <w:b/>
          <w:bCs/>
          <w:lang w:val="en-US"/>
        </w:rPr>
        <w:lastRenderedPageBreak/>
        <w:t>Inter-annual variability of e</w:t>
      </w:r>
      <w:r w:rsidR="00EA52A2" w:rsidRPr="001C4ED0">
        <w:rPr>
          <w:rFonts w:cstheme="minorHAnsi"/>
          <w:b/>
          <w:bCs/>
          <w:lang w:val="en-US"/>
        </w:rPr>
        <w:t xml:space="preserve">nvironmental conditions </w:t>
      </w:r>
    </w:p>
    <w:p w14:paraId="62633C5A" w14:textId="373D9D5F" w:rsidR="00C52BB1" w:rsidRPr="00EA52A2" w:rsidRDefault="00C75438" w:rsidP="00C75438">
      <w:pPr>
        <w:jc w:val="both"/>
        <w:rPr>
          <w:rFonts w:cstheme="minorHAnsi"/>
          <w:lang w:val="en-US"/>
        </w:rPr>
      </w:pPr>
      <w:r w:rsidRPr="00C75438">
        <w:rPr>
          <w:rFonts w:cstheme="minorHAnsi"/>
          <w:b/>
          <w:lang w:val="en-US"/>
        </w:rPr>
        <w:t>S</w:t>
      </w:r>
      <w:r w:rsidR="00C52BB1" w:rsidRPr="00C75438">
        <w:rPr>
          <w:rFonts w:cstheme="minorHAnsi"/>
          <w:b/>
          <w:lang w:val="en-US"/>
        </w:rPr>
        <w:t>ea surface temperature</w:t>
      </w:r>
      <w:r w:rsidR="00C52BB1" w:rsidRPr="00EA52A2">
        <w:rPr>
          <w:rFonts w:cstheme="minorHAnsi"/>
          <w:lang w:val="en-US"/>
        </w:rPr>
        <w:t xml:space="preserve"> (SST) in July (</w:t>
      </w:r>
      <w:r w:rsidR="00691399">
        <w:rPr>
          <w:rFonts w:cstheme="minorHAnsi"/>
          <w:lang w:val="en-US"/>
        </w:rPr>
        <w:t xml:space="preserve">the </w:t>
      </w:r>
      <w:r w:rsidR="00C52BB1" w:rsidRPr="00EA52A2">
        <w:rPr>
          <w:rFonts w:cstheme="minorHAnsi"/>
          <w:lang w:val="en-US"/>
        </w:rPr>
        <w:t xml:space="preserve">early and </w:t>
      </w:r>
      <w:r w:rsidR="00985092" w:rsidRPr="00EA52A2">
        <w:rPr>
          <w:rFonts w:cstheme="minorHAnsi"/>
          <w:lang w:val="en-US"/>
        </w:rPr>
        <w:t>mid-chick</w:t>
      </w:r>
      <w:r w:rsidR="00C52BB1" w:rsidRPr="00EA52A2">
        <w:rPr>
          <w:rFonts w:cstheme="minorHAnsi"/>
          <w:lang w:val="en-US"/>
        </w:rPr>
        <w:t xml:space="preserve">-rearing period) </w:t>
      </w:r>
      <w:r>
        <w:rPr>
          <w:rFonts w:cstheme="minorHAnsi"/>
          <w:lang w:val="en-US"/>
        </w:rPr>
        <w:t xml:space="preserve">was considered </w:t>
      </w:r>
      <w:r w:rsidR="00C52BB1" w:rsidRPr="00EA52A2">
        <w:rPr>
          <w:rFonts w:cstheme="minorHAnsi"/>
          <w:lang w:val="en-US"/>
        </w:rPr>
        <w:t xml:space="preserve">as a proxy of environmental conditions </w:t>
      </w:r>
      <w:r>
        <w:rPr>
          <w:rFonts w:cstheme="minorHAnsi"/>
          <w:lang w:val="en-US"/>
        </w:rPr>
        <w:t xml:space="preserve">on </w:t>
      </w:r>
      <w:r w:rsidR="00C52BB1" w:rsidRPr="00EA52A2">
        <w:rPr>
          <w:rFonts w:cstheme="minorHAnsi"/>
          <w:lang w:val="en-US"/>
        </w:rPr>
        <w:t>the little auk foraging areas.</w:t>
      </w:r>
      <w:r w:rsidR="00FB205C">
        <w:rPr>
          <w:rFonts w:cstheme="minorHAnsi"/>
          <w:lang w:val="en-US"/>
        </w:rPr>
        <w:t xml:space="preserve"> SST has been recognize</w:t>
      </w:r>
      <w:r>
        <w:rPr>
          <w:rFonts w:cstheme="minorHAnsi"/>
          <w:lang w:val="en-US"/>
        </w:rPr>
        <w:t>d</w:t>
      </w:r>
      <w:r w:rsidR="00FB205C">
        <w:rPr>
          <w:rFonts w:cstheme="minorHAnsi"/>
          <w:lang w:val="en-US"/>
        </w:rPr>
        <w:t xml:space="preserve"> as important determinant of the o</w:t>
      </w:r>
      <w:r>
        <w:rPr>
          <w:rFonts w:cstheme="minorHAnsi"/>
          <w:lang w:val="en-US"/>
        </w:rPr>
        <w:t xml:space="preserve">ccurrence of Arctic zooplankton, main prey items of the little auk on </w:t>
      </w:r>
      <w:r w:rsidR="00FB205C">
        <w:rPr>
          <w:rFonts w:cstheme="minorHAnsi"/>
          <w:lang w:val="en-US"/>
        </w:rPr>
        <w:t>Svalbard</w:t>
      </w:r>
      <w:r>
        <w:rPr>
          <w:rFonts w:cstheme="minorHAnsi"/>
          <w:lang w:val="en-US"/>
        </w:rPr>
        <w:t xml:space="preserve"> </w:t>
      </w:r>
      <w:r w:rsidR="00FB205C">
        <w:rPr>
          <w:rFonts w:cstheme="minorHAnsi"/>
          <w:lang w:val="en-US"/>
        </w:rPr>
        <w:fldChar w:fldCharType="begin" w:fldLock="1"/>
      </w:r>
      <w:r w:rsidR="00AE0BED">
        <w:rPr>
          <w:rFonts w:cstheme="minorHAnsi"/>
          <w:lang w:val="en-US"/>
        </w:rPr>
        <w:instrText>ADDIN CSL_CITATION {"citationItems":[{"id":"ITEM-1","itemData":{"DOI":"10.1093/plankt/fbs059","ISBN":"0142-7873","ISSN":"01427873","abstract":"The biomass of Calanus spp. in the Norwegian Atlantic Current and the West Spitsbergen Current (2001-2009) was statistically related to a combination of salinity, temperature, water depth and sea ice concentration. The aim of this study was to identify the significance of these environmental factors for controlling the species-specific biomass distribution and the nature of such relationships. Calanus finmarchicus dominated the entire area and its biomass was mainly related to salinity. Calanus glacialis was mainly found along the northwest shelf of the Barents Sea, but its biomass was also related to the sea ice concentration and temperature with a critical threshold [~]6{degrees}C, above which the presence and biomass of C. glacialis decreased. The Calanus hyperboreus biomass was related to all environmental factors, which characterized by a confined spatial distribution to water associated with the Greenland Sea Gyre. We conclude that C. hyperboreus is an expatriate to the study area. The Calanus biomass distribution will not change greatly in the study area with an expected increase of water temperature by 2{degrees}C, whereas the critical temperature threshold for C. glacialis will be exceeded with temperature increases of [~]4{degrees}C with a likely disappearance of this cold water species from the north-west shelf of the Barents Sea.","author":[{"dropping-particle":"","family":"Carstensen","given":"Jacob","non-dropping-particle":"","parse-names":false,"suffix":""},{"dropping-particle":"","family":"Weydmann","given":"Agata","non-dropping-particle":"","parse-names":false,"suffix":""},{"dropping-particle":"","family":"Olszewska","given":"Anna","non-dropping-particle":"","parse-names":false,"suffix":""},{"dropping-particle":"","family":"Kwaśniewski","given":"Sł?awomir","non-dropping-particle":"","parse-names":false,"suffix":""}],"container-title":"Journal of Plankton Research","id":"ITEM-1","issue":"11","issued":{"date-parts":[["2012","11"]]},"page":"951-966","publisher":"Oxford University Press","title":"Effects of environmental conditions on the biomass of &lt;i&gt;Calanus&lt;/i&gt; spp. in the Nordic Seas","type":"article-journal","volume":"34"},"uris":["http://www.mendeley.com/documents/?uuid=aefbc2b5-d11c-3c31-9340-4fcb2f053acb","http://www.mendeley.com/documents/?uuid=8fc51680-40bf-441b-b1f3-e0ede7b3c408"]},{"id":"ITEM-2","itemData":{"DOI":"10.1093/icesjms/fss076","ISBN":"1054-3139","ISSN":"10543139","abstract":"Kwasniewski, S., Gluchowska, M., Walkusz, W., Karnovsky, N. J., Jakubas, D., Wojczulanis-Jakubas, K., Harding, A. M. A., Goszczko, I., Cisek, M., Beszczynska-Moller, A., Walczowski, W., Weslawski, J. M., and Stempniewicz, L. 2012. Interannual changes in zooplankton on the West Spitsbergen Shelf in relation to hydrography and their consequences for the diet of planktivorous seabirds. - ICES Journal of Marine Science, 69: 890-901. The purpose of the work was to determine how atmospheric and oceanic processes (the North Atlantic Oscillation (NAO) and the Arctic Ocean Oscillation (AOO)) influence hydrography and zooplankton on the West Spitsbergen Shelf (WSS), and the impacts of the processes on chick meals of zooplanktivorous little auks Alle alle. There were distinct Atlantic and Arctic oceanographic domains on the shelf resulting from the presence of the West Spitsbergen Current and the Sorkapp Current, which contain different proportions of Calanus finmarchicus and C. glacialis. The abundance of warm- and cold-water species varied as a result of an interplay between processes in the atmosphere and ocean. In the Arctic domain, on which the study focused, the NAO impacted oceanography, zooplankton, and consequently little auk chick meals, with time-lags of 4-7 years. The diet of little auk chicks was more energy-rich when C. glacialis stage 5 in the Arctic community were more easily available. To date, the changes in zooplankton abundance on the WSS have not posed a threat to the ability of little auks to feed their chicks lipid-rich Arctic copepods.","author":[{"dropping-particle":"","family":"Kwasniewski","given":"Slawomir","non-dropping-particle":"","parse-names":false,"suffix":""},{"dropping-particle":"","family":"Gluchowska","given":"Marta","non-dropping-particle":"","parse-names":false,"suffix":""},{"dropping-particle":"","family":"Walkusz","given":"Wojciech","non-dropping-particle":"","parse-names":false,"suffix":""},{"dropping-particle":"","family":"Karnovsky","given":"Nina J.","non-dropping-particle":"","parse-names":false,"suffix":""},{"dropping-particle":"","family":"Jakubas","given":"Dariusz","non-dropping-particle":"","parse-names":false,"suffix":""},{"dropping-particle":"","family":"Wojczulanis-Jakubas","given":"Katarzyna","non-dropping-particle":"","parse-names":false,"suffix":""},{"dropping-particle":"","family":"Harding","given":"Ann M.A. A","non-dropping-particle":"","parse-names":false,"suffix":""},{"dropping-particle":"","family":"Goszczko","given":"Ilona","non-dropping-particle":"","parse-names":false,"suffix":""},{"dropping-particle":"","family":"Cisek","given":"Malgorzata","non-dropping-particle":"","parse-names":false,"suffix":""},{"dropping-particle":"","family":"Beszczynska-Mller","given":"Agnieszka","non-dropping-particle":"","parse-names":false,"suffix":""},{"dropping-particle":"","family":"Walczowski","given":"Waldemar","non-dropping-particle":"","parse-names":false,"suffix":""},{"dropping-particle":"","family":"Weslawski","given":"Jan M.","non-dropping-particle":"","parse-names":false,"suffix":""},{"dropping-particle":"","family":"Stempniewicz","given":"Lech","non-dropping-particle":"","parse-names":false,"suffix":""}],"container-title":"ICES Journal of Marine Science","id":"ITEM-2","issue":"5","issued":{"date-parts":[["2012"]]},"page":"890-901","title":"Interannual changes in zooplankton on the West Spitsbergen Shelf in relation to hydrography and their consequences for the diet of planktivorous seabirds","type":"article-journal","volume":"69"},"uris":["http://www.mendeley.com/documents/?uuid=d9953220-81ca-49fd-a75e-44f564693162","http://www.mendeley.com/documents/?uuid=452b81de-de29-4b7e-8282-c0eb2b4ef1d0"]}],"mendeley":{"formattedCitation":"(Kwasniewski et al. 2012; Carstensen et al. 2012)","plainTextFormattedCitation":"(Kwasniewski et al. 2012; Carstensen et al. 2012)","previouslyFormattedCitation":"(Carstensen et al., 2012; Kwasniewski et al., 2012)"},"properties":{"noteIndex":0},"schema":"https://github.com/citation-style-language/schema/raw/master/csl-citation.json"}</w:instrText>
      </w:r>
      <w:r w:rsidR="00FB205C">
        <w:rPr>
          <w:rFonts w:cstheme="minorHAnsi"/>
          <w:lang w:val="en-US"/>
        </w:rPr>
        <w:fldChar w:fldCharType="separate"/>
      </w:r>
      <w:r w:rsidR="00AE0BED" w:rsidRPr="00AE0BED">
        <w:rPr>
          <w:rFonts w:cstheme="minorHAnsi"/>
          <w:noProof/>
          <w:lang w:val="en-US"/>
        </w:rPr>
        <w:t>(Kwasniewski et al. 2012; Carstensen et al. 2012)</w:t>
      </w:r>
      <w:r w:rsidR="00FB205C">
        <w:rPr>
          <w:rFonts w:cstheme="minorHAnsi"/>
          <w:lang w:val="en-US"/>
        </w:rPr>
        <w:fldChar w:fldCharType="end"/>
      </w:r>
      <w:r w:rsidR="00FB205C">
        <w:rPr>
          <w:rFonts w:cstheme="minorHAnsi"/>
          <w:lang w:val="en-US"/>
        </w:rPr>
        <w:t>.</w:t>
      </w:r>
    </w:p>
    <w:p w14:paraId="412B6A9E" w14:textId="6C85DE6C" w:rsidR="00F12804" w:rsidRDefault="00C52BB1" w:rsidP="00841E00">
      <w:pPr>
        <w:jc w:val="both"/>
        <w:rPr>
          <w:rFonts w:cstheme="minorHAnsi"/>
          <w:lang w:val="en-US"/>
        </w:rPr>
      </w:pPr>
      <w:r w:rsidRPr="00EA52A2">
        <w:rPr>
          <w:rFonts w:cstheme="minorHAnsi"/>
          <w:lang w:val="en-US"/>
        </w:rPr>
        <w:t xml:space="preserve">To sample </w:t>
      </w:r>
      <w:r w:rsidR="00996C6C" w:rsidRPr="00EA52A2">
        <w:rPr>
          <w:rFonts w:cstheme="minorHAnsi"/>
          <w:lang w:val="en-US"/>
        </w:rPr>
        <w:t xml:space="preserve">foraging areas of little auks in the Hornsund area we generated in </w:t>
      </w:r>
      <w:r w:rsidR="00841E00" w:rsidRPr="00EA52A2">
        <w:rPr>
          <w:rFonts w:cstheme="minorHAnsi"/>
          <w:lang w:val="en-US"/>
        </w:rPr>
        <w:t xml:space="preserve">ArcGIS software 10.3.1 (Redlands, CA, USA: Environmental Systems Research Institute) </w:t>
      </w:r>
      <w:r w:rsidR="00996C6C" w:rsidRPr="00EA52A2">
        <w:rPr>
          <w:rFonts w:cstheme="minorHAnsi"/>
          <w:lang w:val="en-US"/>
        </w:rPr>
        <w:t xml:space="preserve">500 random points within </w:t>
      </w:r>
      <w:r w:rsidR="00BC1036" w:rsidRPr="00EA52A2">
        <w:rPr>
          <w:rFonts w:cstheme="minorHAnsi"/>
          <w:lang w:val="en-US"/>
        </w:rPr>
        <w:t xml:space="preserve">main feeding areas (95% kernel density) </w:t>
      </w:r>
      <w:r w:rsidR="00996C6C" w:rsidRPr="00EA52A2">
        <w:rPr>
          <w:rFonts w:cstheme="minorHAnsi"/>
          <w:lang w:val="en-US"/>
        </w:rPr>
        <w:t xml:space="preserve">of </w:t>
      </w:r>
      <w:r w:rsidR="00796E68" w:rsidRPr="00EA52A2">
        <w:rPr>
          <w:rFonts w:cstheme="minorHAnsi"/>
          <w:lang w:val="en-US"/>
        </w:rPr>
        <w:t xml:space="preserve">chick-rearing individuals </w:t>
      </w:r>
      <w:r w:rsidR="00996C6C" w:rsidRPr="00EA52A2">
        <w:rPr>
          <w:rFonts w:cstheme="minorHAnsi"/>
          <w:lang w:val="en-US"/>
        </w:rPr>
        <w:t>G</w:t>
      </w:r>
      <w:r w:rsidR="008333BD">
        <w:rPr>
          <w:rFonts w:cstheme="minorHAnsi"/>
          <w:lang w:val="en-US"/>
        </w:rPr>
        <w:t>PS-tracked in 2018 (Fig. S1A), s</w:t>
      </w:r>
      <w:r w:rsidR="00996C6C" w:rsidRPr="00EA52A2">
        <w:rPr>
          <w:rFonts w:cstheme="minorHAnsi"/>
          <w:lang w:val="en-US"/>
        </w:rPr>
        <w:t xml:space="preserve">ee details in </w:t>
      </w:r>
      <w:r w:rsidR="00996C6C" w:rsidRPr="00EA52A2">
        <w:rPr>
          <w:rFonts w:cstheme="minorHAnsi"/>
          <w:lang w:val="en-US"/>
        </w:rPr>
        <w:fldChar w:fldCharType="begin" w:fldLock="1"/>
      </w:r>
      <w:r w:rsidR="00AE0BED">
        <w:rPr>
          <w:rFonts w:cstheme="minorHAnsi"/>
          <w:lang w:val="en-US"/>
        </w:rPr>
        <w:instrText>ADDIN CSL_CITATION {"citationItems":[{"id":"ITEM-1","itemData":{"DOI":"10.1038/s41598-020-65210-x","ISSN":"20452322","PMID":"32427941","abstract":"Using GPS-tracked individuals, we compared foraging ecology and reproductive output of a High-Arctic zooplanktivorous seabird, the little auk Alle alle, between three years differing in environmental conditions (sea surface temperature). Despite contrasting environmental conditions, average foraging fights distance and duration were generally similar in all studied years. Also, in all years foraging locations visited by the little auk parents during short trips (ST, for chick provisioning) were significantly closer to the colony compared to those visited during long trips (LTs, mainly for adults’ self-maintenance). Nevertheless, we also found some differences in the little auk foraging behaviour: duration of LTs was the longest in the coldest year suggesting more time for resting for adults compared to warmer years. Besides, birds foraged closer to the colony and in significantly colder water in the coldest year. Interestingly, these differences did not affect chick diet: in all the years, the energy content of food loads was similar, with the Arctic copepod, Calanus glacialis copepodite stage V being the most preferred prey item (&gt;73% of items by number and &gt;67% by energy content). Also chick survival was similar in all the study years. However, when examining chicks growth rate we found that their peak body mass was lower in warmer years suggesting that overall conditions in the two warm years were less favourable. While our results, demonstrate a great foraging flexibility by little auks, they also point out their vulnerability to changing environmental conditions.","author":[{"dropping-particle":"","family":"Jakubas","given":"Dariusz","non-dropping-particle":"","parse-names":false,"suffix":""},{"dropping-particle":"","family":"Wojczulanis-Jakubas","given":"Katarzyna","non-dropping-particle":"","parse-names":false,"suffix":""},{"dropping-particle":"","family":"Iliszko","given":"Lech M.","non-dropping-particle":"","parse-names":false,"suffix":""},{"dropping-particle":"","family":"Kidawa","given":"Dorota","non-dropping-particle":"","parse-names":false,"suffix":""},{"dropping-particle":"","family":"Boehnke","given":"Rafał","non-dropping-particle":"","parse-names":false,"suffix":""},{"dropping-particle":"","family":"Błachowiak-Samołyk","given":"Katarzyna","non-dropping-particle":"","parse-names":false,"suffix":""},{"dropping-particle":"","family":"Stempniewicz","given":"Lech","non-dropping-particle":"","parse-names":false,"suffix":""}],"container-title":"Scientific Reports","id":"ITEM-1","issue":"1","issued":{"date-parts":[["2020","5"]]},"page":"8238","publisher":"Nature Publishing Group","title":"Flexibility of little auks foraging in various oceanographic features in a changing Arctic","type":"article-journal","volume":"10"},"uris":["http://www.mendeley.com/documents/?uuid=445de39c-ee32-4e4e-beb4-a5856f28b6a4"]}],"mendeley":{"formattedCitation":"(Jakubas et al. 2020)","plainTextFormattedCitation":"(Jakubas et al. 2020)","previouslyFormattedCitation":"(Jakubas et al., 2020)"},"properties":{"noteIndex":0},"schema":"https://github.com/citation-style-language/schema/raw/master/csl-citation.json"}</w:instrText>
      </w:r>
      <w:r w:rsidR="00996C6C" w:rsidRPr="00EA52A2">
        <w:rPr>
          <w:rFonts w:cstheme="minorHAnsi"/>
          <w:lang w:val="en-US"/>
        </w:rPr>
        <w:fldChar w:fldCharType="separate"/>
      </w:r>
      <w:r w:rsidR="00AE0BED" w:rsidRPr="00AE0BED">
        <w:rPr>
          <w:rFonts w:cstheme="minorHAnsi"/>
          <w:noProof/>
          <w:lang w:val="en-US"/>
        </w:rPr>
        <w:t>(Jakubas et al. 2020)</w:t>
      </w:r>
      <w:r w:rsidR="00996C6C" w:rsidRPr="00EA52A2">
        <w:rPr>
          <w:rFonts w:cstheme="minorHAnsi"/>
          <w:lang w:val="en-US"/>
        </w:rPr>
        <w:fldChar w:fldCharType="end"/>
      </w:r>
      <w:r w:rsidR="00996C6C" w:rsidRPr="00EA52A2">
        <w:rPr>
          <w:rFonts w:cstheme="minorHAnsi"/>
          <w:lang w:val="en-US"/>
        </w:rPr>
        <w:t>.</w:t>
      </w:r>
      <w:r w:rsidR="00C75438">
        <w:rPr>
          <w:rFonts w:cstheme="minorHAnsi"/>
          <w:lang w:val="en-US"/>
        </w:rPr>
        <w:t xml:space="preserve"> </w:t>
      </w:r>
      <w:r w:rsidR="000F5AE9" w:rsidRPr="00EA52A2">
        <w:rPr>
          <w:rFonts w:cstheme="minorHAnsi"/>
          <w:lang w:val="en-US"/>
        </w:rPr>
        <w:t xml:space="preserve">We extracted SST for the random points in foraging locations of little auks from the Moderate-resolution Imaging </w:t>
      </w:r>
      <w:proofErr w:type="spellStart"/>
      <w:r w:rsidR="000F5AE9" w:rsidRPr="00EA52A2">
        <w:rPr>
          <w:rFonts w:cstheme="minorHAnsi"/>
          <w:lang w:val="en-US"/>
        </w:rPr>
        <w:t>Spectroradiometer</w:t>
      </w:r>
      <w:proofErr w:type="spellEnd"/>
      <w:r w:rsidR="000F5AE9" w:rsidRPr="00EA52A2">
        <w:rPr>
          <w:rFonts w:cstheme="minorHAnsi"/>
          <w:lang w:val="en-US"/>
        </w:rPr>
        <w:t xml:space="preserve"> (MODIS) Aqua satellite data. We used Level 3 daytime SST data derived from 11 </w:t>
      </w:r>
      <w:proofErr w:type="spellStart"/>
      <w:r w:rsidR="000F5AE9" w:rsidRPr="00EA52A2">
        <w:rPr>
          <w:rFonts w:cstheme="minorHAnsi"/>
          <w:lang w:val="en-US"/>
        </w:rPr>
        <w:t>μm</w:t>
      </w:r>
      <w:proofErr w:type="spellEnd"/>
      <w:r w:rsidR="000F5AE9" w:rsidRPr="00EA52A2">
        <w:rPr>
          <w:rFonts w:cstheme="minorHAnsi"/>
          <w:lang w:val="en-US"/>
        </w:rPr>
        <w:t xml:space="preserve"> thermal IR infrared (IR) bands with a 4 km spatial resolution</w:t>
      </w:r>
      <w:r w:rsidR="009A0510" w:rsidRPr="00EA52A2">
        <w:rPr>
          <w:rFonts w:cstheme="minorHAnsi"/>
          <w:lang w:val="en-US"/>
        </w:rPr>
        <w:t xml:space="preserve"> from</w:t>
      </w:r>
      <w:r w:rsidR="00E16278" w:rsidRPr="00EA52A2">
        <w:rPr>
          <w:rFonts w:cstheme="minorHAnsi"/>
          <w:lang w:val="en-US"/>
        </w:rPr>
        <w:t xml:space="preserve"> </w:t>
      </w:r>
      <w:proofErr w:type="spellStart"/>
      <w:r w:rsidR="00E16278" w:rsidRPr="00EA52A2">
        <w:rPr>
          <w:rFonts w:cstheme="minorHAnsi"/>
          <w:lang w:val="en-US"/>
        </w:rPr>
        <w:t>Oce</w:t>
      </w:r>
      <w:r w:rsidR="00B64BFE" w:rsidRPr="00EA52A2">
        <w:rPr>
          <w:rFonts w:cstheme="minorHAnsi"/>
          <w:lang w:val="en-US"/>
        </w:rPr>
        <w:t>a</w:t>
      </w:r>
      <w:r w:rsidR="00E16278" w:rsidRPr="00EA52A2">
        <w:rPr>
          <w:rFonts w:cstheme="minorHAnsi"/>
          <w:lang w:val="en-US"/>
        </w:rPr>
        <w:t>nColorData</w:t>
      </w:r>
      <w:proofErr w:type="spellEnd"/>
      <w:r w:rsidR="00E16278" w:rsidRPr="00EA52A2">
        <w:rPr>
          <w:rFonts w:cstheme="minorHAnsi"/>
          <w:lang w:val="en-US"/>
        </w:rPr>
        <w:t xml:space="preserve"> webpage (</w:t>
      </w:r>
      <w:r w:rsidR="00C75438" w:rsidRPr="00C75438">
        <w:rPr>
          <w:rFonts w:cstheme="minorHAnsi"/>
          <w:lang w:val="en-US"/>
        </w:rPr>
        <w:t>https://oceandata.sci.gsfc.nasa.gov/MODIS-Aqua</w:t>
      </w:r>
      <w:r w:rsidR="00E16278" w:rsidRPr="00EA52A2">
        <w:rPr>
          <w:rFonts w:cstheme="minorHAnsi"/>
          <w:lang w:val="en-US"/>
        </w:rPr>
        <w:t>)</w:t>
      </w:r>
      <w:r w:rsidR="00C75438">
        <w:rPr>
          <w:rFonts w:cstheme="minorHAnsi"/>
          <w:lang w:val="en-US"/>
        </w:rPr>
        <w:t xml:space="preserve">. </w:t>
      </w:r>
      <w:r w:rsidRPr="00EA52A2">
        <w:rPr>
          <w:rFonts w:cstheme="minorHAnsi"/>
          <w:lang w:val="en-US"/>
        </w:rPr>
        <w:t xml:space="preserve">Then we compared SST values </w:t>
      </w:r>
      <w:r w:rsidR="00BC1036" w:rsidRPr="00EA52A2">
        <w:rPr>
          <w:rFonts w:cstheme="minorHAnsi"/>
          <w:lang w:val="en-US"/>
        </w:rPr>
        <w:t xml:space="preserve">in random points </w:t>
      </w:r>
      <w:r w:rsidRPr="00EA52A2">
        <w:rPr>
          <w:rFonts w:cstheme="minorHAnsi"/>
          <w:lang w:val="en-US"/>
        </w:rPr>
        <w:t xml:space="preserve">between the studied </w:t>
      </w:r>
      <w:r w:rsidR="002877AE">
        <w:rPr>
          <w:rFonts w:cstheme="minorHAnsi"/>
          <w:lang w:val="en-US"/>
        </w:rPr>
        <w:t>year</w:t>
      </w:r>
      <w:r w:rsidRPr="00EA52A2">
        <w:rPr>
          <w:rFonts w:cstheme="minorHAnsi"/>
          <w:lang w:val="en-US"/>
        </w:rPr>
        <w:t xml:space="preserve">s </w:t>
      </w:r>
      <w:r w:rsidR="00FA5812" w:rsidRPr="00EA52A2">
        <w:rPr>
          <w:rFonts w:cstheme="minorHAnsi"/>
          <w:lang w:val="en-US"/>
        </w:rPr>
        <w:t xml:space="preserve">using </w:t>
      </w:r>
      <w:proofErr w:type="spellStart"/>
      <w:r w:rsidR="00FA5812" w:rsidRPr="00EA52A2">
        <w:rPr>
          <w:rFonts w:cstheme="minorHAnsi"/>
          <w:lang w:val="en-US"/>
        </w:rPr>
        <w:t>Kruskal</w:t>
      </w:r>
      <w:proofErr w:type="spellEnd"/>
      <w:r w:rsidR="00FA5812" w:rsidRPr="00EA52A2">
        <w:rPr>
          <w:rFonts w:cstheme="minorHAnsi"/>
          <w:lang w:val="en-US"/>
        </w:rPr>
        <w:t xml:space="preserve">-Wallis </w:t>
      </w:r>
      <w:r w:rsidR="00996C6C" w:rsidRPr="00EA52A2">
        <w:rPr>
          <w:rFonts w:cstheme="minorHAnsi"/>
          <w:lang w:val="en-US"/>
        </w:rPr>
        <w:t>and post-hoc Wilcoxon test for paired values</w:t>
      </w:r>
      <w:r w:rsidR="000F5AE9" w:rsidRPr="00EA52A2">
        <w:rPr>
          <w:rFonts w:cstheme="minorHAnsi"/>
          <w:lang w:val="en-US"/>
        </w:rPr>
        <w:t xml:space="preserve"> using </w:t>
      </w:r>
      <w:proofErr w:type="spellStart"/>
      <w:r w:rsidR="000F5AE9" w:rsidRPr="00B103CB">
        <w:rPr>
          <w:rFonts w:cstheme="minorHAnsi"/>
          <w:i/>
          <w:lang w:val="en-US"/>
        </w:rPr>
        <w:t>ggpubr</w:t>
      </w:r>
      <w:proofErr w:type="spellEnd"/>
      <w:r w:rsidR="000F5AE9" w:rsidRPr="00EA52A2">
        <w:rPr>
          <w:rFonts w:cstheme="minorHAnsi"/>
          <w:lang w:val="en-US"/>
        </w:rPr>
        <w:t xml:space="preserve"> package </w:t>
      </w:r>
      <w:r w:rsidR="000F5AE9" w:rsidRPr="00EA52A2">
        <w:rPr>
          <w:rFonts w:cstheme="minorHAnsi"/>
          <w:lang w:val="en-US"/>
        </w:rPr>
        <w:fldChar w:fldCharType="begin" w:fldLock="1"/>
      </w:r>
      <w:r w:rsidR="00AE0BED">
        <w:rPr>
          <w:rFonts w:cstheme="minorHAnsi"/>
          <w:lang w:val="en-US"/>
        </w:rPr>
        <w:instrText>ADDIN CSL_CITATION {"citationItems":[{"id":"ITEM-1","itemData":{"author":[{"dropping-particle":"","family":"Kassambara","given":"Alboukadel","non-dropping-particle":"","parse-names":false,"suffix":""}],"id":"ITEM-1","issued":{"date-parts":[["2018"]]},"title":"ggpubr: ‘ggplot2’ Based Publication Ready Plots. R package version 0.2.","type":"article"},"uris":["http://www.mendeley.com/documents/?uuid=c60da7cd-e290-403d-ba1c-fd26c2be69fe","http://www.mendeley.com/documents/?uuid=b674cb6d-1d5d-4897-bed0-f57aa4ec382c"]}],"mendeley":{"formattedCitation":"(Kassambara 2018)","plainTextFormattedCitation":"(Kassambara 2018)","previouslyFormattedCitation":"(Kassambara, 2018)"},"properties":{"noteIndex":0},"schema":"https://github.com/citation-style-language/schema/raw/master/csl-citation.json"}</w:instrText>
      </w:r>
      <w:r w:rsidR="000F5AE9" w:rsidRPr="00EA52A2">
        <w:rPr>
          <w:rFonts w:cstheme="minorHAnsi"/>
          <w:lang w:val="en-US"/>
        </w:rPr>
        <w:fldChar w:fldCharType="separate"/>
      </w:r>
      <w:r w:rsidR="00AE0BED" w:rsidRPr="00AE0BED">
        <w:rPr>
          <w:rFonts w:cstheme="minorHAnsi"/>
          <w:noProof/>
          <w:lang w:val="en-US"/>
        </w:rPr>
        <w:t>(Kassambara 2018)</w:t>
      </w:r>
      <w:r w:rsidR="000F5AE9" w:rsidRPr="00EA52A2">
        <w:rPr>
          <w:rFonts w:cstheme="minorHAnsi"/>
          <w:lang w:val="en-US"/>
        </w:rPr>
        <w:fldChar w:fldCharType="end"/>
      </w:r>
      <w:r w:rsidR="00B103CB">
        <w:rPr>
          <w:rFonts w:cstheme="minorHAnsi"/>
          <w:lang w:val="en-US"/>
        </w:rPr>
        <w:t xml:space="preserve"> in R </w:t>
      </w:r>
      <w:r w:rsidR="000F5AE9" w:rsidRPr="00EA52A2">
        <w:rPr>
          <w:rFonts w:cstheme="minorHAnsi"/>
          <w:lang w:val="en-US"/>
        </w:rPr>
        <w:fldChar w:fldCharType="begin" w:fldLock="1"/>
      </w:r>
      <w:r w:rsidR="00AE0BED">
        <w:rPr>
          <w:rFonts w:cstheme="minorHAnsi"/>
          <w:lang w:val="en-US"/>
        </w:rPr>
        <w:instrText>ADDIN CSL_CITATION {"citationItems":[{"id":"ITEM-1","itemData":{"author":[{"dropping-particle":"","family":"R Core Team","given":"","non-dropping-particle":"","parse-names":false,"suffix":""}],"id":"ITEM-1","issued":{"date-parts":[["2018"]]},"title":"R: A Language and Environment for Statistical Computing. R Foundation for Statistical Computing, Vienna, Austria.","type":"article"},"uris":["http://www.mendeley.com/documents/?uuid=70d3f177-7812-42a8-b639-926d73e36394","http://www.mendeley.com/documents/?uuid=aa868f23-bd7d-4dd8-8735-e7e89acf0867"]}],"mendeley":{"formattedCitation":"(R Core Team 2018)","plainTextFormattedCitation":"(R Core Team 2018)","previouslyFormattedCitation":"(R Core Team, 2018)"},"properties":{"noteIndex":0},"schema":"https://github.com/citation-style-language/schema/raw/master/csl-citation.json"}</w:instrText>
      </w:r>
      <w:r w:rsidR="000F5AE9" w:rsidRPr="00EA52A2">
        <w:rPr>
          <w:rFonts w:cstheme="minorHAnsi"/>
          <w:lang w:val="en-US"/>
        </w:rPr>
        <w:fldChar w:fldCharType="separate"/>
      </w:r>
      <w:r w:rsidR="00AE0BED" w:rsidRPr="00AE0BED">
        <w:rPr>
          <w:rFonts w:cstheme="minorHAnsi"/>
          <w:noProof/>
          <w:lang w:val="en-US"/>
        </w:rPr>
        <w:t>(R Core Team 2018)</w:t>
      </w:r>
      <w:r w:rsidR="000F5AE9" w:rsidRPr="00EA52A2">
        <w:rPr>
          <w:rFonts w:cstheme="minorHAnsi"/>
          <w:lang w:val="en-US"/>
        </w:rPr>
        <w:fldChar w:fldCharType="end"/>
      </w:r>
      <w:r w:rsidR="00996C6C" w:rsidRPr="00EA52A2">
        <w:rPr>
          <w:rFonts w:cstheme="minorHAnsi"/>
          <w:lang w:val="en-US"/>
        </w:rPr>
        <w:t>.</w:t>
      </w:r>
    </w:p>
    <w:p w14:paraId="47C1F0C5" w14:textId="77777777" w:rsidR="00C75438" w:rsidRPr="00EA52A2" w:rsidRDefault="00C75438" w:rsidP="00841E00">
      <w:pPr>
        <w:jc w:val="both"/>
        <w:rPr>
          <w:rFonts w:cstheme="minorHAnsi"/>
          <w:lang w:val="en-US"/>
        </w:rPr>
      </w:pPr>
    </w:p>
    <w:p w14:paraId="2855BA46" w14:textId="4A3D591F" w:rsidR="00F12804" w:rsidRPr="00EA52A2" w:rsidRDefault="00EA52A2">
      <w:pPr>
        <w:rPr>
          <w:rFonts w:cstheme="minorHAnsi"/>
          <w:lang w:val="en-US"/>
        </w:rPr>
      </w:pPr>
      <w:r w:rsidRPr="00EA52A2">
        <w:rPr>
          <w:rFonts w:cstheme="minorHAnsi"/>
          <w:noProof/>
          <w:lang w:val="en-US"/>
        </w:rPr>
        <w:drawing>
          <wp:inline distT="0" distB="0" distL="0" distR="0" wp14:anchorId="3A78B111" wp14:editId="78B54183">
            <wp:extent cx="5760720" cy="3877945"/>
            <wp:effectExtent l="0" t="0" r="0" b="825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3877945"/>
                    </a:xfrm>
                    <a:prstGeom prst="rect">
                      <a:avLst/>
                    </a:prstGeom>
                  </pic:spPr>
                </pic:pic>
              </a:graphicData>
            </a:graphic>
          </wp:inline>
        </w:drawing>
      </w:r>
    </w:p>
    <w:p w14:paraId="4F3A58B2" w14:textId="259D64FC" w:rsidR="00EA52A2" w:rsidRDefault="00EA52A2" w:rsidP="00EA52A2">
      <w:pPr>
        <w:jc w:val="both"/>
        <w:rPr>
          <w:rFonts w:cstheme="minorHAnsi"/>
          <w:lang w:val="en-US"/>
        </w:rPr>
      </w:pPr>
      <w:r w:rsidRPr="00BF320D">
        <w:rPr>
          <w:rFonts w:cstheme="minorHAnsi"/>
          <w:b/>
          <w:bCs/>
          <w:lang w:val="en-US"/>
        </w:rPr>
        <w:t>Fig. S</w:t>
      </w:r>
      <w:r w:rsidR="000937AA">
        <w:rPr>
          <w:rFonts w:cstheme="minorHAnsi"/>
          <w:b/>
          <w:bCs/>
          <w:lang w:val="en-US"/>
        </w:rPr>
        <w:t>2</w:t>
      </w:r>
      <w:r w:rsidRPr="00BF320D">
        <w:rPr>
          <w:rFonts w:cstheme="minorHAnsi"/>
          <w:b/>
          <w:bCs/>
          <w:lang w:val="en-US"/>
        </w:rPr>
        <w:t>.</w:t>
      </w:r>
      <w:r w:rsidRPr="00EA52A2">
        <w:rPr>
          <w:rFonts w:cstheme="minorHAnsi"/>
          <w:lang w:val="en-US"/>
        </w:rPr>
        <w:t xml:space="preserve"> </w:t>
      </w:r>
      <w:r w:rsidRPr="00EA52A2">
        <w:rPr>
          <w:rFonts w:cstheme="minorHAnsi"/>
          <w:b/>
          <w:bCs/>
          <w:lang w:val="en-US"/>
        </w:rPr>
        <w:t>A.</w:t>
      </w:r>
      <w:r w:rsidRPr="00EA52A2">
        <w:rPr>
          <w:rFonts w:cstheme="minorHAnsi"/>
          <w:lang w:val="en-US"/>
        </w:rPr>
        <w:t xml:space="preserve"> Location of random points (blue points) generated within main foraging areas of little auks (expressed as 95% kernel density of foraging locations indicated with red polygon) breeding at Hornsund based on foraging position of chick-rearing individuals GPS-tracked in 2018. </w:t>
      </w:r>
      <w:r w:rsidRPr="00EA52A2">
        <w:rPr>
          <w:rFonts w:cstheme="minorHAnsi"/>
          <w:b/>
          <w:bCs/>
          <w:lang w:val="en-US"/>
        </w:rPr>
        <w:t>B.</w:t>
      </w:r>
      <w:r w:rsidRPr="00EA52A2">
        <w:rPr>
          <w:rFonts w:cstheme="minorHAnsi"/>
          <w:lang w:val="en-US"/>
        </w:rPr>
        <w:t xml:space="preserve"> Sea surface temperature (MODIS-Aqua satellite data) in random points in July 2017, 2018, 2019 and 2020; lines with values represent p-values for Wilcoxon test for paired data. Boxplots show the median (band inside the box), the first (25%) and third (75%) quartile (box), the lowest and the highest values within 1.5 interquartile range (whi</w:t>
      </w:r>
      <w:r w:rsidR="008333BD">
        <w:rPr>
          <w:rFonts w:cstheme="minorHAnsi"/>
          <w:lang w:val="en-US"/>
        </w:rPr>
        <w:t xml:space="preserve">skers) and outliers (circles). </w:t>
      </w:r>
    </w:p>
    <w:p w14:paraId="00853FEE" w14:textId="70C2380B" w:rsidR="00996C6C" w:rsidRPr="00EA52A2" w:rsidRDefault="00BC1036" w:rsidP="00841E00">
      <w:pPr>
        <w:jc w:val="both"/>
        <w:rPr>
          <w:rFonts w:cstheme="minorHAnsi"/>
          <w:lang w:val="en-US"/>
        </w:rPr>
      </w:pPr>
      <w:r w:rsidRPr="00EA52A2">
        <w:rPr>
          <w:rFonts w:cstheme="minorHAnsi"/>
          <w:lang w:val="en-US"/>
        </w:rPr>
        <w:lastRenderedPageBreak/>
        <w:t xml:space="preserve">We found that all </w:t>
      </w:r>
      <w:r w:rsidR="002877AE">
        <w:rPr>
          <w:rFonts w:cstheme="minorHAnsi"/>
          <w:lang w:val="en-US"/>
        </w:rPr>
        <w:t>year</w:t>
      </w:r>
      <w:r w:rsidR="008333BD">
        <w:rPr>
          <w:rFonts w:cstheme="minorHAnsi"/>
          <w:lang w:val="en-US"/>
        </w:rPr>
        <w:t xml:space="preserve">s </w:t>
      </w:r>
      <w:r w:rsidRPr="00EA52A2">
        <w:rPr>
          <w:rFonts w:cstheme="minorHAnsi"/>
          <w:lang w:val="en-US"/>
        </w:rPr>
        <w:t>differed significantly in SST values (Fig. S1B). The temperature</w:t>
      </w:r>
      <w:r w:rsidR="00796E68" w:rsidRPr="00EA52A2">
        <w:rPr>
          <w:rFonts w:cstheme="minorHAnsi"/>
          <w:lang w:val="en-US"/>
        </w:rPr>
        <w:t xml:space="preserve">s </w:t>
      </w:r>
      <w:r w:rsidR="00997070" w:rsidRPr="00EA52A2">
        <w:rPr>
          <w:rFonts w:cstheme="minorHAnsi"/>
          <w:lang w:val="en-US"/>
        </w:rPr>
        <w:t xml:space="preserve">ranged from 3.46 to 8.29 </w:t>
      </w:r>
      <w:proofErr w:type="spellStart"/>
      <w:r w:rsidR="00997070" w:rsidRPr="00EA52A2">
        <w:rPr>
          <w:rFonts w:cstheme="minorHAnsi"/>
          <w:vertAlign w:val="superscript"/>
          <w:lang w:val="en-US"/>
        </w:rPr>
        <w:t>o</w:t>
      </w:r>
      <w:r w:rsidR="00997070" w:rsidRPr="00EA52A2">
        <w:rPr>
          <w:rFonts w:cstheme="minorHAnsi"/>
          <w:lang w:val="en-US"/>
        </w:rPr>
        <w:t>C</w:t>
      </w:r>
      <w:proofErr w:type="spellEnd"/>
      <w:r w:rsidR="00997070" w:rsidRPr="00EA52A2">
        <w:rPr>
          <w:rFonts w:cstheme="minorHAnsi"/>
          <w:lang w:val="en-US"/>
        </w:rPr>
        <w:t xml:space="preserve"> with the highest mean and median values recorded </w:t>
      </w:r>
      <w:r w:rsidR="00796E68" w:rsidRPr="00EA52A2">
        <w:rPr>
          <w:rFonts w:cstheme="minorHAnsi"/>
          <w:lang w:val="en-US"/>
        </w:rPr>
        <w:t>in 2018 (</w:t>
      </w:r>
      <w:r w:rsidR="00B103CB" w:rsidRPr="00EA52A2">
        <w:rPr>
          <w:rFonts w:cstheme="minorHAnsi"/>
          <w:lang w:val="en-US"/>
        </w:rPr>
        <w:t>Fig. S1B</w:t>
      </w:r>
      <w:r w:rsidR="00796E68" w:rsidRPr="00EA52A2">
        <w:rPr>
          <w:rFonts w:cstheme="minorHAnsi"/>
          <w:lang w:val="en-US"/>
        </w:rPr>
        <w:t>)</w:t>
      </w:r>
      <w:r w:rsidR="00B103CB">
        <w:rPr>
          <w:rFonts w:cstheme="minorHAnsi"/>
          <w:lang w:val="en-US"/>
        </w:rPr>
        <w:t>.</w:t>
      </w:r>
    </w:p>
    <w:p w14:paraId="60A7FD9D" w14:textId="0F9B83FA" w:rsidR="00BC1036" w:rsidRDefault="00BC1036">
      <w:pPr>
        <w:rPr>
          <w:rFonts w:cstheme="minorHAnsi"/>
          <w:lang w:val="en-US"/>
        </w:rPr>
      </w:pPr>
    </w:p>
    <w:p w14:paraId="1126CA7B" w14:textId="05CEC4EE" w:rsidR="00C75438" w:rsidRDefault="00C75438" w:rsidP="00C75438">
      <w:pPr>
        <w:jc w:val="both"/>
        <w:rPr>
          <w:rFonts w:cstheme="minorHAnsi"/>
          <w:lang w:val="en-US"/>
        </w:rPr>
      </w:pPr>
      <w:r>
        <w:rPr>
          <w:rFonts w:cstheme="minorHAnsi"/>
          <w:b/>
          <w:bCs/>
          <w:lang w:val="en-US"/>
        </w:rPr>
        <w:t>M</w:t>
      </w:r>
      <w:r w:rsidR="001C4ED0">
        <w:rPr>
          <w:rFonts w:cstheme="minorHAnsi"/>
          <w:b/>
          <w:bCs/>
          <w:lang w:val="en-US"/>
        </w:rPr>
        <w:t xml:space="preserve">eteorological </w:t>
      </w:r>
      <w:r>
        <w:rPr>
          <w:rFonts w:cstheme="minorHAnsi"/>
          <w:b/>
          <w:bCs/>
          <w:lang w:val="en-US"/>
        </w:rPr>
        <w:t>parameters:</w:t>
      </w:r>
      <w:r w:rsidR="001C4ED0">
        <w:rPr>
          <w:rFonts w:cstheme="minorHAnsi"/>
          <w:lang w:val="en-US"/>
        </w:rPr>
        <w:t xml:space="preserve"> </w:t>
      </w:r>
      <w:r w:rsidR="001C4ED0" w:rsidRPr="00922D9C">
        <w:rPr>
          <w:rFonts w:cstheme="minorHAnsi"/>
          <w:b/>
          <w:lang w:val="en-US"/>
        </w:rPr>
        <w:t>air temperature, precipitation and wind speed</w:t>
      </w:r>
      <w:r>
        <w:rPr>
          <w:rFonts w:cstheme="minorHAnsi"/>
          <w:b/>
          <w:lang w:val="en-US"/>
        </w:rPr>
        <w:t xml:space="preserve"> </w:t>
      </w:r>
      <w:r w:rsidRPr="00C75438">
        <w:rPr>
          <w:rFonts w:cstheme="minorHAnsi"/>
          <w:lang w:val="en-US"/>
        </w:rPr>
        <w:t>were</w:t>
      </w:r>
      <w:r>
        <w:rPr>
          <w:rFonts w:cstheme="minorHAnsi"/>
          <w:lang w:val="en-US"/>
        </w:rPr>
        <w:t xml:space="preserve"> considered as potentially influencing birds foraging and post-foraging</w:t>
      </w:r>
      <w:r w:rsidR="00284DD9">
        <w:rPr>
          <w:rFonts w:cstheme="minorHAnsi"/>
          <w:lang w:val="en-US"/>
        </w:rPr>
        <w:t xml:space="preserve"> in-colony</w:t>
      </w:r>
      <w:r>
        <w:rPr>
          <w:rFonts w:cstheme="minorHAnsi"/>
          <w:lang w:val="en-US"/>
        </w:rPr>
        <w:t xml:space="preserve"> behaviour</w:t>
      </w:r>
      <w:r w:rsidR="00DF4331">
        <w:rPr>
          <w:rFonts w:cstheme="minorHAnsi"/>
          <w:lang w:val="en-US"/>
        </w:rPr>
        <w:t>s</w:t>
      </w:r>
      <w:r w:rsidR="001C4ED0">
        <w:rPr>
          <w:rFonts w:cstheme="minorHAnsi"/>
          <w:lang w:val="en-US"/>
        </w:rPr>
        <w:t xml:space="preserve">. </w:t>
      </w:r>
      <w:r>
        <w:rPr>
          <w:rFonts w:cstheme="minorHAnsi"/>
          <w:lang w:val="en-US"/>
        </w:rPr>
        <w:t xml:space="preserve">Air temperature and precipitation could </w:t>
      </w:r>
      <w:r w:rsidR="001C4ED0">
        <w:rPr>
          <w:rFonts w:cstheme="minorHAnsi"/>
          <w:lang w:val="en-US"/>
        </w:rPr>
        <w:t>impact brooding behaviour of little auk parents, with the behaviour being more frequently displayed, and lasting longer in colder and more humid conditions</w:t>
      </w:r>
      <w:r w:rsidR="00922D9C">
        <w:rPr>
          <w:rFonts w:cstheme="minorHAnsi"/>
          <w:lang w:val="en-US"/>
        </w:rPr>
        <w:t xml:space="preserve"> (due to chicks demands for brooding being higher in these conditions)</w:t>
      </w:r>
      <w:r w:rsidR="001C4ED0">
        <w:rPr>
          <w:rFonts w:cstheme="minorHAnsi"/>
          <w:lang w:val="en-US"/>
        </w:rPr>
        <w:t xml:space="preserve">. The wind speed could affect birds foraging trips and/or colony attendance – in conditions of higher wind speed birds could spent more time to get to/from foraging areas/colony, and </w:t>
      </w:r>
      <w:r w:rsidR="00922D9C">
        <w:rPr>
          <w:rFonts w:cstheme="minorHAnsi"/>
          <w:lang w:val="en-US"/>
        </w:rPr>
        <w:t>also could have spent less time in the colony (due to worse air-dragging during</w:t>
      </w:r>
      <w:r w:rsidR="008333BD">
        <w:rPr>
          <w:rFonts w:cstheme="minorHAnsi"/>
          <w:lang w:val="en-US"/>
        </w:rPr>
        <w:t xml:space="preserve"> the little auk flight</w:t>
      </w:r>
      <w:r w:rsidR="00922D9C">
        <w:rPr>
          <w:rFonts w:cstheme="minorHAnsi"/>
          <w:lang w:val="en-US"/>
        </w:rPr>
        <w:t xml:space="preserve"> in the conditions of high wind speed). </w:t>
      </w:r>
    </w:p>
    <w:p w14:paraId="5673CE97" w14:textId="353950FE" w:rsidR="00C75438" w:rsidRDefault="00922D9C" w:rsidP="00C75438">
      <w:pPr>
        <w:jc w:val="both"/>
        <w:rPr>
          <w:rFonts w:cstheme="minorHAnsi"/>
          <w:lang w:val="en-US"/>
        </w:rPr>
      </w:pPr>
      <w:r>
        <w:rPr>
          <w:rFonts w:cstheme="minorHAnsi"/>
          <w:lang w:val="en-US"/>
        </w:rPr>
        <w:t xml:space="preserve">All the three parameters were measured at Polish Polar Station that is located ca 1 km from the colony plot. The parameters </w:t>
      </w:r>
      <w:r w:rsidR="008333BD">
        <w:rPr>
          <w:rFonts w:cstheme="minorHAnsi"/>
          <w:lang w:val="en-US"/>
        </w:rPr>
        <w:t xml:space="preserve">were </w:t>
      </w:r>
      <w:r>
        <w:rPr>
          <w:rFonts w:cstheme="minorHAnsi"/>
          <w:lang w:val="en-US"/>
        </w:rPr>
        <w:t xml:space="preserve">taken every three hours, and here we considered their daily averages, for the period from 20 to 31 July, which roughly covers the mid chick rearing phase in each </w:t>
      </w:r>
      <w:r w:rsidR="002877AE">
        <w:rPr>
          <w:rFonts w:cstheme="minorHAnsi"/>
          <w:lang w:val="en-US"/>
        </w:rPr>
        <w:t>year</w:t>
      </w:r>
      <w:r>
        <w:rPr>
          <w:rFonts w:cstheme="minorHAnsi"/>
          <w:lang w:val="en-US"/>
        </w:rPr>
        <w:t xml:space="preserve"> (i.e. when birds behaviour was investigated).</w:t>
      </w:r>
      <w:r w:rsidR="00C75438">
        <w:rPr>
          <w:rFonts w:cstheme="minorHAnsi"/>
          <w:lang w:val="en-US"/>
        </w:rPr>
        <w:t xml:space="preserve"> </w:t>
      </w:r>
      <w:r w:rsidR="00C75438" w:rsidRPr="00EA52A2">
        <w:rPr>
          <w:rFonts w:cstheme="minorHAnsi"/>
          <w:lang w:val="en-US"/>
        </w:rPr>
        <w:t>Then</w:t>
      </w:r>
      <w:r w:rsidR="008333BD">
        <w:rPr>
          <w:rFonts w:cstheme="minorHAnsi"/>
          <w:lang w:val="en-US"/>
        </w:rPr>
        <w:t>, we</w:t>
      </w:r>
      <w:r w:rsidR="00C75438" w:rsidRPr="00EA52A2">
        <w:rPr>
          <w:rFonts w:cstheme="minorHAnsi"/>
          <w:lang w:val="en-US"/>
        </w:rPr>
        <w:t xml:space="preserve"> </w:t>
      </w:r>
      <w:r w:rsidR="00C75438">
        <w:rPr>
          <w:rFonts w:cstheme="minorHAnsi"/>
          <w:lang w:val="en-US"/>
        </w:rPr>
        <w:t xml:space="preserve">analyzed the three parameters with </w:t>
      </w:r>
      <w:proofErr w:type="spellStart"/>
      <w:r w:rsidR="00C75438" w:rsidRPr="00EA52A2">
        <w:rPr>
          <w:rFonts w:cstheme="minorHAnsi"/>
          <w:lang w:val="en-US"/>
        </w:rPr>
        <w:t>Kruskal</w:t>
      </w:r>
      <w:proofErr w:type="spellEnd"/>
      <w:r w:rsidR="00C75438" w:rsidRPr="00EA52A2">
        <w:rPr>
          <w:rFonts w:cstheme="minorHAnsi"/>
          <w:lang w:val="en-US"/>
        </w:rPr>
        <w:t>-Wallis and post-hoc Wilcoxon test</w:t>
      </w:r>
      <w:r w:rsidR="00C75438">
        <w:rPr>
          <w:rFonts w:cstheme="minorHAnsi"/>
          <w:lang w:val="en-US"/>
        </w:rPr>
        <w:t>s (separate for each parameter)</w:t>
      </w:r>
      <w:r w:rsidR="002E4E02">
        <w:rPr>
          <w:rFonts w:cstheme="minorHAnsi"/>
          <w:lang w:val="en-US"/>
        </w:rPr>
        <w:t xml:space="preserve">, </w:t>
      </w:r>
      <w:r w:rsidR="00C75438" w:rsidRPr="00EA52A2">
        <w:rPr>
          <w:rFonts w:cstheme="minorHAnsi"/>
          <w:lang w:val="en-US"/>
        </w:rPr>
        <w:t xml:space="preserve">using </w:t>
      </w:r>
      <w:proofErr w:type="spellStart"/>
      <w:r w:rsidR="00C75438" w:rsidRPr="003B0E98">
        <w:rPr>
          <w:rFonts w:cstheme="minorHAnsi"/>
          <w:i/>
          <w:lang w:val="en-US"/>
        </w:rPr>
        <w:t>ggpubr</w:t>
      </w:r>
      <w:proofErr w:type="spellEnd"/>
      <w:r w:rsidR="00C75438" w:rsidRPr="00EA52A2">
        <w:rPr>
          <w:rFonts w:cstheme="minorHAnsi"/>
          <w:lang w:val="en-US"/>
        </w:rPr>
        <w:t xml:space="preserve"> package </w:t>
      </w:r>
      <w:r w:rsidR="00C75438" w:rsidRPr="00EA52A2">
        <w:rPr>
          <w:rFonts w:cstheme="minorHAnsi"/>
          <w:lang w:val="en-US"/>
        </w:rPr>
        <w:fldChar w:fldCharType="begin" w:fldLock="1"/>
      </w:r>
      <w:r w:rsidR="00AE0BED">
        <w:rPr>
          <w:rFonts w:cstheme="minorHAnsi"/>
          <w:lang w:val="en-US"/>
        </w:rPr>
        <w:instrText>ADDIN CSL_CITATION {"citationItems":[{"id":"ITEM-1","itemData":{"author":[{"dropping-particle":"","family":"Kassambara","given":"Alboukadel","non-dropping-particle":"","parse-names":false,"suffix":""}],"id":"ITEM-1","issued":{"date-parts":[["2018"]]},"title":"ggpubr: ‘ggplot2’ Based Publication Ready Plots. R package version 0.2.","type":"article"},"uris":["http://www.mendeley.com/documents/?uuid=b674cb6d-1d5d-4897-bed0-f57aa4ec382c","http://www.mendeley.com/documents/?uuid=c60da7cd-e290-403d-ba1c-fd26c2be69fe"]}],"mendeley":{"formattedCitation":"(Kassambara 2018)","plainTextFormattedCitation":"(Kassambara 2018)","previouslyFormattedCitation":"(Kassambara, 2018)"},"properties":{"noteIndex":0},"schema":"https://github.com/citation-style-language/schema/raw/master/csl-citation.json"}</w:instrText>
      </w:r>
      <w:r w:rsidR="00C75438" w:rsidRPr="00EA52A2">
        <w:rPr>
          <w:rFonts w:cstheme="minorHAnsi"/>
          <w:lang w:val="en-US"/>
        </w:rPr>
        <w:fldChar w:fldCharType="separate"/>
      </w:r>
      <w:r w:rsidR="00AE0BED" w:rsidRPr="00AE0BED">
        <w:rPr>
          <w:rFonts w:cstheme="minorHAnsi"/>
          <w:noProof/>
          <w:lang w:val="en-US"/>
        </w:rPr>
        <w:t>(Kassambara 2018)</w:t>
      </w:r>
      <w:r w:rsidR="00C75438" w:rsidRPr="00EA52A2">
        <w:rPr>
          <w:rFonts w:cstheme="minorHAnsi"/>
          <w:lang w:val="en-US"/>
        </w:rPr>
        <w:fldChar w:fldCharType="end"/>
      </w:r>
      <w:r w:rsidR="00C75438" w:rsidRPr="00EA52A2">
        <w:rPr>
          <w:rFonts w:cstheme="minorHAnsi"/>
          <w:lang w:val="en-US"/>
        </w:rPr>
        <w:t xml:space="preserve"> in R software </w:t>
      </w:r>
      <w:r w:rsidR="00C75438" w:rsidRPr="00EA52A2">
        <w:rPr>
          <w:rFonts w:cstheme="minorHAnsi"/>
          <w:lang w:val="en-US"/>
        </w:rPr>
        <w:fldChar w:fldCharType="begin" w:fldLock="1"/>
      </w:r>
      <w:r w:rsidR="00AE0BED">
        <w:rPr>
          <w:rFonts w:cstheme="minorHAnsi"/>
          <w:lang w:val="en-US"/>
        </w:rPr>
        <w:instrText>ADDIN CSL_CITATION {"citationItems":[{"id":"ITEM-1","itemData":{"author":[{"dropping-particle":"","family":"R Core Team","given":"","non-dropping-particle":"","parse-names":false,"suffix":""}],"id":"ITEM-1","issued":{"date-parts":[["2018"]]},"title":"R: A Language and Environment for Statistical Computing. R Foundation for Statistical Computing, Vienna, Austria.","type":"article"},"uris":["http://www.mendeley.com/documents/?uuid=aa868f23-bd7d-4dd8-8735-e7e89acf0867","http://www.mendeley.com/documents/?uuid=70d3f177-7812-42a8-b639-926d73e36394"]}],"mendeley":{"formattedCitation":"(R Core Team 2018)","plainTextFormattedCitation":"(R Core Team 2018)","previouslyFormattedCitation":"(R Core Team, 2018)"},"properties":{"noteIndex":0},"schema":"https://github.com/citation-style-language/schema/raw/master/csl-citation.json"}</w:instrText>
      </w:r>
      <w:r w:rsidR="00C75438" w:rsidRPr="00EA52A2">
        <w:rPr>
          <w:rFonts w:cstheme="minorHAnsi"/>
          <w:lang w:val="en-US"/>
        </w:rPr>
        <w:fldChar w:fldCharType="separate"/>
      </w:r>
      <w:r w:rsidR="00AE0BED" w:rsidRPr="00AE0BED">
        <w:rPr>
          <w:rFonts w:cstheme="minorHAnsi"/>
          <w:noProof/>
          <w:lang w:val="en-US"/>
        </w:rPr>
        <w:t>(R Core Team 2018)</w:t>
      </w:r>
      <w:r w:rsidR="00C75438" w:rsidRPr="00EA52A2">
        <w:rPr>
          <w:rFonts w:cstheme="minorHAnsi"/>
          <w:lang w:val="en-US"/>
        </w:rPr>
        <w:fldChar w:fldCharType="end"/>
      </w:r>
      <w:r w:rsidR="00C75438" w:rsidRPr="00EA52A2">
        <w:rPr>
          <w:rFonts w:cstheme="minorHAnsi"/>
          <w:lang w:val="en-US"/>
        </w:rPr>
        <w:t>.</w:t>
      </w:r>
    </w:p>
    <w:p w14:paraId="07DBF4EA" w14:textId="6811B1CE" w:rsidR="001C4ED0" w:rsidRDefault="00922D9C" w:rsidP="001C4ED0">
      <w:pPr>
        <w:jc w:val="both"/>
        <w:rPr>
          <w:rFonts w:cstheme="minorHAnsi"/>
          <w:lang w:val="en-US"/>
        </w:rPr>
      </w:pPr>
      <w:r>
        <w:rPr>
          <w:rFonts w:cstheme="minorHAnsi"/>
          <w:lang w:val="en-US"/>
        </w:rPr>
        <w:t xml:space="preserve">We found significant inter-annual differences in all the three </w:t>
      </w:r>
      <w:r w:rsidR="001F4866">
        <w:rPr>
          <w:rFonts w:cstheme="minorHAnsi"/>
          <w:lang w:val="en-US"/>
        </w:rPr>
        <w:t>parameters</w:t>
      </w:r>
      <w:r>
        <w:rPr>
          <w:rFonts w:cstheme="minorHAnsi"/>
          <w:lang w:val="en-US"/>
        </w:rPr>
        <w:t xml:space="preserve"> (</w:t>
      </w:r>
      <w:proofErr w:type="spellStart"/>
      <w:r>
        <w:rPr>
          <w:rFonts w:cstheme="minorHAnsi"/>
          <w:lang w:val="en-US"/>
        </w:rPr>
        <w:t>Kruskal</w:t>
      </w:r>
      <w:proofErr w:type="spellEnd"/>
      <w:r>
        <w:rPr>
          <w:rFonts w:cstheme="minorHAnsi"/>
          <w:lang w:val="en-US"/>
        </w:rPr>
        <w:t>-Wallis tests, all p &lt; 0.01, Fig. S</w:t>
      </w:r>
      <w:r w:rsidR="000937AA">
        <w:rPr>
          <w:rFonts w:cstheme="minorHAnsi"/>
          <w:lang w:val="en-US"/>
        </w:rPr>
        <w:t>3</w:t>
      </w:r>
      <w:r>
        <w:rPr>
          <w:rFonts w:cstheme="minorHAnsi"/>
          <w:lang w:val="en-US"/>
        </w:rPr>
        <w:t>)</w:t>
      </w:r>
      <w:r w:rsidR="001F4866">
        <w:rPr>
          <w:rFonts w:cstheme="minorHAnsi"/>
          <w:lang w:val="en-US"/>
        </w:rPr>
        <w:t xml:space="preserve">. Overall, </w:t>
      </w:r>
      <w:r w:rsidR="00F963FF">
        <w:rPr>
          <w:rFonts w:cstheme="minorHAnsi"/>
          <w:lang w:val="en-US"/>
        </w:rPr>
        <w:t xml:space="preserve">of the four </w:t>
      </w:r>
      <w:r w:rsidR="002877AE">
        <w:rPr>
          <w:rFonts w:cstheme="minorHAnsi"/>
          <w:lang w:val="en-US"/>
        </w:rPr>
        <w:t>year</w:t>
      </w:r>
      <w:r w:rsidR="00F963FF">
        <w:rPr>
          <w:rFonts w:cstheme="minorHAnsi"/>
          <w:lang w:val="en-US"/>
        </w:rPr>
        <w:t xml:space="preserve">s, </w:t>
      </w:r>
      <w:r w:rsidR="001F4866">
        <w:rPr>
          <w:rFonts w:cstheme="minorHAnsi"/>
          <w:lang w:val="en-US"/>
        </w:rPr>
        <w:t xml:space="preserve">the warmest and the </w:t>
      </w:r>
      <w:proofErr w:type="gramStart"/>
      <w:r w:rsidR="001F4866">
        <w:rPr>
          <w:rFonts w:cstheme="minorHAnsi"/>
          <w:lang w:val="en-US"/>
        </w:rPr>
        <w:t>most windy</w:t>
      </w:r>
      <w:proofErr w:type="gramEnd"/>
      <w:r w:rsidR="003B0E98">
        <w:rPr>
          <w:rFonts w:cstheme="minorHAnsi"/>
          <w:lang w:val="en-US"/>
        </w:rPr>
        <w:t xml:space="preserve"> </w:t>
      </w:r>
      <w:r w:rsidR="001F4866">
        <w:rPr>
          <w:rFonts w:cstheme="minorHAnsi"/>
          <w:lang w:val="en-US"/>
        </w:rPr>
        <w:t xml:space="preserve">was the </w:t>
      </w:r>
      <w:r w:rsidR="002877AE">
        <w:rPr>
          <w:rFonts w:cstheme="minorHAnsi"/>
          <w:lang w:val="en-US"/>
        </w:rPr>
        <w:t>year</w:t>
      </w:r>
      <w:r w:rsidR="001F4866">
        <w:rPr>
          <w:rFonts w:cstheme="minorHAnsi"/>
          <w:lang w:val="en-US"/>
        </w:rPr>
        <w:t xml:space="preserve"> 2020, while the most humid was 2018 (</w:t>
      </w:r>
      <w:r w:rsidR="000B4D6F">
        <w:rPr>
          <w:rFonts w:cstheme="minorHAnsi"/>
          <w:lang w:val="en-US"/>
        </w:rPr>
        <w:t xml:space="preserve">Wilcox tests, p &lt; 0.05, </w:t>
      </w:r>
      <w:r w:rsidR="001F4866">
        <w:rPr>
          <w:rFonts w:cstheme="minorHAnsi"/>
          <w:lang w:val="en-US"/>
        </w:rPr>
        <w:t>Fig. S</w:t>
      </w:r>
      <w:r w:rsidR="000937AA">
        <w:rPr>
          <w:rFonts w:cstheme="minorHAnsi"/>
          <w:lang w:val="en-US"/>
        </w:rPr>
        <w:t>3</w:t>
      </w:r>
      <w:r w:rsidR="000B4D6F">
        <w:rPr>
          <w:rFonts w:cstheme="minorHAnsi"/>
          <w:lang w:val="en-US"/>
        </w:rPr>
        <w:t>;</w:t>
      </w:r>
      <w:r w:rsidR="001F4866">
        <w:rPr>
          <w:rFonts w:cstheme="minorHAnsi"/>
          <w:lang w:val="en-US"/>
        </w:rPr>
        <w:t xml:space="preserve"> see there also all the rest post-hoc comparisons).</w:t>
      </w:r>
    </w:p>
    <w:p w14:paraId="5B4BF834" w14:textId="6795D670" w:rsidR="001F4866" w:rsidRPr="000B4D6F" w:rsidRDefault="000B4D6F" w:rsidP="001C4ED0">
      <w:pPr>
        <w:jc w:val="both"/>
        <w:rPr>
          <w:rFonts w:cstheme="minorHAnsi"/>
          <w:lang w:val="en-US"/>
        </w:rPr>
      </w:pPr>
      <w:r>
        <w:rPr>
          <w:noProof/>
          <w:lang w:val="en-US"/>
        </w:rPr>
        <w:drawing>
          <wp:inline distT="0" distB="0" distL="0" distR="0" wp14:anchorId="7A5085C3" wp14:editId="11B91D60">
            <wp:extent cx="5760720" cy="26352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2635250"/>
                    </a:xfrm>
                    <a:prstGeom prst="rect">
                      <a:avLst/>
                    </a:prstGeom>
                  </pic:spPr>
                </pic:pic>
              </a:graphicData>
            </a:graphic>
          </wp:inline>
        </w:drawing>
      </w:r>
    </w:p>
    <w:p w14:paraId="0578EBBA" w14:textId="2237DD3B" w:rsidR="007B5E4E" w:rsidRDefault="007B5E4E">
      <w:pPr>
        <w:rPr>
          <w:lang w:val="en-US"/>
        </w:rPr>
      </w:pPr>
    </w:p>
    <w:p w14:paraId="3621F2B1" w14:textId="4D7BFD6A" w:rsidR="000937AA" w:rsidRDefault="000937AA" w:rsidP="000937AA">
      <w:pPr>
        <w:jc w:val="both"/>
        <w:rPr>
          <w:rFonts w:cstheme="minorHAnsi"/>
          <w:lang w:val="en-US"/>
        </w:rPr>
      </w:pPr>
      <w:r w:rsidRPr="000937AA">
        <w:rPr>
          <w:b/>
          <w:lang w:val="en-US"/>
        </w:rPr>
        <w:t xml:space="preserve">Figure </w:t>
      </w:r>
      <w:r>
        <w:rPr>
          <w:b/>
          <w:lang w:val="en-US"/>
        </w:rPr>
        <w:t>S3</w:t>
      </w:r>
      <w:r w:rsidRPr="000937AA">
        <w:rPr>
          <w:b/>
          <w:lang w:val="en-US"/>
        </w:rPr>
        <w:t>.</w:t>
      </w:r>
      <w:r>
        <w:rPr>
          <w:lang w:val="en-US"/>
        </w:rPr>
        <w:t xml:space="preserve"> Inter-annual differences in meteorological parameters in Hornsund colony. </w:t>
      </w:r>
      <w:r>
        <w:rPr>
          <w:rFonts w:cstheme="minorHAnsi"/>
          <w:lang w:val="en-US"/>
        </w:rPr>
        <w:t>L</w:t>
      </w:r>
      <w:r w:rsidRPr="00EA52A2">
        <w:rPr>
          <w:rFonts w:cstheme="minorHAnsi"/>
          <w:lang w:val="en-US"/>
        </w:rPr>
        <w:t>ines with values represent p-values for Wilcoxon test for paired data. Boxplots show the median (band inside the box), the first (25%) and third (75%) quartile (box), the lowest and the highest values within 1.5 interquartile range (whi</w:t>
      </w:r>
      <w:r>
        <w:rPr>
          <w:rFonts w:cstheme="minorHAnsi"/>
          <w:lang w:val="en-US"/>
        </w:rPr>
        <w:t xml:space="preserve">skers) and outliers (circles). </w:t>
      </w:r>
    </w:p>
    <w:p w14:paraId="6DBB29C7" w14:textId="44F5E427" w:rsidR="002E4E02" w:rsidRDefault="002E4E02" w:rsidP="002E4E02">
      <w:pPr>
        <w:jc w:val="both"/>
        <w:rPr>
          <w:rFonts w:cstheme="minorHAnsi"/>
          <w:b/>
          <w:bCs/>
          <w:lang w:val="en-US"/>
        </w:rPr>
      </w:pPr>
      <w:r>
        <w:rPr>
          <w:rFonts w:cstheme="minorHAnsi"/>
          <w:b/>
          <w:bCs/>
          <w:lang w:val="en-US"/>
        </w:rPr>
        <w:t>Inter-annual variability in the little auk foraging</w:t>
      </w:r>
    </w:p>
    <w:p w14:paraId="283E89FB" w14:textId="2981D911" w:rsidR="002E4E02" w:rsidRDefault="002E4E02" w:rsidP="002E4E02">
      <w:pPr>
        <w:jc w:val="both"/>
        <w:rPr>
          <w:lang w:val="en-GB"/>
        </w:rPr>
      </w:pPr>
      <w:r>
        <w:rPr>
          <w:lang w:val="en-GB"/>
        </w:rPr>
        <w:t xml:space="preserve">To divide foraging trips into ST and LT we applied method proposed </w:t>
      </w:r>
      <w:r w:rsidRPr="00757191">
        <w:rPr>
          <w:lang w:val="en-GB"/>
        </w:rPr>
        <w:t xml:space="preserve">by </w:t>
      </w:r>
      <w:r w:rsidRPr="003B0E98">
        <w:rPr>
          <w:lang w:val="en-GB"/>
        </w:rPr>
        <w:fldChar w:fldCharType="begin" w:fldLock="1"/>
      </w:r>
      <w:r w:rsidR="00AE0BED" w:rsidRPr="003B0E98">
        <w:rPr>
          <w:lang w:val="en-GB"/>
        </w:rPr>
        <w:instrText>ADDIN CSL_CITATION {"citationItems":[{"id":"ITEM-1","itemData":{"DOI":"10.1111/j.1600-048X.2008.04620.x","ISBN":"1600-048X","ISSN":"09088857","abstract":"A bimodal foraging strategy has previously been described for procellariiform seabird species and is thought to have evolved in response to local resource availability being too low for adult birds to meet chick requirements and simultaneously maintain their own body condition. Here, we examine the dual foraging trip pattern of an alcid, the little auk Alle alle, at five colonies with contrasting oceanographic conditions. In spite of large variation in local conditions, little auks at all colonies showed the same general pattern of alternating a single long-trip with several consecutive short-trips. However, we found that the foraging pattern was flexible and could be adjusted at three levels: (1) the length of long-trips, (2) the frequency of short-trips, and (3) the total time spent foraging. Birds facing unfavorable conditions increased the duration of long-trips and reduced the number of short-trips. These adjustments resulted in reduced provisioning rates of chicks despite the fact that birds also increased the time allocated to foraging. Travel times during foraging trips were positively correlated to the total duration of the trip suggesting that differences in trip length among colonies were partly driven by variation in the distance to foraging areas. Most birds spent substantially more time traveling during long compared to short-trips, indicating that they accessed distant foraging areas during long-trips but remained close to the colony during short-trips. However, the difference in travel times was small at the site with the most favorable conditions suggesting that bimodal foraging in the little auk may be independent of the existence of high-quality areas at distance from the breeding ground.","author":[{"dropping-particle":"","family":"Welcker","given":"Jorg","non-dropping-particle":"","parse-names":false,"suffix":""},{"dropping-particle":"","family":"Harding","given":"Ann M A","non-dropping-particle":"","parse-names":false,"suffix":""},{"dropping-particle":"","family":"Karnovsky","given":"Nina J.","non-dropping-particle":"","parse-names":false,"suffix":""},{"dropping-particle":"","family":"Steen","given":"Harald","non-dropping-particle":"","parse-names":false,"suffix":""},{"dropping-particle":"","family":"Strøm","given":"Hallvard","non-dropping-particle":"","parse-names":false,"suffix":""},{"dropping-particle":"","family":"Gabrielsen","given":"Geir W.","non-dropping-particle":"","parse-names":false,"suffix":""}],"container-title":"Journal of Avian Biology","id":"ITEM-1","issue":"4","issued":{"date-parts":[["2009"]]},"page":"388-399","title":"Flexibility in the bimodal foraging strategy of a high Arctic alcid, the little auk Alle alle","type":"article-journal","volume":"40"},"uris":["http://www.mendeley.com/documents/?uuid=b42fffa4-0f5a-4364-89b7-d21ce7496253"]}],"mendeley":{"formattedCitation":"(Welcker et al. 2009)","plainTextFormattedCitation":"(Welcker et al. 2009)","previouslyFormattedCitation":"(Welcker et al., 2009)"},"properties":{"noteIndex":0},"schema":"https://github.com/citation-style-language/schema/raw/master/csl-citation.json"}</w:instrText>
      </w:r>
      <w:r w:rsidRPr="003B0E98">
        <w:rPr>
          <w:lang w:val="en-GB"/>
        </w:rPr>
        <w:fldChar w:fldCharType="separate"/>
      </w:r>
      <w:r w:rsidR="00AE0BED" w:rsidRPr="003B0E98">
        <w:rPr>
          <w:noProof/>
          <w:lang w:val="en-GB"/>
        </w:rPr>
        <w:t>(Welcker et al. 2009)</w:t>
      </w:r>
      <w:r w:rsidRPr="003B0E98">
        <w:rPr>
          <w:lang w:val="en-GB"/>
        </w:rPr>
        <w:fldChar w:fldCharType="end"/>
      </w:r>
      <w:r w:rsidRPr="003B0E98">
        <w:rPr>
          <w:lang w:val="en-GB"/>
        </w:rPr>
        <w:t xml:space="preserve">. With this method, the best cut-off value separates the trips in a way that minimizes the sum of variances of both trip types, given their log-normal distribution. The cut-off values (either when calculated separately </w:t>
      </w:r>
      <w:r w:rsidRPr="003B0E98">
        <w:rPr>
          <w:lang w:val="en-GB"/>
        </w:rPr>
        <w:lastRenderedPageBreak/>
        <w:t xml:space="preserve">for each </w:t>
      </w:r>
      <w:r w:rsidR="002877AE">
        <w:rPr>
          <w:lang w:val="en-GB"/>
        </w:rPr>
        <w:t>year</w:t>
      </w:r>
      <w:r w:rsidRPr="003B0E98">
        <w:rPr>
          <w:lang w:val="en-GB"/>
        </w:rPr>
        <w:t xml:space="preserve"> or for all </w:t>
      </w:r>
      <w:r w:rsidR="002877AE">
        <w:rPr>
          <w:lang w:val="en-GB"/>
        </w:rPr>
        <w:t>year</w:t>
      </w:r>
      <w:r w:rsidRPr="003B0E98">
        <w:rPr>
          <w:lang w:val="en-GB"/>
        </w:rPr>
        <w:t xml:space="preserve">s being pooled) were quite similar: 2017: 7.0 h, 2018: 6.7 h, 2019: 8.8 h, 2020: 8.5 h and 7.0 h for pooled </w:t>
      </w:r>
      <w:r w:rsidR="002877AE">
        <w:rPr>
          <w:lang w:val="en-GB"/>
        </w:rPr>
        <w:t>year</w:t>
      </w:r>
      <w:r w:rsidRPr="003B0E98">
        <w:rPr>
          <w:lang w:val="en-GB"/>
        </w:rPr>
        <w:t>s. (Fig. S</w:t>
      </w:r>
      <w:r w:rsidR="000937AA">
        <w:rPr>
          <w:lang w:val="en-GB"/>
        </w:rPr>
        <w:t>4</w:t>
      </w:r>
      <w:r w:rsidRPr="003B0E98">
        <w:rPr>
          <w:lang w:val="en-GB"/>
        </w:rPr>
        <w:t>).</w:t>
      </w:r>
    </w:p>
    <w:p w14:paraId="09D01A30" w14:textId="77777777" w:rsidR="00284DD9" w:rsidRPr="001C4ED0" w:rsidRDefault="00284DD9" w:rsidP="002E4E02">
      <w:pPr>
        <w:jc w:val="both"/>
        <w:rPr>
          <w:rFonts w:cstheme="minorHAnsi"/>
          <w:b/>
          <w:bCs/>
          <w:lang w:val="en-US"/>
        </w:rPr>
      </w:pPr>
    </w:p>
    <w:p w14:paraId="330E41DC" w14:textId="6EFCBCDA" w:rsidR="002E4E02" w:rsidRDefault="002E4E02">
      <w:pPr>
        <w:rPr>
          <w:b/>
          <w:lang w:val="en-US"/>
        </w:rPr>
      </w:pPr>
      <w:r>
        <w:rPr>
          <w:noProof/>
          <w:lang w:val="en-US"/>
        </w:rPr>
        <w:drawing>
          <wp:inline distT="0" distB="0" distL="0" distR="0" wp14:anchorId="393793C4" wp14:editId="5731D433">
            <wp:extent cx="5760720" cy="330009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300095"/>
                    </a:xfrm>
                    <a:prstGeom prst="rect">
                      <a:avLst/>
                    </a:prstGeom>
                  </pic:spPr>
                </pic:pic>
              </a:graphicData>
            </a:graphic>
          </wp:inline>
        </w:drawing>
      </w:r>
    </w:p>
    <w:p w14:paraId="70E5DB86" w14:textId="5B4A5C5D" w:rsidR="002E4E02" w:rsidRDefault="00284DD9">
      <w:pPr>
        <w:rPr>
          <w:lang w:val="en-GB"/>
        </w:rPr>
      </w:pPr>
      <w:r>
        <w:rPr>
          <w:b/>
          <w:lang w:val="en-US"/>
        </w:rPr>
        <w:t>Figure S</w:t>
      </w:r>
      <w:r w:rsidR="000937AA">
        <w:rPr>
          <w:b/>
          <w:lang w:val="en-US"/>
        </w:rPr>
        <w:t>4</w:t>
      </w:r>
      <w:r>
        <w:rPr>
          <w:b/>
          <w:lang w:val="en-US"/>
        </w:rPr>
        <w:t xml:space="preserve">. </w:t>
      </w:r>
      <w:r>
        <w:rPr>
          <w:lang w:val="en-GB"/>
        </w:rPr>
        <w:t>L</w:t>
      </w:r>
      <w:r w:rsidRPr="00757191">
        <w:rPr>
          <w:lang w:val="en-GB"/>
        </w:rPr>
        <w:t>og-normal distribution</w:t>
      </w:r>
      <w:r w:rsidRPr="00695F6C">
        <w:rPr>
          <w:lang w:val="en-GB"/>
        </w:rPr>
        <w:t xml:space="preserve"> of</w:t>
      </w:r>
      <w:r>
        <w:rPr>
          <w:b/>
          <w:lang w:val="en-GB"/>
        </w:rPr>
        <w:t xml:space="preserve"> </w:t>
      </w:r>
      <w:r>
        <w:rPr>
          <w:lang w:val="en-GB"/>
        </w:rPr>
        <w:t xml:space="preserve">little auk foraging trips (originally in lasting hours) in the four study </w:t>
      </w:r>
      <w:r w:rsidR="002877AE">
        <w:rPr>
          <w:lang w:val="en-GB"/>
        </w:rPr>
        <w:t>year</w:t>
      </w:r>
      <w:r>
        <w:rPr>
          <w:lang w:val="en-GB"/>
        </w:rPr>
        <w:t xml:space="preserve">s. Vertical lines denote cut-off values for the division for short (ST) and long trips; red-solid </w:t>
      </w:r>
      <w:r w:rsidR="002877AE">
        <w:rPr>
          <w:lang w:val="en-GB"/>
        </w:rPr>
        <w:t>calculated separately for each year</w:t>
      </w:r>
      <w:r>
        <w:rPr>
          <w:lang w:val="en-GB"/>
        </w:rPr>
        <w:t xml:space="preserve">, grey-dashed calculated for all </w:t>
      </w:r>
      <w:r w:rsidR="002877AE">
        <w:rPr>
          <w:lang w:val="en-GB"/>
        </w:rPr>
        <w:t>year</w:t>
      </w:r>
      <w:r>
        <w:rPr>
          <w:lang w:val="en-GB"/>
        </w:rPr>
        <w:t>s being pooled.</w:t>
      </w:r>
    </w:p>
    <w:p w14:paraId="5C36ED86" w14:textId="77777777" w:rsidR="00284DD9" w:rsidRPr="00284DD9" w:rsidRDefault="00284DD9">
      <w:pPr>
        <w:rPr>
          <w:lang w:val="en-US"/>
        </w:rPr>
      </w:pPr>
    </w:p>
    <w:p w14:paraId="5EFD56EB" w14:textId="2B3402CB" w:rsidR="00284DD9" w:rsidRDefault="00284DD9" w:rsidP="00284DD9">
      <w:pPr>
        <w:jc w:val="both"/>
        <w:rPr>
          <w:rStyle w:val="HTMLCode"/>
          <w:rFonts w:asciiTheme="minorHAnsi" w:eastAsiaTheme="minorHAnsi" w:hAnsiTheme="minorHAnsi" w:cstheme="minorHAnsi"/>
          <w:sz w:val="22"/>
          <w:szCs w:val="22"/>
          <w:lang w:val="en-GB"/>
        </w:rPr>
      </w:pPr>
      <w:r>
        <w:rPr>
          <w:lang w:val="en-GB"/>
        </w:rPr>
        <w:t>To analyse inter-</w:t>
      </w:r>
      <w:r w:rsidR="002877AE">
        <w:rPr>
          <w:lang w:val="en-GB"/>
        </w:rPr>
        <w:t>annual</w:t>
      </w:r>
      <w:r>
        <w:rPr>
          <w:lang w:val="en-GB"/>
        </w:rPr>
        <w:t xml:space="preserve"> difference in </w:t>
      </w:r>
      <w:r w:rsidRPr="00DF4331">
        <w:rPr>
          <w:rFonts w:cstheme="minorHAnsi"/>
          <w:lang w:val="en-GB"/>
        </w:rPr>
        <w:t xml:space="preserve">duration foraging trips, for each trip type (ST/LT) separately, we applied linear mixed model fitted </w:t>
      </w:r>
      <w:r w:rsidRPr="00DF4331">
        <w:rPr>
          <w:rFonts w:cstheme="minorHAnsi"/>
          <w:color w:val="000000"/>
          <w:shd w:val="clear" w:color="auto" w:fill="FFFFFF"/>
          <w:lang w:val="en-GB"/>
        </w:rPr>
        <w:t>by restricted maximum likelihood</w:t>
      </w:r>
      <w:r w:rsidRPr="00DF4331">
        <w:rPr>
          <w:rFonts w:cstheme="minorHAnsi"/>
          <w:lang w:val="en-GB"/>
        </w:rPr>
        <w:t xml:space="preserve"> (</w:t>
      </w:r>
      <w:proofErr w:type="spellStart"/>
      <w:r w:rsidRPr="00DF4331">
        <w:rPr>
          <w:rFonts w:cstheme="minorHAnsi"/>
          <w:i/>
          <w:lang w:val="en-GB"/>
        </w:rPr>
        <w:t>lmer</w:t>
      </w:r>
      <w:proofErr w:type="spellEnd"/>
      <w:r w:rsidRPr="00DF4331">
        <w:rPr>
          <w:rFonts w:cstheme="minorHAnsi"/>
          <w:lang w:val="en-GB"/>
        </w:rPr>
        <w:t xml:space="preserve"> function from </w:t>
      </w:r>
      <w:proofErr w:type="spellStart"/>
      <w:r w:rsidRPr="00DF4331">
        <w:rPr>
          <w:rFonts w:cstheme="minorHAnsi"/>
          <w:i/>
          <w:lang w:val="en-GB"/>
        </w:rPr>
        <w:t>lmer</w:t>
      </w:r>
      <w:r w:rsidR="001E262D" w:rsidRPr="00DF4331">
        <w:rPr>
          <w:rFonts w:cstheme="minorHAnsi"/>
          <w:i/>
          <w:lang w:val="en-GB"/>
        </w:rPr>
        <w:t>Test</w:t>
      </w:r>
      <w:proofErr w:type="spellEnd"/>
      <w:r w:rsidRPr="00DF4331">
        <w:rPr>
          <w:rFonts w:cstheme="minorHAnsi"/>
          <w:lang w:val="en-GB"/>
        </w:rPr>
        <w:t xml:space="preserve"> package,</w:t>
      </w:r>
      <w:r w:rsidR="001E262D" w:rsidRPr="00DF4331">
        <w:rPr>
          <w:rFonts w:cstheme="minorHAnsi"/>
          <w:lang w:val="en-GB"/>
        </w:rPr>
        <w:t xml:space="preserve"> </w:t>
      </w:r>
      <w:r w:rsidR="001E262D" w:rsidRPr="00DF4331">
        <w:rPr>
          <w:rFonts w:cstheme="minorHAnsi"/>
          <w:lang w:val="en-GB"/>
        </w:rPr>
        <w:fldChar w:fldCharType="begin" w:fldLock="1"/>
      </w:r>
      <w:r w:rsidR="00AE0BED" w:rsidRPr="00DF4331">
        <w:rPr>
          <w:rFonts w:cstheme="minorHAnsi"/>
          <w:lang w:val="en-GB"/>
        </w:rPr>
        <w:instrText>ADDIN CSL_CITATION {"citationItems":[{"id":"ITEM-1","itemData":{"DOI":"10.18637/jss.v082.i13","author":[{"dropping-particle":"","family":"Kuznetsova","given":"Alexandra","non-dropping-particle":"","parse-names":false,"suffix":""},{"dropping-particle":"","family":"Brockhoff","given":"Per Brunn","non-dropping-particle":"","parse-names":false,"suffix":""},{"dropping-particle":"","family":"Christensen","given":"Rune Haubo Bjosen","non-dropping-particle":"","parse-names":false,"suffix":""}],"container-title":"Journal of Statistical Software","id":"ITEM-1","issue":"13","issued":{"date-parts":[["2017"]]},"page":"1-26","title":"lmerTest Package: Tests in Linear Mixed Effects Models","type":"article-journal","volume":"82"},"uris":["http://www.mendeley.com/documents/?uuid=0d72e33b-a20a-4e2c-89e8-de5bf60031f1"]}],"mendeley":{"formattedCitation":"(Kuznetsova et al. 2017)","manualFormatting":"Kuznetsova et al., 2017)","plainTextFormattedCitation":"(Kuznetsova et al. 2017)","previouslyFormattedCitation":"(Kuznetsova et al., 2017)"},"properties":{"noteIndex":0},"schema":"https://github.com/citation-style-language/schema/raw/master/csl-citation.json"}</w:instrText>
      </w:r>
      <w:r w:rsidR="001E262D" w:rsidRPr="00DF4331">
        <w:rPr>
          <w:rFonts w:cstheme="minorHAnsi"/>
          <w:lang w:val="en-GB"/>
        </w:rPr>
        <w:fldChar w:fldCharType="separate"/>
      </w:r>
      <w:r w:rsidR="001E262D" w:rsidRPr="00DF4331">
        <w:rPr>
          <w:rFonts w:cstheme="minorHAnsi"/>
          <w:noProof/>
          <w:lang w:val="en-GB"/>
        </w:rPr>
        <w:t>Kuznetsova et al., 2017)</w:t>
      </w:r>
      <w:r w:rsidR="001E262D" w:rsidRPr="00DF4331">
        <w:rPr>
          <w:rFonts w:cstheme="minorHAnsi"/>
          <w:lang w:val="en-GB"/>
        </w:rPr>
        <w:fldChar w:fldCharType="end"/>
      </w:r>
      <w:r w:rsidRPr="00DF4331">
        <w:rPr>
          <w:rFonts w:cstheme="minorHAnsi"/>
          <w:lang w:val="en-GB"/>
        </w:rPr>
        <w:t xml:space="preserve">, with log-transformed trip duration as a response variable and </w:t>
      </w:r>
      <w:r w:rsidR="002877AE">
        <w:rPr>
          <w:rFonts w:cstheme="minorHAnsi"/>
          <w:lang w:val="en-GB"/>
        </w:rPr>
        <w:t xml:space="preserve">year </w:t>
      </w:r>
      <w:r w:rsidRPr="00DF4331">
        <w:rPr>
          <w:rFonts w:cstheme="minorHAnsi"/>
          <w:lang w:val="en-GB"/>
        </w:rPr>
        <w:t>and sex, as well as their interaction as fixed factors</w:t>
      </w:r>
      <w:r w:rsidRPr="00ED6F4A">
        <w:rPr>
          <w:lang w:val="en-GB"/>
        </w:rPr>
        <w:t xml:space="preserve">. We included in the model sex and its interaction with the </w:t>
      </w:r>
      <w:r w:rsidR="002877AE">
        <w:rPr>
          <w:lang w:val="en-GB"/>
        </w:rPr>
        <w:t>year</w:t>
      </w:r>
      <w:r w:rsidRPr="00ED6F4A">
        <w:rPr>
          <w:lang w:val="en-GB"/>
        </w:rPr>
        <w:t xml:space="preserve"> due to expected sex-specific foraging behaviour and possibly also sex-specific response to environmental factors (</w:t>
      </w:r>
      <w:r>
        <w:rPr>
          <w:lang w:val="en-GB"/>
        </w:rPr>
        <w:t>see the main text</w:t>
      </w:r>
      <w:r w:rsidR="00AE0BED">
        <w:rPr>
          <w:lang w:val="en-GB"/>
        </w:rPr>
        <w:t xml:space="preserve"> for justification</w:t>
      </w:r>
      <w:r>
        <w:rPr>
          <w:lang w:val="en-GB"/>
        </w:rPr>
        <w:t>)</w:t>
      </w:r>
      <w:r w:rsidRPr="00ED6F4A">
        <w:rPr>
          <w:lang w:val="en-GB"/>
        </w:rPr>
        <w:t>.</w:t>
      </w:r>
      <w:r>
        <w:rPr>
          <w:lang w:val="en-GB"/>
        </w:rPr>
        <w:t xml:space="preserve"> </w:t>
      </w:r>
      <w:r w:rsidRPr="00ED6F4A">
        <w:rPr>
          <w:lang w:val="en-GB"/>
        </w:rPr>
        <w:t>Since the same individual</w:t>
      </w:r>
      <w:r>
        <w:rPr>
          <w:lang w:val="en-GB"/>
        </w:rPr>
        <w:t>s</w:t>
      </w:r>
      <w:r w:rsidRPr="00ED6F4A">
        <w:rPr>
          <w:lang w:val="en-GB"/>
        </w:rPr>
        <w:t xml:space="preserve"> </w:t>
      </w:r>
      <w:r w:rsidRPr="00284DD9">
        <w:rPr>
          <w:rFonts w:cstheme="minorHAnsi"/>
          <w:lang w:val="en-GB"/>
        </w:rPr>
        <w:t xml:space="preserve">were represented in the data set multiple times (the pseudoreplication especially relevant for ST data set but also LT when the same individual was followed for more than one </w:t>
      </w:r>
      <w:r w:rsidR="002877AE">
        <w:rPr>
          <w:rFonts w:cstheme="minorHAnsi"/>
          <w:lang w:val="en-GB"/>
        </w:rPr>
        <w:t>year</w:t>
      </w:r>
      <w:r w:rsidRPr="00284DD9">
        <w:rPr>
          <w:rFonts w:cstheme="minorHAnsi"/>
          <w:lang w:val="en-GB"/>
        </w:rPr>
        <w:t>), we inco</w:t>
      </w:r>
      <w:r w:rsidR="00F963FF">
        <w:rPr>
          <w:rFonts w:cstheme="minorHAnsi"/>
          <w:lang w:val="en-GB"/>
        </w:rPr>
        <w:t xml:space="preserve">rporated in the model birds’ identity </w:t>
      </w:r>
      <w:r w:rsidRPr="00284DD9">
        <w:rPr>
          <w:rFonts w:cstheme="minorHAnsi"/>
          <w:lang w:val="en-GB"/>
        </w:rPr>
        <w:t xml:space="preserve">as a random factor. The results were reported with analysis of variance table </w:t>
      </w:r>
      <w:r w:rsidRPr="00284DD9">
        <w:rPr>
          <w:rStyle w:val="HTMLCode"/>
          <w:rFonts w:asciiTheme="minorHAnsi" w:eastAsiaTheme="minorHAnsi" w:hAnsiTheme="minorHAnsi" w:cstheme="minorHAnsi"/>
          <w:sz w:val="22"/>
          <w:szCs w:val="22"/>
          <w:lang w:val="en-GB" w:eastAsia="pl-PL"/>
        </w:rPr>
        <w:t xml:space="preserve">with </w:t>
      </w:r>
      <w:r w:rsidRPr="00284DD9">
        <w:rPr>
          <w:rStyle w:val="HTMLCode"/>
          <w:rFonts w:asciiTheme="minorHAnsi" w:eastAsiaTheme="minorHAnsi" w:hAnsiTheme="minorHAnsi" w:cstheme="minorHAnsi"/>
          <w:sz w:val="22"/>
          <w:szCs w:val="22"/>
          <w:lang w:val="en-GB"/>
        </w:rPr>
        <w:t xml:space="preserve">Satterthwaite's method and basic characteristics (median, quantiles, range) were plotted in respect to significant variables considered in the model. </w:t>
      </w:r>
      <w:r w:rsidR="00B103CB">
        <w:rPr>
          <w:rStyle w:val="HTMLCode"/>
          <w:rFonts w:asciiTheme="minorHAnsi" w:eastAsiaTheme="minorHAnsi" w:hAnsiTheme="minorHAnsi" w:cstheme="minorHAnsi"/>
          <w:sz w:val="22"/>
          <w:szCs w:val="22"/>
          <w:lang w:val="en-GB"/>
        </w:rPr>
        <w:t>Wilcox tests were performed as a post-hoc for inter-</w:t>
      </w:r>
      <w:r w:rsidR="002877AE">
        <w:rPr>
          <w:rStyle w:val="HTMLCode"/>
          <w:rFonts w:asciiTheme="minorHAnsi" w:eastAsiaTheme="minorHAnsi" w:hAnsiTheme="minorHAnsi" w:cstheme="minorHAnsi"/>
          <w:sz w:val="22"/>
          <w:szCs w:val="22"/>
          <w:lang w:val="en-GB"/>
        </w:rPr>
        <w:t xml:space="preserve">annual </w:t>
      </w:r>
      <w:r w:rsidR="00B103CB">
        <w:rPr>
          <w:rStyle w:val="HTMLCode"/>
          <w:rFonts w:asciiTheme="minorHAnsi" w:eastAsiaTheme="minorHAnsi" w:hAnsiTheme="minorHAnsi" w:cstheme="minorHAnsi"/>
          <w:sz w:val="22"/>
          <w:szCs w:val="22"/>
          <w:lang w:val="en-GB"/>
        </w:rPr>
        <w:t>differences.</w:t>
      </w:r>
    </w:p>
    <w:p w14:paraId="5E4CB95D" w14:textId="717ADC8A" w:rsidR="00284DD9" w:rsidRDefault="00284DD9" w:rsidP="00284DD9">
      <w:pPr>
        <w:jc w:val="both"/>
        <w:rPr>
          <w:rStyle w:val="HTMLCode"/>
          <w:rFonts w:asciiTheme="minorHAnsi" w:eastAsiaTheme="minorHAnsi" w:hAnsiTheme="minorHAnsi" w:cstheme="minorHAnsi"/>
          <w:sz w:val="22"/>
          <w:szCs w:val="22"/>
          <w:lang w:val="en-GB"/>
        </w:rPr>
      </w:pPr>
      <w:r>
        <w:rPr>
          <w:rStyle w:val="HTMLCode"/>
          <w:rFonts w:asciiTheme="minorHAnsi" w:eastAsiaTheme="minorHAnsi" w:hAnsiTheme="minorHAnsi" w:cstheme="minorHAnsi"/>
          <w:sz w:val="22"/>
          <w:szCs w:val="22"/>
          <w:lang w:val="en-GB"/>
        </w:rPr>
        <w:t>Despite similar ST/LT pattern over the study period (Fig</w:t>
      </w:r>
      <w:r w:rsidR="00B103CB">
        <w:rPr>
          <w:rStyle w:val="HTMLCode"/>
          <w:rFonts w:asciiTheme="minorHAnsi" w:eastAsiaTheme="minorHAnsi" w:hAnsiTheme="minorHAnsi" w:cstheme="minorHAnsi"/>
          <w:sz w:val="22"/>
          <w:szCs w:val="22"/>
          <w:lang w:val="en-GB"/>
        </w:rPr>
        <w:t>.</w:t>
      </w:r>
      <w:r>
        <w:rPr>
          <w:rStyle w:val="HTMLCode"/>
          <w:rFonts w:asciiTheme="minorHAnsi" w:eastAsiaTheme="minorHAnsi" w:hAnsiTheme="minorHAnsi" w:cstheme="minorHAnsi"/>
          <w:sz w:val="22"/>
          <w:szCs w:val="22"/>
          <w:lang w:val="en-GB"/>
        </w:rPr>
        <w:t xml:space="preserve"> S</w:t>
      </w:r>
      <w:r w:rsidR="000937AA">
        <w:rPr>
          <w:rStyle w:val="HTMLCode"/>
          <w:rFonts w:asciiTheme="minorHAnsi" w:eastAsiaTheme="minorHAnsi" w:hAnsiTheme="minorHAnsi" w:cstheme="minorHAnsi"/>
          <w:sz w:val="22"/>
          <w:szCs w:val="22"/>
          <w:lang w:val="en-GB"/>
        </w:rPr>
        <w:t>4</w:t>
      </w:r>
      <w:r>
        <w:rPr>
          <w:rStyle w:val="HTMLCode"/>
          <w:rFonts w:asciiTheme="minorHAnsi" w:eastAsiaTheme="minorHAnsi" w:hAnsiTheme="minorHAnsi" w:cstheme="minorHAnsi"/>
          <w:sz w:val="22"/>
          <w:szCs w:val="22"/>
          <w:lang w:val="en-GB"/>
        </w:rPr>
        <w:t>), we found inter-</w:t>
      </w:r>
      <w:r w:rsidR="002877AE">
        <w:rPr>
          <w:rStyle w:val="HTMLCode"/>
          <w:rFonts w:asciiTheme="minorHAnsi" w:eastAsiaTheme="minorHAnsi" w:hAnsiTheme="minorHAnsi" w:cstheme="minorHAnsi"/>
          <w:sz w:val="22"/>
          <w:szCs w:val="22"/>
          <w:lang w:val="en-GB"/>
        </w:rPr>
        <w:t xml:space="preserve">annual </w:t>
      </w:r>
      <w:r>
        <w:rPr>
          <w:rStyle w:val="HTMLCode"/>
          <w:rFonts w:asciiTheme="minorHAnsi" w:eastAsiaTheme="minorHAnsi" w:hAnsiTheme="minorHAnsi" w:cstheme="minorHAnsi"/>
          <w:sz w:val="22"/>
          <w:szCs w:val="22"/>
          <w:lang w:val="en-GB"/>
        </w:rPr>
        <w:t>differences in duration of foraging trips both ST (</w:t>
      </w:r>
      <w:r w:rsidRPr="001E262D">
        <w:rPr>
          <w:rStyle w:val="HTMLCode"/>
          <w:rFonts w:asciiTheme="minorHAnsi" w:eastAsiaTheme="minorHAnsi" w:hAnsiTheme="minorHAnsi" w:cstheme="minorHAnsi"/>
          <w:sz w:val="22"/>
          <w:szCs w:val="22"/>
          <w:lang w:val="en-GB"/>
        </w:rPr>
        <w:t xml:space="preserve">LMM, F = </w:t>
      </w:r>
      <w:r w:rsidR="001E262D" w:rsidRPr="001E262D">
        <w:rPr>
          <w:rStyle w:val="HTMLCode"/>
          <w:rFonts w:asciiTheme="minorHAnsi" w:eastAsiaTheme="minorHAnsi" w:hAnsiTheme="minorHAnsi" w:cstheme="minorHAnsi"/>
          <w:sz w:val="22"/>
          <w:szCs w:val="22"/>
          <w:lang w:val="en-GB"/>
        </w:rPr>
        <w:t>22.7</w:t>
      </w:r>
      <w:r w:rsidRPr="001E262D">
        <w:rPr>
          <w:rStyle w:val="HTMLCode"/>
          <w:rFonts w:asciiTheme="minorHAnsi" w:eastAsiaTheme="minorHAnsi" w:hAnsiTheme="minorHAnsi" w:cstheme="minorHAnsi"/>
          <w:sz w:val="22"/>
          <w:szCs w:val="22"/>
          <w:lang w:val="en-GB"/>
        </w:rPr>
        <w:t xml:space="preserve">, </w:t>
      </w:r>
      <w:proofErr w:type="spellStart"/>
      <w:r w:rsidRPr="001E262D">
        <w:rPr>
          <w:rStyle w:val="HTMLCode"/>
          <w:rFonts w:asciiTheme="minorHAnsi" w:eastAsiaTheme="minorHAnsi" w:hAnsiTheme="minorHAnsi" w:cstheme="minorHAnsi"/>
          <w:sz w:val="22"/>
          <w:szCs w:val="22"/>
          <w:lang w:val="en-GB"/>
        </w:rPr>
        <w:t>df</w:t>
      </w:r>
      <w:proofErr w:type="spellEnd"/>
      <w:r w:rsidRPr="001E262D">
        <w:rPr>
          <w:rStyle w:val="HTMLCode"/>
          <w:rFonts w:asciiTheme="minorHAnsi" w:eastAsiaTheme="minorHAnsi" w:hAnsiTheme="minorHAnsi" w:cstheme="minorHAnsi"/>
          <w:sz w:val="22"/>
          <w:szCs w:val="22"/>
          <w:lang w:val="en-GB"/>
        </w:rPr>
        <w:t xml:space="preserve"> = 3, P &lt; 0.001), and LT data set (F = </w:t>
      </w:r>
      <w:r w:rsidR="001E262D" w:rsidRPr="001E262D">
        <w:rPr>
          <w:rStyle w:val="HTMLCode"/>
          <w:rFonts w:asciiTheme="minorHAnsi" w:eastAsiaTheme="minorHAnsi" w:hAnsiTheme="minorHAnsi" w:cstheme="minorHAnsi"/>
          <w:sz w:val="22"/>
          <w:szCs w:val="22"/>
          <w:lang w:val="en-GB"/>
        </w:rPr>
        <w:t>5.19</w:t>
      </w:r>
      <w:r w:rsidRPr="001E262D">
        <w:rPr>
          <w:rStyle w:val="HTMLCode"/>
          <w:rFonts w:asciiTheme="minorHAnsi" w:eastAsiaTheme="minorHAnsi" w:hAnsiTheme="minorHAnsi" w:cstheme="minorHAnsi"/>
          <w:sz w:val="22"/>
          <w:szCs w:val="22"/>
          <w:lang w:val="en-GB"/>
        </w:rPr>
        <w:t xml:space="preserve">, </w:t>
      </w:r>
      <w:proofErr w:type="spellStart"/>
      <w:r w:rsidRPr="001E262D">
        <w:rPr>
          <w:rStyle w:val="HTMLCode"/>
          <w:rFonts w:asciiTheme="minorHAnsi" w:eastAsiaTheme="minorHAnsi" w:hAnsiTheme="minorHAnsi" w:cstheme="minorHAnsi"/>
          <w:sz w:val="22"/>
          <w:szCs w:val="22"/>
          <w:lang w:val="en-GB"/>
        </w:rPr>
        <w:t>df</w:t>
      </w:r>
      <w:proofErr w:type="spellEnd"/>
      <w:r w:rsidRPr="001E262D">
        <w:rPr>
          <w:rStyle w:val="HTMLCode"/>
          <w:rFonts w:asciiTheme="minorHAnsi" w:eastAsiaTheme="minorHAnsi" w:hAnsiTheme="minorHAnsi" w:cstheme="minorHAnsi"/>
          <w:sz w:val="22"/>
          <w:szCs w:val="22"/>
          <w:lang w:val="en-GB"/>
        </w:rPr>
        <w:t xml:space="preserve"> = </w:t>
      </w:r>
      <w:r w:rsidR="001E262D" w:rsidRPr="001E262D">
        <w:rPr>
          <w:rStyle w:val="HTMLCode"/>
          <w:rFonts w:asciiTheme="minorHAnsi" w:eastAsiaTheme="minorHAnsi" w:hAnsiTheme="minorHAnsi" w:cstheme="minorHAnsi"/>
          <w:sz w:val="22"/>
          <w:szCs w:val="22"/>
          <w:lang w:val="en-GB"/>
        </w:rPr>
        <w:t>3</w:t>
      </w:r>
      <w:r>
        <w:rPr>
          <w:rStyle w:val="HTMLCode"/>
          <w:rFonts w:asciiTheme="minorHAnsi" w:eastAsiaTheme="minorHAnsi" w:hAnsiTheme="minorHAnsi" w:cstheme="minorHAnsi"/>
          <w:sz w:val="22"/>
          <w:szCs w:val="22"/>
          <w:lang w:val="en-GB"/>
        </w:rPr>
        <w:t xml:space="preserve">, P </w:t>
      </w:r>
      <w:r w:rsidR="001E262D">
        <w:rPr>
          <w:rStyle w:val="HTMLCode"/>
          <w:rFonts w:asciiTheme="minorHAnsi" w:eastAsiaTheme="minorHAnsi" w:hAnsiTheme="minorHAnsi" w:cstheme="minorHAnsi"/>
          <w:sz w:val="22"/>
          <w:szCs w:val="22"/>
          <w:lang w:val="en-GB"/>
        </w:rPr>
        <w:t>=</w:t>
      </w:r>
      <w:r>
        <w:rPr>
          <w:rStyle w:val="HTMLCode"/>
          <w:rFonts w:asciiTheme="minorHAnsi" w:eastAsiaTheme="minorHAnsi" w:hAnsiTheme="minorHAnsi" w:cstheme="minorHAnsi"/>
          <w:sz w:val="22"/>
          <w:szCs w:val="22"/>
          <w:lang w:val="en-GB"/>
        </w:rPr>
        <w:t xml:space="preserve"> 0.001), al</w:t>
      </w:r>
      <w:r w:rsidRPr="001E262D">
        <w:rPr>
          <w:rStyle w:val="HTMLCode"/>
          <w:rFonts w:asciiTheme="minorHAnsi" w:eastAsiaTheme="minorHAnsi" w:hAnsiTheme="minorHAnsi" w:cstheme="minorHAnsi"/>
          <w:sz w:val="22"/>
          <w:szCs w:val="22"/>
          <w:lang w:val="en-GB"/>
        </w:rPr>
        <w:t>though the differences were more apparent for the latter (Fig</w:t>
      </w:r>
      <w:r w:rsidR="00B103CB" w:rsidRPr="001E262D">
        <w:rPr>
          <w:rStyle w:val="HTMLCode"/>
          <w:rFonts w:asciiTheme="minorHAnsi" w:eastAsiaTheme="minorHAnsi" w:hAnsiTheme="minorHAnsi" w:cstheme="minorHAnsi"/>
          <w:sz w:val="22"/>
          <w:szCs w:val="22"/>
          <w:lang w:val="en-GB"/>
        </w:rPr>
        <w:t>.</w:t>
      </w:r>
      <w:r w:rsidRPr="001E262D">
        <w:rPr>
          <w:rStyle w:val="HTMLCode"/>
          <w:rFonts w:asciiTheme="minorHAnsi" w:eastAsiaTheme="minorHAnsi" w:hAnsiTheme="minorHAnsi" w:cstheme="minorHAnsi"/>
          <w:sz w:val="22"/>
          <w:szCs w:val="22"/>
          <w:lang w:val="en-GB"/>
        </w:rPr>
        <w:t xml:space="preserve"> S4). Although sex of birds was not significant for any data set (ST: F = </w:t>
      </w:r>
      <w:r w:rsidR="001E262D" w:rsidRPr="001E262D">
        <w:rPr>
          <w:rStyle w:val="HTMLCode"/>
          <w:rFonts w:asciiTheme="minorHAnsi" w:eastAsiaTheme="minorHAnsi" w:hAnsiTheme="minorHAnsi" w:cstheme="minorHAnsi"/>
          <w:sz w:val="22"/>
          <w:szCs w:val="22"/>
          <w:lang w:val="en-GB"/>
        </w:rPr>
        <w:t>1.35</w:t>
      </w:r>
      <w:r w:rsidRPr="001E262D">
        <w:rPr>
          <w:rStyle w:val="HTMLCode"/>
          <w:rFonts w:asciiTheme="minorHAnsi" w:eastAsiaTheme="minorHAnsi" w:hAnsiTheme="minorHAnsi" w:cstheme="minorHAnsi"/>
          <w:sz w:val="22"/>
          <w:szCs w:val="22"/>
          <w:lang w:val="en-GB"/>
        </w:rPr>
        <w:t xml:space="preserve">, </w:t>
      </w:r>
      <w:proofErr w:type="spellStart"/>
      <w:r w:rsidRPr="001E262D">
        <w:rPr>
          <w:rStyle w:val="HTMLCode"/>
          <w:rFonts w:asciiTheme="minorHAnsi" w:eastAsiaTheme="minorHAnsi" w:hAnsiTheme="minorHAnsi" w:cstheme="minorHAnsi"/>
          <w:sz w:val="22"/>
          <w:szCs w:val="22"/>
          <w:lang w:val="en-GB"/>
        </w:rPr>
        <w:t>df</w:t>
      </w:r>
      <w:proofErr w:type="spellEnd"/>
      <w:r w:rsidRPr="001E262D">
        <w:rPr>
          <w:rStyle w:val="HTMLCode"/>
          <w:rFonts w:asciiTheme="minorHAnsi" w:eastAsiaTheme="minorHAnsi" w:hAnsiTheme="minorHAnsi" w:cstheme="minorHAnsi"/>
          <w:sz w:val="22"/>
          <w:szCs w:val="22"/>
          <w:lang w:val="en-GB"/>
        </w:rPr>
        <w:t xml:space="preserve"> = 1 P = </w:t>
      </w:r>
      <w:r w:rsidR="001E262D" w:rsidRPr="001E262D">
        <w:rPr>
          <w:rStyle w:val="HTMLCode"/>
          <w:rFonts w:asciiTheme="minorHAnsi" w:eastAsiaTheme="minorHAnsi" w:hAnsiTheme="minorHAnsi" w:cstheme="minorHAnsi"/>
          <w:sz w:val="22"/>
          <w:szCs w:val="22"/>
          <w:lang w:val="en-GB"/>
        </w:rPr>
        <w:t>0.25</w:t>
      </w:r>
      <w:r w:rsidRPr="001E262D">
        <w:rPr>
          <w:rStyle w:val="HTMLCode"/>
          <w:rFonts w:asciiTheme="minorHAnsi" w:eastAsiaTheme="minorHAnsi" w:hAnsiTheme="minorHAnsi" w:cstheme="minorHAnsi"/>
          <w:sz w:val="22"/>
          <w:szCs w:val="22"/>
          <w:lang w:val="en-GB"/>
        </w:rPr>
        <w:t xml:space="preserve">; LT: F = </w:t>
      </w:r>
      <w:r w:rsidR="001E262D" w:rsidRPr="001E262D">
        <w:rPr>
          <w:rStyle w:val="HTMLCode"/>
          <w:rFonts w:asciiTheme="minorHAnsi" w:eastAsiaTheme="minorHAnsi" w:hAnsiTheme="minorHAnsi" w:cstheme="minorHAnsi"/>
          <w:sz w:val="22"/>
          <w:szCs w:val="22"/>
          <w:lang w:val="en-GB"/>
        </w:rPr>
        <w:t>2.56</w:t>
      </w:r>
      <w:r w:rsidRPr="001E262D">
        <w:rPr>
          <w:rStyle w:val="HTMLCode"/>
          <w:rFonts w:asciiTheme="minorHAnsi" w:eastAsiaTheme="minorHAnsi" w:hAnsiTheme="minorHAnsi" w:cstheme="minorHAnsi"/>
          <w:sz w:val="22"/>
          <w:szCs w:val="22"/>
          <w:lang w:val="en-GB"/>
        </w:rPr>
        <w:t xml:space="preserve">, </w:t>
      </w:r>
      <w:proofErr w:type="spellStart"/>
      <w:r w:rsidRPr="001E262D">
        <w:rPr>
          <w:rStyle w:val="HTMLCode"/>
          <w:rFonts w:asciiTheme="minorHAnsi" w:eastAsiaTheme="minorHAnsi" w:hAnsiTheme="minorHAnsi" w:cstheme="minorHAnsi"/>
          <w:sz w:val="22"/>
          <w:szCs w:val="22"/>
          <w:lang w:val="en-GB"/>
        </w:rPr>
        <w:t>df</w:t>
      </w:r>
      <w:proofErr w:type="spellEnd"/>
      <w:r w:rsidRPr="001E262D">
        <w:rPr>
          <w:rStyle w:val="HTMLCode"/>
          <w:rFonts w:asciiTheme="minorHAnsi" w:eastAsiaTheme="minorHAnsi" w:hAnsiTheme="minorHAnsi" w:cstheme="minorHAnsi"/>
          <w:sz w:val="22"/>
          <w:szCs w:val="22"/>
          <w:lang w:val="en-GB"/>
        </w:rPr>
        <w:t xml:space="preserve"> = 1, P = </w:t>
      </w:r>
      <w:r w:rsidR="001E262D" w:rsidRPr="001E262D">
        <w:rPr>
          <w:rStyle w:val="HTMLCode"/>
          <w:rFonts w:asciiTheme="minorHAnsi" w:eastAsiaTheme="minorHAnsi" w:hAnsiTheme="minorHAnsi" w:cstheme="minorHAnsi"/>
          <w:sz w:val="22"/>
          <w:szCs w:val="22"/>
          <w:lang w:val="en-GB"/>
        </w:rPr>
        <w:t>0.11</w:t>
      </w:r>
      <w:r w:rsidRPr="001E262D">
        <w:rPr>
          <w:rStyle w:val="HTMLCode"/>
          <w:rFonts w:asciiTheme="minorHAnsi" w:eastAsiaTheme="minorHAnsi" w:hAnsiTheme="minorHAnsi" w:cstheme="minorHAnsi"/>
          <w:sz w:val="22"/>
          <w:szCs w:val="22"/>
          <w:lang w:val="en-GB"/>
        </w:rPr>
        <w:t xml:space="preserve">), for ST sex interaction with </w:t>
      </w:r>
      <w:r w:rsidR="002877AE">
        <w:rPr>
          <w:rStyle w:val="HTMLCode"/>
          <w:rFonts w:asciiTheme="minorHAnsi" w:eastAsiaTheme="minorHAnsi" w:hAnsiTheme="minorHAnsi" w:cstheme="minorHAnsi"/>
          <w:sz w:val="22"/>
          <w:szCs w:val="22"/>
          <w:lang w:val="en-GB"/>
        </w:rPr>
        <w:t>year</w:t>
      </w:r>
      <w:r w:rsidRPr="001E262D">
        <w:rPr>
          <w:rStyle w:val="HTMLCode"/>
          <w:rFonts w:asciiTheme="minorHAnsi" w:eastAsiaTheme="minorHAnsi" w:hAnsiTheme="minorHAnsi" w:cstheme="minorHAnsi"/>
          <w:sz w:val="22"/>
          <w:szCs w:val="22"/>
          <w:lang w:val="en-GB"/>
        </w:rPr>
        <w:t xml:space="preserve"> was significant (F = </w:t>
      </w:r>
      <w:r w:rsidR="001E262D" w:rsidRPr="001E262D">
        <w:rPr>
          <w:rStyle w:val="HTMLCode"/>
          <w:rFonts w:asciiTheme="minorHAnsi" w:eastAsiaTheme="minorHAnsi" w:hAnsiTheme="minorHAnsi" w:cstheme="minorHAnsi"/>
          <w:sz w:val="22"/>
          <w:szCs w:val="22"/>
          <w:lang w:val="en-GB"/>
        </w:rPr>
        <w:t xml:space="preserve">6.13, </w:t>
      </w:r>
      <w:proofErr w:type="spellStart"/>
      <w:r w:rsidR="001E262D" w:rsidRPr="001E262D">
        <w:rPr>
          <w:rStyle w:val="HTMLCode"/>
          <w:rFonts w:asciiTheme="minorHAnsi" w:eastAsiaTheme="minorHAnsi" w:hAnsiTheme="minorHAnsi" w:cstheme="minorHAnsi"/>
          <w:sz w:val="22"/>
          <w:szCs w:val="22"/>
          <w:lang w:val="en-GB"/>
        </w:rPr>
        <w:t>df</w:t>
      </w:r>
      <w:proofErr w:type="spellEnd"/>
      <w:r w:rsidR="001E262D" w:rsidRPr="001E262D">
        <w:rPr>
          <w:rStyle w:val="HTMLCode"/>
          <w:rFonts w:asciiTheme="minorHAnsi" w:eastAsiaTheme="minorHAnsi" w:hAnsiTheme="minorHAnsi" w:cstheme="minorHAnsi"/>
          <w:sz w:val="22"/>
          <w:szCs w:val="22"/>
          <w:lang w:val="en-GB"/>
        </w:rPr>
        <w:t xml:space="preserve"> = 3, P&lt; 0.001</w:t>
      </w:r>
      <w:r w:rsidRPr="001E262D">
        <w:rPr>
          <w:rStyle w:val="HTMLCode"/>
          <w:rFonts w:asciiTheme="minorHAnsi" w:eastAsiaTheme="minorHAnsi" w:hAnsiTheme="minorHAnsi" w:cstheme="minorHAnsi"/>
          <w:sz w:val="22"/>
          <w:szCs w:val="22"/>
          <w:lang w:val="en-GB"/>
        </w:rPr>
        <w:t xml:space="preserve">, but not for LT set: F = </w:t>
      </w:r>
      <w:r w:rsidR="001E262D" w:rsidRPr="001E262D">
        <w:rPr>
          <w:rStyle w:val="HTMLCode"/>
          <w:rFonts w:asciiTheme="minorHAnsi" w:eastAsiaTheme="minorHAnsi" w:hAnsiTheme="minorHAnsi" w:cstheme="minorHAnsi"/>
          <w:sz w:val="22"/>
          <w:szCs w:val="22"/>
          <w:lang w:val="en-GB"/>
        </w:rPr>
        <w:t>0.76</w:t>
      </w:r>
      <w:r w:rsidRPr="001E262D">
        <w:rPr>
          <w:rStyle w:val="HTMLCode"/>
          <w:rFonts w:asciiTheme="minorHAnsi" w:eastAsiaTheme="minorHAnsi" w:hAnsiTheme="minorHAnsi" w:cstheme="minorHAnsi"/>
          <w:sz w:val="22"/>
          <w:szCs w:val="22"/>
          <w:lang w:val="en-GB"/>
        </w:rPr>
        <w:t xml:space="preserve">, </w:t>
      </w:r>
      <w:proofErr w:type="spellStart"/>
      <w:r w:rsidRPr="001E262D">
        <w:rPr>
          <w:rStyle w:val="HTMLCode"/>
          <w:rFonts w:asciiTheme="minorHAnsi" w:eastAsiaTheme="minorHAnsi" w:hAnsiTheme="minorHAnsi" w:cstheme="minorHAnsi"/>
          <w:sz w:val="22"/>
          <w:szCs w:val="22"/>
          <w:lang w:val="en-GB"/>
        </w:rPr>
        <w:t>df</w:t>
      </w:r>
      <w:proofErr w:type="spellEnd"/>
      <w:r w:rsidRPr="001E262D">
        <w:rPr>
          <w:rStyle w:val="HTMLCode"/>
          <w:rFonts w:asciiTheme="minorHAnsi" w:eastAsiaTheme="minorHAnsi" w:hAnsiTheme="minorHAnsi" w:cstheme="minorHAnsi"/>
          <w:sz w:val="22"/>
          <w:szCs w:val="22"/>
          <w:lang w:val="en-GB"/>
        </w:rPr>
        <w:t xml:space="preserve"> = 3, P = </w:t>
      </w:r>
      <w:r w:rsidR="001E262D" w:rsidRPr="001E262D">
        <w:rPr>
          <w:rStyle w:val="HTMLCode"/>
          <w:rFonts w:asciiTheme="minorHAnsi" w:eastAsiaTheme="minorHAnsi" w:hAnsiTheme="minorHAnsi" w:cstheme="minorHAnsi"/>
          <w:sz w:val="22"/>
          <w:szCs w:val="22"/>
          <w:lang w:val="en-GB"/>
        </w:rPr>
        <w:t>0.52</w:t>
      </w:r>
      <w:r w:rsidRPr="001E262D">
        <w:rPr>
          <w:rStyle w:val="HTMLCode"/>
          <w:rFonts w:asciiTheme="minorHAnsi" w:eastAsiaTheme="minorHAnsi" w:hAnsiTheme="minorHAnsi" w:cstheme="minorHAnsi"/>
          <w:sz w:val="22"/>
          <w:szCs w:val="22"/>
          <w:lang w:val="en-GB"/>
        </w:rPr>
        <w:t>). That indicates</w:t>
      </w:r>
      <w:r>
        <w:rPr>
          <w:rStyle w:val="HTMLCode"/>
          <w:rFonts w:asciiTheme="minorHAnsi" w:eastAsiaTheme="minorHAnsi" w:hAnsiTheme="minorHAnsi" w:cstheme="minorHAnsi"/>
          <w:sz w:val="22"/>
          <w:szCs w:val="22"/>
          <w:lang w:val="en-GB"/>
        </w:rPr>
        <w:t xml:space="preserve"> on females performing slightly longer STs in some </w:t>
      </w:r>
      <w:r w:rsidR="002877AE">
        <w:rPr>
          <w:rStyle w:val="HTMLCode"/>
          <w:rFonts w:asciiTheme="minorHAnsi" w:eastAsiaTheme="minorHAnsi" w:hAnsiTheme="minorHAnsi" w:cstheme="minorHAnsi"/>
          <w:sz w:val="22"/>
          <w:szCs w:val="22"/>
          <w:lang w:val="en-GB"/>
        </w:rPr>
        <w:t>year</w:t>
      </w:r>
      <w:r>
        <w:rPr>
          <w:rStyle w:val="HTMLCode"/>
          <w:rFonts w:asciiTheme="minorHAnsi" w:eastAsiaTheme="minorHAnsi" w:hAnsiTheme="minorHAnsi" w:cstheme="minorHAnsi"/>
          <w:sz w:val="22"/>
          <w:szCs w:val="22"/>
          <w:lang w:val="en-GB"/>
        </w:rPr>
        <w:t>s than males (Fig. S</w:t>
      </w:r>
      <w:r w:rsidR="000937AA">
        <w:rPr>
          <w:rStyle w:val="HTMLCode"/>
          <w:rFonts w:asciiTheme="minorHAnsi" w:eastAsiaTheme="minorHAnsi" w:hAnsiTheme="minorHAnsi" w:cstheme="minorHAnsi"/>
          <w:sz w:val="22"/>
          <w:szCs w:val="22"/>
          <w:lang w:val="en-GB"/>
        </w:rPr>
        <w:t>5</w:t>
      </w:r>
      <w:r>
        <w:rPr>
          <w:rStyle w:val="HTMLCode"/>
          <w:rFonts w:asciiTheme="minorHAnsi" w:eastAsiaTheme="minorHAnsi" w:hAnsiTheme="minorHAnsi" w:cstheme="minorHAnsi"/>
          <w:sz w:val="22"/>
          <w:szCs w:val="22"/>
          <w:lang w:val="en-GB"/>
        </w:rPr>
        <w:t>)</w:t>
      </w:r>
      <w:r w:rsidR="00B103CB">
        <w:rPr>
          <w:rStyle w:val="HTMLCode"/>
          <w:rFonts w:asciiTheme="minorHAnsi" w:eastAsiaTheme="minorHAnsi" w:hAnsiTheme="minorHAnsi" w:cstheme="minorHAnsi"/>
          <w:sz w:val="22"/>
          <w:szCs w:val="22"/>
          <w:lang w:val="en-GB"/>
        </w:rPr>
        <w:t>.</w:t>
      </w:r>
    </w:p>
    <w:p w14:paraId="5A8B8BF4" w14:textId="77777777" w:rsidR="00B103CB" w:rsidRPr="002E5E25" w:rsidRDefault="00B103CB" w:rsidP="00284DD9">
      <w:pPr>
        <w:jc w:val="both"/>
        <w:rPr>
          <w:rFonts w:cstheme="minorHAnsi"/>
          <w:lang w:val="en-GB"/>
        </w:rPr>
      </w:pPr>
    </w:p>
    <w:p w14:paraId="60B89AE4" w14:textId="2511D0B1" w:rsidR="002E4E02" w:rsidRPr="00284DD9" w:rsidRDefault="00B103CB">
      <w:pPr>
        <w:rPr>
          <w:b/>
          <w:lang w:val="en-GB"/>
        </w:rPr>
      </w:pPr>
      <w:r>
        <w:rPr>
          <w:noProof/>
          <w:lang w:val="en-US"/>
        </w:rPr>
        <w:lastRenderedPageBreak/>
        <w:drawing>
          <wp:inline distT="0" distB="0" distL="0" distR="0" wp14:anchorId="377FEC65" wp14:editId="147BC7A4">
            <wp:extent cx="5760720" cy="3315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315335"/>
                    </a:xfrm>
                    <a:prstGeom prst="rect">
                      <a:avLst/>
                    </a:prstGeom>
                  </pic:spPr>
                </pic:pic>
              </a:graphicData>
            </a:graphic>
          </wp:inline>
        </w:drawing>
      </w:r>
    </w:p>
    <w:p w14:paraId="1BA5D40C" w14:textId="77777777" w:rsidR="002E4E02" w:rsidRDefault="002E4E02">
      <w:pPr>
        <w:rPr>
          <w:b/>
          <w:lang w:val="en-US"/>
        </w:rPr>
      </w:pPr>
    </w:p>
    <w:p w14:paraId="6CC6CA5C" w14:textId="48113BEB" w:rsidR="00B103CB" w:rsidRDefault="00B103CB" w:rsidP="00B103CB">
      <w:pPr>
        <w:jc w:val="both"/>
        <w:rPr>
          <w:lang w:val="en-GB"/>
        </w:rPr>
      </w:pPr>
      <w:r w:rsidRPr="00F37F9C">
        <w:rPr>
          <w:b/>
          <w:lang w:val="en-GB"/>
        </w:rPr>
        <w:t xml:space="preserve">Figure </w:t>
      </w:r>
      <w:r>
        <w:rPr>
          <w:b/>
          <w:lang w:val="en-GB"/>
        </w:rPr>
        <w:t>S</w:t>
      </w:r>
      <w:r w:rsidR="000937AA">
        <w:rPr>
          <w:b/>
          <w:lang w:val="en-GB"/>
        </w:rPr>
        <w:t>5</w:t>
      </w:r>
      <w:r w:rsidRPr="00F37F9C">
        <w:rPr>
          <w:b/>
          <w:lang w:val="en-GB"/>
        </w:rPr>
        <w:t xml:space="preserve">. </w:t>
      </w:r>
      <w:r w:rsidRPr="00F37F9C">
        <w:rPr>
          <w:lang w:val="en-GB"/>
        </w:rPr>
        <w:t xml:space="preserve">Duration </w:t>
      </w:r>
      <w:r>
        <w:rPr>
          <w:lang w:val="en-GB"/>
        </w:rPr>
        <w:t xml:space="preserve">(median – vertical line, 25-75% interquartile range – box, min-max vales excluding outliers – whiskers, and outliers – dots) </w:t>
      </w:r>
      <w:r w:rsidRPr="00F37F9C">
        <w:rPr>
          <w:lang w:val="en-GB"/>
        </w:rPr>
        <w:t>of</w:t>
      </w:r>
      <w:r>
        <w:rPr>
          <w:b/>
          <w:lang w:val="en-GB"/>
        </w:rPr>
        <w:t xml:space="preserve"> </w:t>
      </w:r>
      <w:r w:rsidRPr="00F37F9C">
        <w:rPr>
          <w:lang w:val="en-GB"/>
        </w:rPr>
        <w:t>short and long</w:t>
      </w:r>
      <w:r>
        <w:rPr>
          <w:b/>
          <w:lang w:val="en-GB"/>
        </w:rPr>
        <w:t xml:space="preserve"> </w:t>
      </w:r>
      <w:r w:rsidRPr="00F37F9C">
        <w:rPr>
          <w:lang w:val="en-GB"/>
        </w:rPr>
        <w:t>foraging trips</w:t>
      </w:r>
      <w:r>
        <w:rPr>
          <w:lang w:val="en-GB"/>
        </w:rPr>
        <w:t xml:space="preserve"> in respect to study </w:t>
      </w:r>
      <w:r w:rsidR="002877AE">
        <w:rPr>
          <w:lang w:val="en-GB"/>
        </w:rPr>
        <w:t>year</w:t>
      </w:r>
      <w:r>
        <w:rPr>
          <w:lang w:val="en-GB"/>
        </w:rPr>
        <w:t xml:space="preserve"> and sex. </w:t>
      </w:r>
    </w:p>
    <w:p w14:paraId="754D7897" w14:textId="5F34C152" w:rsidR="00B103CB" w:rsidRDefault="00B103CB" w:rsidP="00B103CB">
      <w:pPr>
        <w:jc w:val="both"/>
        <w:rPr>
          <w:lang w:val="en-GB"/>
        </w:rPr>
      </w:pPr>
    </w:p>
    <w:p w14:paraId="05E9492C" w14:textId="24FC29CF" w:rsidR="00B103CB" w:rsidRDefault="00B103CB" w:rsidP="00B103CB">
      <w:pPr>
        <w:jc w:val="both"/>
        <w:rPr>
          <w:lang w:val="en-GB"/>
        </w:rPr>
      </w:pPr>
      <w:r w:rsidRPr="00A27DB9">
        <w:rPr>
          <w:b/>
          <w:lang w:val="en-GB"/>
        </w:rPr>
        <w:t>Results of the study</w:t>
      </w:r>
      <w:r w:rsidR="000B4488" w:rsidRPr="00A27DB9">
        <w:rPr>
          <w:b/>
          <w:lang w:val="en-GB"/>
        </w:rPr>
        <w:t xml:space="preserve"> (alternative approach to </w:t>
      </w:r>
      <w:r w:rsidRPr="00A27DB9">
        <w:rPr>
          <w:b/>
          <w:lang w:val="en-GB"/>
        </w:rPr>
        <w:t>ST/LT division</w:t>
      </w:r>
      <w:r w:rsidR="000B4488" w:rsidRPr="00A27DB9">
        <w:rPr>
          <w:b/>
          <w:lang w:val="en-GB"/>
        </w:rPr>
        <w:t>)</w:t>
      </w:r>
    </w:p>
    <w:p w14:paraId="589B7388" w14:textId="5F157CEB" w:rsidR="00B103CB" w:rsidRDefault="00B103CB" w:rsidP="007E3FAC">
      <w:pPr>
        <w:spacing w:line="240" w:lineRule="auto"/>
        <w:jc w:val="both"/>
        <w:rPr>
          <w:lang w:val="en-GB"/>
        </w:rPr>
      </w:pPr>
      <w:r>
        <w:rPr>
          <w:lang w:val="en-GB"/>
        </w:rPr>
        <w:t xml:space="preserve">Due to inter-annual variability </w:t>
      </w:r>
      <w:r w:rsidR="00DF4331">
        <w:rPr>
          <w:lang w:val="en-GB"/>
        </w:rPr>
        <w:t>in foraging conditions (Fig S</w:t>
      </w:r>
      <w:r w:rsidR="000937AA">
        <w:rPr>
          <w:lang w:val="en-GB"/>
        </w:rPr>
        <w:t>2</w:t>
      </w:r>
      <w:r w:rsidR="00DF4331">
        <w:rPr>
          <w:lang w:val="en-GB"/>
        </w:rPr>
        <w:t>)</w:t>
      </w:r>
      <w:r>
        <w:rPr>
          <w:lang w:val="en-GB"/>
        </w:rPr>
        <w:t xml:space="preserve"> and</w:t>
      </w:r>
      <w:r w:rsidR="00DF4331">
        <w:rPr>
          <w:lang w:val="en-GB"/>
        </w:rPr>
        <w:t>,</w:t>
      </w:r>
      <w:r>
        <w:rPr>
          <w:lang w:val="en-GB"/>
        </w:rPr>
        <w:t xml:space="preserve"> as consequence</w:t>
      </w:r>
      <w:r w:rsidR="00DF4331">
        <w:rPr>
          <w:lang w:val="en-GB"/>
        </w:rPr>
        <w:t>,</w:t>
      </w:r>
      <w:r>
        <w:rPr>
          <w:lang w:val="en-GB"/>
        </w:rPr>
        <w:t xml:space="preserve"> variation in little auk foraging </w:t>
      </w:r>
      <w:r w:rsidRPr="00D87EE2">
        <w:rPr>
          <w:lang w:val="en-GB"/>
        </w:rPr>
        <w:t>behaviour (Fig. S</w:t>
      </w:r>
      <w:r w:rsidR="000937AA">
        <w:rPr>
          <w:lang w:val="en-GB"/>
        </w:rPr>
        <w:t>4</w:t>
      </w:r>
      <w:r w:rsidRPr="00D87EE2">
        <w:rPr>
          <w:lang w:val="en-GB"/>
        </w:rPr>
        <w:t>, and S</w:t>
      </w:r>
      <w:r w:rsidR="000937AA">
        <w:rPr>
          <w:lang w:val="en-GB"/>
        </w:rPr>
        <w:t>5</w:t>
      </w:r>
      <w:r w:rsidRPr="00D87EE2">
        <w:rPr>
          <w:lang w:val="en-GB"/>
        </w:rPr>
        <w:t xml:space="preserve">), we calculated the cut-off value separately for each </w:t>
      </w:r>
      <w:r w:rsidR="00F41149">
        <w:rPr>
          <w:lang w:val="en-GB"/>
        </w:rPr>
        <w:t xml:space="preserve">year </w:t>
      </w:r>
      <w:r w:rsidR="00DF4331">
        <w:rPr>
          <w:lang w:val="en-GB"/>
        </w:rPr>
        <w:t xml:space="preserve">and presented in the main text. Nevertheless, the </w:t>
      </w:r>
      <w:r w:rsidR="007E3FAC" w:rsidRPr="00D87EE2">
        <w:rPr>
          <w:lang w:val="en-GB"/>
        </w:rPr>
        <w:t xml:space="preserve">cut off values were quite similar </w:t>
      </w:r>
      <w:r w:rsidRPr="00D87EE2">
        <w:rPr>
          <w:lang w:val="en-GB"/>
        </w:rPr>
        <w:t xml:space="preserve">for all the </w:t>
      </w:r>
      <w:r w:rsidR="00F41149">
        <w:rPr>
          <w:lang w:val="en-GB"/>
        </w:rPr>
        <w:t xml:space="preserve">years </w:t>
      </w:r>
      <w:r w:rsidRPr="00D87EE2">
        <w:rPr>
          <w:lang w:val="en-GB"/>
        </w:rPr>
        <w:t>(2017: 7.0 h, 2018: 6.7 h, 2019: 8.8 h, 2020: 8.5 h, Fig. S</w:t>
      </w:r>
      <w:r w:rsidR="000937AA">
        <w:rPr>
          <w:lang w:val="en-GB"/>
        </w:rPr>
        <w:t>4</w:t>
      </w:r>
      <w:r w:rsidRPr="00D87EE2">
        <w:rPr>
          <w:lang w:val="en-GB"/>
        </w:rPr>
        <w:t>)</w:t>
      </w:r>
      <w:r w:rsidR="00DF4331">
        <w:rPr>
          <w:lang w:val="en-GB"/>
        </w:rPr>
        <w:t xml:space="preserve"> and its </w:t>
      </w:r>
      <w:r w:rsidR="007E3FAC" w:rsidRPr="00D87EE2">
        <w:rPr>
          <w:lang w:val="en-GB"/>
        </w:rPr>
        <w:t xml:space="preserve">value calculated for pooled data </w:t>
      </w:r>
      <w:r w:rsidR="00DF4331">
        <w:rPr>
          <w:lang w:val="en-GB"/>
        </w:rPr>
        <w:t>was equal to 7.0 h</w:t>
      </w:r>
      <w:r w:rsidR="007E3FAC" w:rsidRPr="00D87EE2">
        <w:rPr>
          <w:lang w:val="en-GB"/>
        </w:rPr>
        <w:t xml:space="preserve">. </w:t>
      </w:r>
      <w:r w:rsidR="00DF4331">
        <w:rPr>
          <w:lang w:val="en-GB"/>
        </w:rPr>
        <w:t>S</w:t>
      </w:r>
      <w:r w:rsidR="007E3FAC" w:rsidRPr="00D87EE2">
        <w:rPr>
          <w:lang w:val="en-GB"/>
        </w:rPr>
        <w:t xml:space="preserve">ince the way in which ST/LT are classified </w:t>
      </w:r>
      <w:r w:rsidR="00DF4331">
        <w:rPr>
          <w:lang w:val="en-GB"/>
        </w:rPr>
        <w:t xml:space="preserve">could potentially </w:t>
      </w:r>
      <w:r w:rsidR="007E3FAC" w:rsidRPr="00D87EE2">
        <w:rPr>
          <w:lang w:val="en-GB"/>
        </w:rPr>
        <w:t xml:space="preserve">affect further results, we analysed all data using ST/LT division based on both </w:t>
      </w:r>
      <w:r w:rsidR="00F41149">
        <w:rPr>
          <w:lang w:val="en-GB"/>
        </w:rPr>
        <w:t>year</w:t>
      </w:r>
      <w:r w:rsidR="007E3FAC" w:rsidRPr="00D87EE2">
        <w:rPr>
          <w:lang w:val="en-GB"/>
        </w:rPr>
        <w:t>-specific and common cut-off</w:t>
      </w:r>
      <w:r w:rsidR="00573525">
        <w:rPr>
          <w:lang w:val="en-GB"/>
        </w:rPr>
        <w:t xml:space="preserve"> values</w:t>
      </w:r>
      <w:r w:rsidR="007E3FAC" w:rsidRPr="00D87EE2">
        <w:rPr>
          <w:lang w:val="en-GB"/>
        </w:rPr>
        <w:t xml:space="preserve">. The </w:t>
      </w:r>
      <w:r w:rsidRPr="00D87EE2">
        <w:rPr>
          <w:lang w:val="en-GB"/>
        </w:rPr>
        <w:t xml:space="preserve">results did not </w:t>
      </w:r>
      <w:r w:rsidR="00F963FF" w:rsidRPr="00D87EE2">
        <w:rPr>
          <w:lang w:val="en-GB"/>
        </w:rPr>
        <w:t>differ</w:t>
      </w:r>
      <w:r w:rsidRPr="00D87EE2">
        <w:rPr>
          <w:lang w:val="en-GB"/>
        </w:rPr>
        <w:t xml:space="preserve"> qualitatively</w:t>
      </w:r>
      <w:r w:rsidR="00573525">
        <w:rPr>
          <w:lang w:val="en-GB"/>
        </w:rPr>
        <w:t xml:space="preserve"> (difference in decimal points)</w:t>
      </w:r>
      <w:r w:rsidR="007E3FAC" w:rsidRPr="00D87EE2">
        <w:rPr>
          <w:lang w:val="en-GB"/>
        </w:rPr>
        <w:t>. We present the output based</w:t>
      </w:r>
      <w:r w:rsidR="007E3FAC">
        <w:rPr>
          <w:lang w:val="en-GB"/>
        </w:rPr>
        <w:t xml:space="preserve"> on ST/LT division with </w:t>
      </w:r>
      <w:r w:rsidR="00F41149">
        <w:rPr>
          <w:lang w:val="en-GB"/>
        </w:rPr>
        <w:t>year</w:t>
      </w:r>
      <w:r w:rsidR="007E3FAC">
        <w:rPr>
          <w:lang w:val="en-GB"/>
        </w:rPr>
        <w:t>-specific cut-offs in the main text, and here the alternative.</w:t>
      </w:r>
    </w:p>
    <w:p w14:paraId="4C99E53E" w14:textId="77777777" w:rsidR="000D5EFB" w:rsidRDefault="000D5EFB">
      <w:pPr>
        <w:rPr>
          <w:lang w:val="en-GB"/>
        </w:rPr>
      </w:pPr>
      <w:r>
        <w:rPr>
          <w:lang w:val="en-GB"/>
        </w:rPr>
        <w:br w:type="page"/>
      </w:r>
    </w:p>
    <w:p w14:paraId="2EAD215E" w14:textId="08DAE7C7" w:rsidR="007E3FAC" w:rsidRDefault="00573525" w:rsidP="00D87EE2">
      <w:pPr>
        <w:spacing w:line="240" w:lineRule="auto"/>
        <w:jc w:val="both"/>
        <w:rPr>
          <w:lang w:val="en-GB"/>
        </w:rPr>
      </w:pPr>
      <w:r>
        <w:rPr>
          <w:lang w:val="en-GB"/>
        </w:rPr>
        <w:lastRenderedPageBreak/>
        <w:t>Duration of p</w:t>
      </w:r>
      <w:r w:rsidR="007E3FAC" w:rsidRPr="00D87EE2">
        <w:rPr>
          <w:lang w:val="en-GB"/>
        </w:rPr>
        <w:t xml:space="preserve">ost-foraging in-colony behaviours were quite repeatable for individuals, except for latency after long trips, where 95% confidence intervals overlapped with zero (Fig. </w:t>
      </w:r>
      <w:r w:rsidR="00D87EE2" w:rsidRPr="00D87EE2">
        <w:rPr>
          <w:lang w:val="en-GB"/>
        </w:rPr>
        <w:t>S</w:t>
      </w:r>
      <w:r w:rsidR="000937AA">
        <w:rPr>
          <w:lang w:val="en-GB"/>
        </w:rPr>
        <w:t>6</w:t>
      </w:r>
      <w:r w:rsidR="007E3FAC" w:rsidRPr="00D87EE2">
        <w:rPr>
          <w:lang w:val="en-GB"/>
        </w:rPr>
        <w:t xml:space="preserve">). </w:t>
      </w:r>
    </w:p>
    <w:p w14:paraId="026E773C" w14:textId="77777777" w:rsidR="000D5EFB" w:rsidRPr="00D87EE2" w:rsidRDefault="000D5EFB" w:rsidP="00D87EE2">
      <w:pPr>
        <w:spacing w:line="240" w:lineRule="auto"/>
        <w:jc w:val="both"/>
        <w:rPr>
          <w:lang w:val="en-GB"/>
        </w:rPr>
      </w:pPr>
    </w:p>
    <w:p w14:paraId="670C28F9" w14:textId="532BA5D5" w:rsidR="00D87EE2" w:rsidRPr="00030CC3" w:rsidRDefault="00030CC3" w:rsidP="007E3FAC">
      <w:pPr>
        <w:spacing w:line="480" w:lineRule="auto"/>
        <w:jc w:val="both"/>
        <w:rPr>
          <w:highlight w:val="yellow"/>
          <w:lang w:val="en-GB"/>
        </w:rPr>
      </w:pPr>
      <w:r>
        <w:rPr>
          <w:noProof/>
          <w:lang w:val="en-US"/>
        </w:rPr>
        <w:drawing>
          <wp:inline distT="0" distB="0" distL="0" distR="0" wp14:anchorId="4C85BC70" wp14:editId="2EF46E1F">
            <wp:extent cx="5760720" cy="287655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876550"/>
                    </a:xfrm>
                    <a:prstGeom prst="rect">
                      <a:avLst/>
                    </a:prstGeom>
                  </pic:spPr>
                </pic:pic>
              </a:graphicData>
            </a:graphic>
          </wp:inline>
        </w:drawing>
      </w:r>
    </w:p>
    <w:p w14:paraId="3F8ED946" w14:textId="2628160B" w:rsidR="00D87EE2" w:rsidRDefault="00D87EE2" w:rsidP="00D87EE2">
      <w:pPr>
        <w:spacing w:line="240" w:lineRule="auto"/>
        <w:jc w:val="both"/>
        <w:rPr>
          <w:lang w:val="en-GB"/>
        </w:rPr>
      </w:pPr>
      <w:r w:rsidRPr="00A102DA">
        <w:rPr>
          <w:b/>
          <w:lang w:val="en-GB"/>
        </w:rPr>
        <w:t>Figure</w:t>
      </w:r>
      <w:r>
        <w:rPr>
          <w:b/>
          <w:lang w:val="en-GB"/>
        </w:rPr>
        <w:t xml:space="preserve"> S</w:t>
      </w:r>
      <w:r w:rsidR="000937AA">
        <w:rPr>
          <w:b/>
          <w:lang w:val="en-GB"/>
        </w:rPr>
        <w:t>6</w:t>
      </w:r>
      <w:r w:rsidRPr="00A102DA">
        <w:rPr>
          <w:b/>
          <w:lang w:val="en-GB"/>
        </w:rPr>
        <w:t>.</w:t>
      </w:r>
      <w:r>
        <w:rPr>
          <w:lang w:val="en-GB"/>
        </w:rPr>
        <w:t xml:space="preserve"> Size effect of repeatability analysis </w:t>
      </w:r>
      <w:r w:rsidR="00030CC3">
        <w:rPr>
          <w:lang w:val="en-GB"/>
        </w:rPr>
        <w:t xml:space="preserve">adjusted for </w:t>
      </w:r>
      <w:r w:rsidR="00F41149">
        <w:rPr>
          <w:lang w:val="en-GB"/>
        </w:rPr>
        <w:t>year</w:t>
      </w:r>
      <w:r w:rsidR="00030CC3">
        <w:rPr>
          <w:lang w:val="en-GB"/>
        </w:rPr>
        <w:t xml:space="preserve"> and sex </w:t>
      </w:r>
      <w:r>
        <w:rPr>
          <w:lang w:val="en-GB"/>
        </w:rPr>
        <w:t>for the three in-colony activities performed after long and short trips by the little auk parents. Mean repeatability estimates (points) and its 95% confidence interval (CI, whiskers) are presented. CI range not overlapping with 0 (denoted with red vertical line) indicates significant effect at the alpha level of 0.05.</w:t>
      </w:r>
    </w:p>
    <w:p w14:paraId="6610AB2B" w14:textId="77777777" w:rsidR="00D87EE2" w:rsidRDefault="00D87EE2" w:rsidP="007E3FAC">
      <w:pPr>
        <w:spacing w:line="480" w:lineRule="auto"/>
        <w:jc w:val="both"/>
        <w:rPr>
          <w:highlight w:val="yellow"/>
          <w:lang w:val="en-GB"/>
        </w:rPr>
      </w:pPr>
    </w:p>
    <w:p w14:paraId="45844D76" w14:textId="77777777" w:rsidR="000D5EFB" w:rsidRDefault="000D5EFB">
      <w:pPr>
        <w:rPr>
          <w:lang w:val="en-GB"/>
        </w:rPr>
      </w:pPr>
      <w:r>
        <w:rPr>
          <w:lang w:val="en-GB"/>
        </w:rPr>
        <w:br w:type="page"/>
      </w:r>
    </w:p>
    <w:p w14:paraId="77EE47E1" w14:textId="4816E4E1" w:rsidR="00D87EE2" w:rsidRDefault="007E3FAC" w:rsidP="00D87EE2">
      <w:pPr>
        <w:spacing w:line="240" w:lineRule="auto"/>
        <w:jc w:val="both"/>
        <w:rPr>
          <w:lang w:val="en-GB"/>
        </w:rPr>
      </w:pPr>
      <w:r w:rsidRPr="00D87EE2">
        <w:rPr>
          <w:lang w:val="en-GB"/>
        </w:rPr>
        <w:lastRenderedPageBreak/>
        <w:t>Latency to enter the nest differed between LT and ST, and both magnitude and direction of the differen</w:t>
      </w:r>
      <w:r w:rsidR="00D87EE2" w:rsidRPr="00D87EE2">
        <w:rPr>
          <w:lang w:val="en-GB"/>
        </w:rPr>
        <w:t xml:space="preserve">ces were </w:t>
      </w:r>
      <w:r w:rsidR="00F41149">
        <w:rPr>
          <w:lang w:val="en-GB"/>
        </w:rPr>
        <w:t>year</w:t>
      </w:r>
      <w:r w:rsidR="00D87EE2" w:rsidRPr="00D87EE2">
        <w:rPr>
          <w:lang w:val="en-GB"/>
        </w:rPr>
        <w:t xml:space="preserve"> specific (Fig. S</w:t>
      </w:r>
      <w:r w:rsidR="000937AA">
        <w:rPr>
          <w:lang w:val="en-GB"/>
        </w:rPr>
        <w:t>7</w:t>
      </w:r>
      <w:r w:rsidRPr="00D87EE2">
        <w:rPr>
          <w:lang w:val="en-GB"/>
        </w:rPr>
        <w:t xml:space="preserve">, Table </w:t>
      </w:r>
      <w:r w:rsidR="00D87EE2" w:rsidRPr="00D87EE2">
        <w:rPr>
          <w:lang w:val="en-GB"/>
        </w:rPr>
        <w:t>S</w:t>
      </w:r>
      <w:r w:rsidRPr="00D87EE2">
        <w:rPr>
          <w:lang w:val="en-GB"/>
        </w:rPr>
        <w:t xml:space="preserve">1), in two </w:t>
      </w:r>
      <w:r w:rsidR="00F41149">
        <w:rPr>
          <w:lang w:val="en-GB"/>
        </w:rPr>
        <w:t>year</w:t>
      </w:r>
      <w:r w:rsidRPr="00D87EE2">
        <w:rPr>
          <w:lang w:val="en-GB"/>
        </w:rPr>
        <w:t xml:space="preserve">s (2017 and 2018) latency was longer after LT than ST but in the other two </w:t>
      </w:r>
      <w:r w:rsidR="00F41149">
        <w:rPr>
          <w:lang w:val="en-GB"/>
        </w:rPr>
        <w:t>years</w:t>
      </w:r>
      <w:r w:rsidR="00F41149" w:rsidRPr="00D87EE2">
        <w:rPr>
          <w:lang w:val="en-GB"/>
        </w:rPr>
        <w:t xml:space="preserve"> </w:t>
      </w:r>
      <w:r w:rsidRPr="00D87EE2">
        <w:rPr>
          <w:lang w:val="en-GB"/>
        </w:rPr>
        <w:t>(2019 and 2020) t</w:t>
      </w:r>
      <w:r w:rsidR="00D87EE2" w:rsidRPr="00D87EE2">
        <w:rPr>
          <w:lang w:val="en-GB"/>
        </w:rPr>
        <w:t>he opposite was the case (Fig. S</w:t>
      </w:r>
      <w:r w:rsidR="000937AA">
        <w:rPr>
          <w:lang w:val="en-GB"/>
        </w:rPr>
        <w:t>7</w:t>
      </w:r>
      <w:r w:rsidRPr="00D87EE2">
        <w:rPr>
          <w:lang w:val="en-GB"/>
        </w:rPr>
        <w:t xml:space="preserve">). The sex, neither its interaction with trip type nor </w:t>
      </w:r>
      <w:r w:rsidR="00F41149">
        <w:rPr>
          <w:lang w:val="en-GB"/>
        </w:rPr>
        <w:t>year</w:t>
      </w:r>
      <w:r w:rsidRPr="00D87EE2">
        <w:rPr>
          <w:lang w:val="en-GB"/>
        </w:rPr>
        <w:t xml:space="preserve"> were significant in the model (Table </w:t>
      </w:r>
      <w:r w:rsidR="00D87EE2" w:rsidRPr="00D87EE2">
        <w:rPr>
          <w:lang w:val="en-GB"/>
        </w:rPr>
        <w:t>S</w:t>
      </w:r>
      <w:r w:rsidRPr="00D87EE2">
        <w:rPr>
          <w:lang w:val="en-GB"/>
        </w:rPr>
        <w:t xml:space="preserve">1), although overall females tend to take more time to enter the nest than males (Fig. </w:t>
      </w:r>
      <w:r w:rsidR="00D87EE2" w:rsidRPr="00D87EE2">
        <w:rPr>
          <w:lang w:val="en-GB"/>
        </w:rPr>
        <w:t>S</w:t>
      </w:r>
      <w:r w:rsidR="000937AA">
        <w:rPr>
          <w:lang w:val="en-GB"/>
        </w:rPr>
        <w:t>7</w:t>
      </w:r>
      <w:r w:rsidRPr="00D87EE2">
        <w:rPr>
          <w:lang w:val="en-GB"/>
        </w:rPr>
        <w:t>).</w:t>
      </w:r>
    </w:p>
    <w:p w14:paraId="21A70ADE" w14:textId="2058A12B" w:rsidR="00D87EE2" w:rsidRDefault="00D87EE2" w:rsidP="00D87EE2">
      <w:pPr>
        <w:spacing w:line="240" w:lineRule="auto"/>
        <w:jc w:val="both"/>
        <w:rPr>
          <w:lang w:val="en-GB"/>
        </w:rPr>
      </w:pPr>
    </w:p>
    <w:p w14:paraId="032BC325" w14:textId="63B05222" w:rsidR="00D87EE2" w:rsidRDefault="00030CC3" w:rsidP="00D87EE2">
      <w:pPr>
        <w:spacing w:line="240" w:lineRule="auto"/>
        <w:jc w:val="both"/>
        <w:rPr>
          <w:lang w:val="en-GB"/>
        </w:rPr>
      </w:pPr>
      <w:r>
        <w:rPr>
          <w:noProof/>
          <w:lang w:val="en-US"/>
        </w:rPr>
        <w:drawing>
          <wp:inline distT="0" distB="0" distL="0" distR="0" wp14:anchorId="7E4BCC4C" wp14:editId="6ADBF3ED">
            <wp:extent cx="5760720" cy="280924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2809240"/>
                    </a:xfrm>
                    <a:prstGeom prst="rect">
                      <a:avLst/>
                    </a:prstGeom>
                  </pic:spPr>
                </pic:pic>
              </a:graphicData>
            </a:graphic>
          </wp:inline>
        </w:drawing>
      </w:r>
    </w:p>
    <w:p w14:paraId="618B705D" w14:textId="36D9F645" w:rsidR="00D87EE2" w:rsidRDefault="00D87EE2" w:rsidP="00D87EE2">
      <w:pPr>
        <w:spacing w:line="240" w:lineRule="auto"/>
        <w:jc w:val="both"/>
        <w:rPr>
          <w:lang w:val="en-US"/>
        </w:rPr>
      </w:pPr>
      <w:r w:rsidRPr="008D0A2F">
        <w:rPr>
          <w:b/>
          <w:lang w:val="en-GB"/>
        </w:rPr>
        <w:t xml:space="preserve">Figure </w:t>
      </w:r>
      <w:r>
        <w:rPr>
          <w:b/>
          <w:lang w:val="en-GB"/>
        </w:rPr>
        <w:t>S</w:t>
      </w:r>
      <w:r w:rsidR="000937AA">
        <w:rPr>
          <w:b/>
          <w:lang w:val="en-GB"/>
        </w:rPr>
        <w:t>7</w:t>
      </w:r>
      <w:r w:rsidRPr="008D0A2F">
        <w:rPr>
          <w:lang w:val="en-GB"/>
        </w:rPr>
        <w:t xml:space="preserve">. Latency to enter the nest with food after long </w:t>
      </w:r>
      <w:r>
        <w:rPr>
          <w:lang w:val="en-GB"/>
        </w:rPr>
        <w:t xml:space="preserve">(LT) </w:t>
      </w:r>
      <w:r w:rsidRPr="008D0A2F">
        <w:rPr>
          <w:lang w:val="en-GB"/>
        </w:rPr>
        <w:t xml:space="preserve">and short trip </w:t>
      </w:r>
      <w:r>
        <w:rPr>
          <w:lang w:val="en-GB"/>
        </w:rPr>
        <w:t xml:space="preserve">(ST) </w:t>
      </w:r>
      <w:r w:rsidRPr="008D0A2F">
        <w:rPr>
          <w:lang w:val="en-GB"/>
        </w:rPr>
        <w:t xml:space="preserve">in respect to </w:t>
      </w:r>
      <w:proofErr w:type="gramStart"/>
      <w:r w:rsidRPr="008D0A2F">
        <w:rPr>
          <w:lang w:val="en-GB"/>
        </w:rPr>
        <w:t>parents</w:t>
      </w:r>
      <w:proofErr w:type="gramEnd"/>
      <w:r w:rsidRPr="008D0A2F">
        <w:rPr>
          <w:lang w:val="en-GB"/>
        </w:rPr>
        <w:t xml:space="preserve"> sex in </w:t>
      </w:r>
      <w:r>
        <w:rPr>
          <w:lang w:val="en-GB"/>
        </w:rPr>
        <w:t>four</w:t>
      </w:r>
      <w:r w:rsidRPr="008D0A2F">
        <w:rPr>
          <w:lang w:val="en-GB"/>
        </w:rPr>
        <w:t xml:space="preserve"> study </w:t>
      </w:r>
      <w:r>
        <w:rPr>
          <w:lang w:val="en-GB"/>
        </w:rPr>
        <w:t>year</w:t>
      </w:r>
      <w:r w:rsidRPr="008D0A2F">
        <w:rPr>
          <w:lang w:val="en-GB"/>
        </w:rPr>
        <w:t>s.</w:t>
      </w:r>
      <w:r>
        <w:rPr>
          <w:lang w:val="en-GB"/>
        </w:rPr>
        <w:t xml:space="preserve"> Note the scale on the y-axis is specific for the panel (</w:t>
      </w:r>
      <w:r w:rsidR="00F41149">
        <w:rPr>
          <w:lang w:val="en-GB"/>
        </w:rPr>
        <w:t>year</w:t>
      </w:r>
      <w:r>
        <w:rPr>
          <w:lang w:val="en-GB"/>
        </w:rPr>
        <w:t>).</w:t>
      </w:r>
      <w:r w:rsidRPr="002423D9">
        <w:rPr>
          <w:lang w:val="en-US"/>
        </w:rPr>
        <w:t xml:space="preserve"> </w:t>
      </w:r>
      <w:r w:rsidRPr="00BC1036">
        <w:rPr>
          <w:lang w:val="en-US"/>
        </w:rPr>
        <w:t xml:space="preserve">Boxplots show the median (band inside the box), the first (25%) and third (75%) quartile (box), the lowest and the highest values within 1.5 interquartile range (whiskers) and outliers (circles). </w:t>
      </w:r>
    </w:p>
    <w:p w14:paraId="51CBE433" w14:textId="77777777" w:rsidR="00D87EE2" w:rsidRPr="00D87EE2" w:rsidRDefault="00D87EE2" w:rsidP="00D87EE2">
      <w:pPr>
        <w:spacing w:line="240" w:lineRule="auto"/>
        <w:jc w:val="both"/>
        <w:rPr>
          <w:lang w:val="en-US"/>
        </w:rPr>
      </w:pPr>
    </w:p>
    <w:p w14:paraId="7D5E5D67" w14:textId="77777777" w:rsidR="000D5EFB" w:rsidRDefault="000D5EFB">
      <w:pPr>
        <w:rPr>
          <w:lang w:val="en-GB"/>
        </w:rPr>
      </w:pPr>
      <w:r>
        <w:rPr>
          <w:lang w:val="en-GB"/>
        </w:rPr>
        <w:br w:type="page"/>
      </w:r>
    </w:p>
    <w:p w14:paraId="78AD54BB" w14:textId="7F14C520" w:rsidR="000D5EFB" w:rsidRDefault="007E3FAC" w:rsidP="000D5EFB">
      <w:pPr>
        <w:spacing w:line="240" w:lineRule="auto"/>
        <w:jc w:val="both"/>
        <w:rPr>
          <w:lang w:val="en-GB"/>
        </w:rPr>
      </w:pPr>
      <w:r w:rsidRPr="000D5EFB">
        <w:rPr>
          <w:lang w:val="en-GB"/>
        </w:rPr>
        <w:lastRenderedPageBreak/>
        <w:t xml:space="preserve">Nest attendance was similar after completing ST and LT, regardless of </w:t>
      </w:r>
      <w:r w:rsidR="00F41149">
        <w:rPr>
          <w:lang w:val="en-GB"/>
        </w:rPr>
        <w:t xml:space="preserve">year </w:t>
      </w:r>
      <w:r w:rsidRPr="000D5EFB">
        <w:rPr>
          <w:lang w:val="en-GB"/>
        </w:rPr>
        <w:t xml:space="preserve">(Table </w:t>
      </w:r>
      <w:r w:rsidR="000D5EFB" w:rsidRPr="000D5EFB">
        <w:rPr>
          <w:lang w:val="en-GB"/>
        </w:rPr>
        <w:t>S</w:t>
      </w:r>
      <w:r w:rsidRPr="000D5EFB">
        <w:rPr>
          <w:lang w:val="en-GB"/>
        </w:rPr>
        <w:t xml:space="preserve">1). There were some sex- and year- specific responses, as indicated by sex, </w:t>
      </w:r>
      <w:r w:rsidR="00F41149">
        <w:rPr>
          <w:lang w:val="en-GB"/>
        </w:rPr>
        <w:t>year</w:t>
      </w:r>
      <w:r w:rsidRPr="000D5EFB">
        <w:rPr>
          <w:lang w:val="en-GB"/>
        </w:rPr>
        <w:t xml:space="preserve"> and trip type interactions, however those do not make a clear pattern (Table </w:t>
      </w:r>
      <w:r w:rsidR="000D5EFB" w:rsidRPr="000D5EFB">
        <w:rPr>
          <w:lang w:val="en-GB"/>
        </w:rPr>
        <w:t>S</w:t>
      </w:r>
      <w:r w:rsidRPr="000D5EFB">
        <w:rPr>
          <w:lang w:val="en-GB"/>
        </w:rPr>
        <w:t xml:space="preserve">1, Fig. </w:t>
      </w:r>
      <w:r w:rsidR="000D5EFB" w:rsidRPr="000D5EFB">
        <w:rPr>
          <w:lang w:val="en-GB"/>
        </w:rPr>
        <w:t>S</w:t>
      </w:r>
      <w:r w:rsidR="000937AA">
        <w:rPr>
          <w:lang w:val="en-GB"/>
        </w:rPr>
        <w:t>8</w:t>
      </w:r>
      <w:r w:rsidRPr="000D5EFB">
        <w:rPr>
          <w:lang w:val="en-GB"/>
        </w:rPr>
        <w:t xml:space="preserve">). </w:t>
      </w:r>
    </w:p>
    <w:p w14:paraId="55523550" w14:textId="77777777" w:rsidR="000D5EFB" w:rsidRPr="000D5EFB" w:rsidRDefault="000D5EFB" w:rsidP="000D5EFB">
      <w:pPr>
        <w:spacing w:line="240" w:lineRule="auto"/>
        <w:jc w:val="both"/>
        <w:rPr>
          <w:lang w:val="en-GB"/>
        </w:rPr>
      </w:pPr>
    </w:p>
    <w:p w14:paraId="70C4CBCF" w14:textId="6387719E" w:rsidR="000D5EFB" w:rsidRDefault="00030CC3" w:rsidP="007E3FAC">
      <w:pPr>
        <w:spacing w:line="480" w:lineRule="auto"/>
        <w:jc w:val="both"/>
        <w:rPr>
          <w:highlight w:val="yellow"/>
          <w:lang w:val="en-GB"/>
        </w:rPr>
      </w:pPr>
      <w:r>
        <w:rPr>
          <w:noProof/>
          <w:lang w:val="en-US"/>
        </w:rPr>
        <w:drawing>
          <wp:inline distT="0" distB="0" distL="0" distR="0" wp14:anchorId="5E1EA6D1" wp14:editId="0EE08303">
            <wp:extent cx="5760720" cy="287909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2879090"/>
                    </a:xfrm>
                    <a:prstGeom prst="rect">
                      <a:avLst/>
                    </a:prstGeom>
                  </pic:spPr>
                </pic:pic>
              </a:graphicData>
            </a:graphic>
          </wp:inline>
        </w:drawing>
      </w:r>
    </w:p>
    <w:p w14:paraId="6F4571EA" w14:textId="2D87B720" w:rsidR="000D5EFB" w:rsidRDefault="000D5EFB" w:rsidP="000D5EFB">
      <w:pPr>
        <w:spacing w:line="240" w:lineRule="auto"/>
        <w:jc w:val="both"/>
        <w:rPr>
          <w:lang w:val="en-US"/>
        </w:rPr>
      </w:pPr>
      <w:r w:rsidRPr="008D0A2F">
        <w:rPr>
          <w:b/>
          <w:lang w:val="en-GB"/>
        </w:rPr>
        <w:t xml:space="preserve">Figure </w:t>
      </w:r>
      <w:r>
        <w:rPr>
          <w:b/>
          <w:lang w:val="en-GB"/>
        </w:rPr>
        <w:t>S</w:t>
      </w:r>
      <w:r w:rsidR="000937AA">
        <w:rPr>
          <w:b/>
          <w:lang w:val="en-GB"/>
        </w:rPr>
        <w:t>8</w:t>
      </w:r>
      <w:r>
        <w:rPr>
          <w:b/>
          <w:lang w:val="en-GB"/>
        </w:rPr>
        <w:t xml:space="preserve">. </w:t>
      </w:r>
      <w:r w:rsidRPr="008D0A2F">
        <w:rPr>
          <w:lang w:val="en-GB"/>
        </w:rPr>
        <w:t>Nest attendance</w:t>
      </w:r>
      <w:r>
        <w:rPr>
          <w:lang w:val="en-GB"/>
        </w:rPr>
        <w:t xml:space="preserve"> of little auks </w:t>
      </w:r>
      <w:r w:rsidRPr="008D0A2F">
        <w:rPr>
          <w:lang w:val="en-GB"/>
        </w:rPr>
        <w:t xml:space="preserve">after completing STs and LTs in respect to </w:t>
      </w:r>
      <w:r w:rsidR="00985092" w:rsidRPr="008D0A2F">
        <w:rPr>
          <w:lang w:val="en-GB"/>
        </w:rPr>
        <w:t>parents’</w:t>
      </w:r>
      <w:r w:rsidRPr="008D0A2F">
        <w:rPr>
          <w:lang w:val="en-GB"/>
        </w:rPr>
        <w:t xml:space="preserve"> sex in </w:t>
      </w:r>
      <w:r>
        <w:rPr>
          <w:lang w:val="en-GB"/>
        </w:rPr>
        <w:t>four</w:t>
      </w:r>
      <w:r w:rsidRPr="008D0A2F">
        <w:rPr>
          <w:lang w:val="en-GB"/>
        </w:rPr>
        <w:t xml:space="preserve"> study </w:t>
      </w:r>
      <w:r w:rsidR="00F41149">
        <w:rPr>
          <w:lang w:val="en-GB"/>
        </w:rPr>
        <w:t>year</w:t>
      </w:r>
      <w:r w:rsidRPr="008D0A2F">
        <w:rPr>
          <w:lang w:val="en-GB"/>
        </w:rPr>
        <w:t>s.</w:t>
      </w:r>
      <w:r>
        <w:rPr>
          <w:lang w:val="en-GB"/>
        </w:rPr>
        <w:t xml:space="preserve"> Note the scale on the y-axis is specific for the panel (</w:t>
      </w:r>
      <w:r w:rsidR="00F41149">
        <w:rPr>
          <w:lang w:val="en-GB"/>
        </w:rPr>
        <w:t>year</w:t>
      </w:r>
      <w:r>
        <w:rPr>
          <w:lang w:val="en-GB"/>
        </w:rPr>
        <w:t>).</w:t>
      </w:r>
      <w:r>
        <w:rPr>
          <w:lang w:val="en-US"/>
        </w:rPr>
        <w:t xml:space="preserve"> </w:t>
      </w:r>
      <w:r w:rsidRPr="00BC1036">
        <w:rPr>
          <w:lang w:val="en-US"/>
        </w:rPr>
        <w:t>Boxplots show the median (band inside the box), the first (25%) and third (75%) quartile (box), the lowest and the highest values within 1.5 interquartile range (whiskers) and outliers (circles).</w:t>
      </w:r>
    </w:p>
    <w:p w14:paraId="65318ABB" w14:textId="2A26264C" w:rsidR="000D5EFB" w:rsidRDefault="000D5EFB">
      <w:pPr>
        <w:rPr>
          <w:lang w:val="en-US"/>
        </w:rPr>
      </w:pPr>
      <w:r>
        <w:rPr>
          <w:lang w:val="en-US"/>
        </w:rPr>
        <w:br w:type="page"/>
      </w:r>
    </w:p>
    <w:p w14:paraId="05DA35BB" w14:textId="3C2BC208" w:rsidR="000D5EFB" w:rsidRDefault="000D5EFB" w:rsidP="000D5EFB">
      <w:pPr>
        <w:spacing w:line="240" w:lineRule="auto"/>
        <w:jc w:val="both"/>
        <w:rPr>
          <w:lang w:val="en-GB"/>
        </w:rPr>
      </w:pPr>
      <w:r w:rsidRPr="000D5EFB">
        <w:rPr>
          <w:lang w:val="en-GB"/>
        </w:rPr>
        <w:lastRenderedPageBreak/>
        <w:t>Post-</w:t>
      </w:r>
      <w:r w:rsidR="00573525">
        <w:rPr>
          <w:lang w:val="en-GB"/>
        </w:rPr>
        <w:t>feeding</w:t>
      </w:r>
      <w:r w:rsidRPr="000D5EFB">
        <w:rPr>
          <w:lang w:val="en-GB"/>
        </w:rPr>
        <w:t xml:space="preserve"> colony attendance was similar regardless of the type of foraging trip performed,</w:t>
      </w:r>
      <w:r w:rsidR="00573525">
        <w:rPr>
          <w:lang w:val="en-GB"/>
        </w:rPr>
        <w:t xml:space="preserve"> but apparently much affected by the year </w:t>
      </w:r>
      <w:r w:rsidRPr="000D5EFB">
        <w:rPr>
          <w:lang w:val="en-GB"/>
        </w:rPr>
        <w:t>(Fig. S</w:t>
      </w:r>
      <w:r w:rsidR="000937AA">
        <w:rPr>
          <w:lang w:val="en-GB"/>
        </w:rPr>
        <w:t>9</w:t>
      </w:r>
      <w:r w:rsidRPr="000D5EFB">
        <w:rPr>
          <w:lang w:val="en-GB"/>
        </w:rPr>
        <w:t xml:space="preserve">, Table S1). </w:t>
      </w:r>
      <w:r w:rsidR="00573525">
        <w:rPr>
          <w:lang w:val="en-GB"/>
        </w:rPr>
        <w:t>Although sex was not significant in the model m</w:t>
      </w:r>
      <w:r w:rsidRPr="000D5EFB">
        <w:rPr>
          <w:lang w:val="en-GB"/>
        </w:rPr>
        <w:t xml:space="preserve">ales tented to spend more time in the colony in some </w:t>
      </w:r>
      <w:r w:rsidR="00F41149">
        <w:rPr>
          <w:lang w:val="en-GB"/>
        </w:rPr>
        <w:t>year</w:t>
      </w:r>
      <w:r w:rsidRPr="000D5EFB">
        <w:rPr>
          <w:lang w:val="en-GB"/>
        </w:rPr>
        <w:t>s (Fig. S</w:t>
      </w:r>
      <w:r w:rsidR="000937AA">
        <w:rPr>
          <w:lang w:val="en-GB"/>
        </w:rPr>
        <w:t>9</w:t>
      </w:r>
      <w:r w:rsidRPr="000D5EFB">
        <w:rPr>
          <w:lang w:val="en-GB"/>
        </w:rPr>
        <w:t xml:space="preserve">, Table S1). </w:t>
      </w:r>
    </w:p>
    <w:p w14:paraId="3D53CE99" w14:textId="77777777" w:rsidR="000D5EFB" w:rsidRPr="000D5EFB" w:rsidRDefault="000D5EFB" w:rsidP="000D5EFB">
      <w:pPr>
        <w:spacing w:line="240" w:lineRule="auto"/>
        <w:jc w:val="both"/>
        <w:rPr>
          <w:lang w:val="en-GB"/>
        </w:rPr>
      </w:pPr>
    </w:p>
    <w:p w14:paraId="43382361" w14:textId="333021F0" w:rsidR="000D5EFB" w:rsidRDefault="00030CC3" w:rsidP="000D5EFB">
      <w:pPr>
        <w:spacing w:line="480" w:lineRule="auto"/>
        <w:jc w:val="both"/>
        <w:rPr>
          <w:highlight w:val="yellow"/>
          <w:lang w:val="en-GB"/>
        </w:rPr>
      </w:pPr>
      <w:r>
        <w:rPr>
          <w:noProof/>
          <w:lang w:val="en-US"/>
        </w:rPr>
        <w:drawing>
          <wp:inline distT="0" distB="0" distL="0" distR="0" wp14:anchorId="5892C93B" wp14:editId="453D7BCC">
            <wp:extent cx="5760720" cy="286575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2865755"/>
                    </a:xfrm>
                    <a:prstGeom prst="rect">
                      <a:avLst/>
                    </a:prstGeom>
                  </pic:spPr>
                </pic:pic>
              </a:graphicData>
            </a:graphic>
          </wp:inline>
        </w:drawing>
      </w:r>
    </w:p>
    <w:p w14:paraId="572425A3" w14:textId="06D247E2" w:rsidR="000D5EFB" w:rsidRDefault="000D5EFB" w:rsidP="000D5EFB">
      <w:pPr>
        <w:spacing w:line="240" w:lineRule="auto"/>
        <w:jc w:val="both"/>
        <w:rPr>
          <w:lang w:val="en-US"/>
        </w:rPr>
      </w:pPr>
      <w:r w:rsidRPr="008D0A2F">
        <w:rPr>
          <w:b/>
          <w:lang w:val="en-GB"/>
        </w:rPr>
        <w:t xml:space="preserve">Figure </w:t>
      </w:r>
      <w:r>
        <w:rPr>
          <w:b/>
          <w:lang w:val="en-GB"/>
        </w:rPr>
        <w:t>S</w:t>
      </w:r>
      <w:r w:rsidR="000937AA">
        <w:rPr>
          <w:b/>
          <w:lang w:val="en-GB"/>
        </w:rPr>
        <w:t>9</w:t>
      </w:r>
      <w:r>
        <w:rPr>
          <w:b/>
          <w:lang w:val="en-GB"/>
        </w:rPr>
        <w:t xml:space="preserve">. </w:t>
      </w:r>
      <w:r w:rsidR="00573525" w:rsidRPr="00573525">
        <w:rPr>
          <w:lang w:val="en-GB"/>
        </w:rPr>
        <w:t>Post-feeding</w:t>
      </w:r>
      <w:r w:rsidR="00573525">
        <w:rPr>
          <w:b/>
          <w:lang w:val="en-GB"/>
        </w:rPr>
        <w:t xml:space="preserve"> </w:t>
      </w:r>
      <w:r w:rsidR="00573525">
        <w:rPr>
          <w:lang w:val="en-GB"/>
        </w:rPr>
        <w:t>c</w:t>
      </w:r>
      <w:r>
        <w:rPr>
          <w:lang w:val="en-GB"/>
        </w:rPr>
        <w:t xml:space="preserve">olony </w:t>
      </w:r>
      <w:r w:rsidRPr="008D0A2F">
        <w:rPr>
          <w:lang w:val="en-GB"/>
        </w:rPr>
        <w:t>attendance</w:t>
      </w:r>
      <w:r>
        <w:rPr>
          <w:lang w:val="en-GB"/>
        </w:rPr>
        <w:t xml:space="preserve"> of little auks </w:t>
      </w:r>
      <w:r w:rsidRPr="008D0A2F">
        <w:rPr>
          <w:lang w:val="en-GB"/>
        </w:rPr>
        <w:t xml:space="preserve">after completing STs and LTs in respect to </w:t>
      </w:r>
      <w:r w:rsidR="00985092" w:rsidRPr="008D0A2F">
        <w:rPr>
          <w:lang w:val="en-GB"/>
        </w:rPr>
        <w:t>parents’</w:t>
      </w:r>
      <w:r w:rsidRPr="008D0A2F">
        <w:rPr>
          <w:lang w:val="en-GB"/>
        </w:rPr>
        <w:t xml:space="preserve"> sex in </w:t>
      </w:r>
      <w:r>
        <w:rPr>
          <w:lang w:val="en-GB"/>
        </w:rPr>
        <w:t>four</w:t>
      </w:r>
      <w:r w:rsidRPr="008D0A2F">
        <w:rPr>
          <w:lang w:val="en-GB"/>
        </w:rPr>
        <w:t xml:space="preserve"> study </w:t>
      </w:r>
      <w:r w:rsidR="00F41149">
        <w:rPr>
          <w:lang w:val="en-GB"/>
        </w:rPr>
        <w:t>year</w:t>
      </w:r>
      <w:r w:rsidRPr="008D0A2F">
        <w:rPr>
          <w:lang w:val="en-GB"/>
        </w:rPr>
        <w:t>s.</w:t>
      </w:r>
      <w:r>
        <w:rPr>
          <w:lang w:val="en-GB"/>
        </w:rPr>
        <w:t xml:space="preserve"> Note the scale on the y-axis is specific for the panel (</w:t>
      </w:r>
      <w:r w:rsidR="00F41149">
        <w:rPr>
          <w:lang w:val="en-GB"/>
        </w:rPr>
        <w:t>year</w:t>
      </w:r>
      <w:r>
        <w:rPr>
          <w:lang w:val="en-GB"/>
        </w:rPr>
        <w:t>).</w:t>
      </w:r>
      <w:r>
        <w:rPr>
          <w:lang w:val="en-US"/>
        </w:rPr>
        <w:t xml:space="preserve"> </w:t>
      </w:r>
      <w:r w:rsidRPr="00BC1036">
        <w:rPr>
          <w:lang w:val="en-US"/>
        </w:rPr>
        <w:t xml:space="preserve">Boxplots show the median (band inside the box), the first (25%) and third (75%) quartile (box), the lowest and the highest values within 1.5 interquartile range (whiskers) and outliers (circles). </w:t>
      </w:r>
    </w:p>
    <w:p w14:paraId="76699181" w14:textId="77777777" w:rsidR="000D5EFB" w:rsidRDefault="000D5EFB" w:rsidP="000D5EFB">
      <w:pPr>
        <w:spacing w:line="240" w:lineRule="auto"/>
        <w:jc w:val="both"/>
        <w:rPr>
          <w:lang w:val="en-US"/>
        </w:rPr>
      </w:pPr>
    </w:p>
    <w:p w14:paraId="15F9C7BE" w14:textId="3C13B74B" w:rsidR="000D5EFB" w:rsidRPr="008D0A2F" w:rsidRDefault="000D5EFB" w:rsidP="00D94A34">
      <w:pPr>
        <w:spacing w:line="240" w:lineRule="auto"/>
        <w:jc w:val="both"/>
        <w:rPr>
          <w:lang w:val="en-GB"/>
        </w:rPr>
      </w:pPr>
      <w:r w:rsidRPr="00D94A34">
        <w:rPr>
          <w:lang w:val="en-GB"/>
        </w:rPr>
        <w:t xml:space="preserve">In all the three considered behaviours, </w:t>
      </w:r>
      <w:r w:rsidR="00F41149">
        <w:rPr>
          <w:lang w:val="en-GB"/>
        </w:rPr>
        <w:t>year</w:t>
      </w:r>
      <w:r w:rsidRPr="00D94A34">
        <w:rPr>
          <w:lang w:val="en-GB"/>
        </w:rPr>
        <w:t xml:space="preserve"> was the most significant factor explaining the observed variation, as indicated by the deviance (Table S2).</w:t>
      </w:r>
    </w:p>
    <w:p w14:paraId="12BA5879" w14:textId="77777777" w:rsidR="000D5EFB" w:rsidRDefault="000D5EFB" w:rsidP="00D87EE2">
      <w:pPr>
        <w:spacing w:line="240" w:lineRule="auto"/>
        <w:rPr>
          <w:b/>
          <w:lang w:val="en-GB"/>
        </w:rPr>
      </w:pPr>
    </w:p>
    <w:p w14:paraId="0A1CEE8C" w14:textId="77777777" w:rsidR="005A2746" w:rsidRDefault="005A2746" w:rsidP="00D87EE2">
      <w:pPr>
        <w:spacing w:line="240" w:lineRule="auto"/>
        <w:rPr>
          <w:b/>
          <w:lang w:val="en-GB"/>
        </w:rPr>
        <w:sectPr w:rsidR="005A2746">
          <w:pgSz w:w="11906" w:h="16838"/>
          <w:pgMar w:top="1417" w:right="1417" w:bottom="1417" w:left="1417" w:header="708" w:footer="708" w:gutter="0"/>
          <w:cols w:space="708"/>
          <w:docGrid w:linePitch="360"/>
        </w:sectPr>
      </w:pPr>
    </w:p>
    <w:p w14:paraId="55864618" w14:textId="6F196301" w:rsidR="00D87EE2" w:rsidRDefault="00D87EE2" w:rsidP="00D87EE2">
      <w:pPr>
        <w:spacing w:line="240" w:lineRule="auto"/>
        <w:rPr>
          <w:lang w:val="en-GB"/>
        </w:rPr>
      </w:pPr>
      <w:r w:rsidRPr="007C59B9">
        <w:rPr>
          <w:b/>
          <w:lang w:val="en-GB"/>
        </w:rPr>
        <w:lastRenderedPageBreak/>
        <w:t xml:space="preserve">Table </w:t>
      </w:r>
      <w:r>
        <w:rPr>
          <w:b/>
          <w:lang w:val="en-GB"/>
        </w:rPr>
        <w:t>S</w:t>
      </w:r>
      <w:r w:rsidRPr="007C59B9">
        <w:rPr>
          <w:b/>
          <w:lang w:val="en-GB"/>
        </w:rPr>
        <w:t>1.</w:t>
      </w:r>
      <w:r>
        <w:rPr>
          <w:lang w:val="en-GB"/>
        </w:rPr>
        <w:t xml:space="preserve"> Summary of LM models describing post-foraging in-colony activities of little auks in regard to foraging trip type (ST/LT), sex (M/F) and </w:t>
      </w:r>
      <w:r w:rsidR="00F41149">
        <w:rPr>
          <w:lang w:val="en-GB"/>
        </w:rPr>
        <w:t>year</w:t>
      </w:r>
      <w:r>
        <w:rPr>
          <w:lang w:val="en-GB"/>
        </w:rPr>
        <w:t xml:space="preserve"> (2017-2020). Significant (p &lt; 0.05), and marginally significant (p &lt; 0.1) effects marked</w:t>
      </w:r>
      <w:r w:rsidR="00CF4E1A">
        <w:rPr>
          <w:lang w:val="en-GB"/>
        </w:rPr>
        <w:t xml:space="preserve"> in red and orange, respectively</w:t>
      </w:r>
      <w:r>
        <w:rPr>
          <w:lang w:val="en-GB"/>
        </w:rPr>
        <w:t>.</w:t>
      </w:r>
    </w:p>
    <w:tbl>
      <w:tblPr>
        <w:tblW w:w="13783" w:type="dxa"/>
        <w:tblCellMar>
          <w:left w:w="70" w:type="dxa"/>
          <w:right w:w="70" w:type="dxa"/>
        </w:tblCellMar>
        <w:tblLook w:val="04A0" w:firstRow="1" w:lastRow="0" w:firstColumn="1" w:lastColumn="0" w:noHBand="0" w:noVBand="1"/>
      </w:tblPr>
      <w:tblGrid>
        <w:gridCol w:w="3460"/>
        <w:gridCol w:w="1055"/>
        <w:gridCol w:w="551"/>
        <w:gridCol w:w="959"/>
        <w:gridCol w:w="876"/>
        <w:gridCol w:w="1055"/>
        <w:gridCol w:w="551"/>
        <w:gridCol w:w="959"/>
        <w:gridCol w:w="876"/>
        <w:gridCol w:w="1055"/>
        <w:gridCol w:w="551"/>
        <w:gridCol w:w="959"/>
        <w:gridCol w:w="876"/>
      </w:tblGrid>
      <w:tr w:rsidR="00CF4E1A" w:rsidRPr="00CF4E1A" w14:paraId="365079B2" w14:textId="77777777" w:rsidTr="00CF4E1A">
        <w:trPr>
          <w:trHeight w:val="290"/>
        </w:trPr>
        <w:tc>
          <w:tcPr>
            <w:tcW w:w="3460" w:type="dxa"/>
            <w:vMerge w:val="restart"/>
            <w:tcBorders>
              <w:top w:val="nil"/>
              <w:left w:val="nil"/>
              <w:bottom w:val="single" w:sz="4" w:space="0" w:color="000000"/>
              <w:right w:val="nil"/>
            </w:tcBorders>
            <w:shd w:val="clear" w:color="000000" w:fill="D9D9D9"/>
            <w:noWrap/>
            <w:vAlign w:val="center"/>
            <w:hideMark/>
          </w:tcPr>
          <w:p w14:paraId="74A3ABA2" w14:textId="77777777" w:rsidR="00CF4E1A" w:rsidRPr="00CF4E1A" w:rsidRDefault="00CF4E1A" w:rsidP="00CF4E1A">
            <w:pPr>
              <w:spacing w:after="0" w:line="240" w:lineRule="auto"/>
              <w:rPr>
                <w:rFonts w:ascii="Calibri" w:eastAsia="Times New Roman" w:hAnsi="Calibri" w:cs="Calibri"/>
                <w:b/>
                <w:bCs/>
                <w:lang w:eastAsia="pl-PL"/>
              </w:rPr>
            </w:pPr>
            <w:r w:rsidRPr="00CF4E1A">
              <w:rPr>
                <w:rFonts w:ascii="Calibri" w:eastAsia="Times New Roman" w:hAnsi="Calibri" w:cs="Calibri"/>
                <w:b/>
                <w:bCs/>
                <w:lang w:eastAsia="pl-PL"/>
              </w:rPr>
              <w:t>Term</w:t>
            </w:r>
          </w:p>
        </w:tc>
        <w:tc>
          <w:tcPr>
            <w:tcW w:w="3441" w:type="dxa"/>
            <w:gridSpan w:val="4"/>
            <w:tcBorders>
              <w:top w:val="nil"/>
              <w:left w:val="nil"/>
              <w:bottom w:val="single" w:sz="4" w:space="0" w:color="auto"/>
              <w:right w:val="nil"/>
            </w:tcBorders>
            <w:shd w:val="clear" w:color="000000" w:fill="D9D9D9"/>
            <w:noWrap/>
            <w:vAlign w:val="bottom"/>
            <w:hideMark/>
          </w:tcPr>
          <w:p w14:paraId="45FC52CC" w14:textId="77777777" w:rsidR="00CF4E1A" w:rsidRPr="00CF4E1A" w:rsidRDefault="00CF4E1A" w:rsidP="00CF4E1A">
            <w:pPr>
              <w:spacing w:after="0" w:line="240" w:lineRule="auto"/>
              <w:jc w:val="center"/>
              <w:rPr>
                <w:rFonts w:ascii="Calibri" w:eastAsia="Times New Roman" w:hAnsi="Calibri" w:cs="Calibri"/>
                <w:b/>
                <w:bCs/>
                <w:color w:val="000000"/>
                <w:lang w:eastAsia="pl-PL"/>
              </w:rPr>
            </w:pPr>
            <w:r w:rsidRPr="00CF4E1A">
              <w:rPr>
                <w:rFonts w:ascii="Calibri" w:eastAsia="Times New Roman" w:hAnsi="Calibri" w:cs="Calibri"/>
                <w:b/>
                <w:bCs/>
                <w:color w:val="000000"/>
                <w:lang w:eastAsia="pl-PL"/>
              </w:rPr>
              <w:t>Latency</w:t>
            </w:r>
          </w:p>
        </w:tc>
        <w:tc>
          <w:tcPr>
            <w:tcW w:w="3441" w:type="dxa"/>
            <w:gridSpan w:val="4"/>
            <w:tcBorders>
              <w:top w:val="nil"/>
              <w:left w:val="nil"/>
              <w:bottom w:val="single" w:sz="4" w:space="0" w:color="auto"/>
              <w:right w:val="nil"/>
            </w:tcBorders>
            <w:shd w:val="clear" w:color="000000" w:fill="D9D9D9"/>
            <w:noWrap/>
            <w:vAlign w:val="bottom"/>
            <w:hideMark/>
          </w:tcPr>
          <w:p w14:paraId="7C013A24" w14:textId="77777777" w:rsidR="00CF4E1A" w:rsidRPr="00CF4E1A" w:rsidRDefault="00CF4E1A" w:rsidP="00CF4E1A">
            <w:pPr>
              <w:spacing w:after="0" w:line="240" w:lineRule="auto"/>
              <w:jc w:val="center"/>
              <w:rPr>
                <w:rFonts w:ascii="Calibri" w:eastAsia="Times New Roman" w:hAnsi="Calibri" w:cs="Calibri"/>
                <w:b/>
                <w:bCs/>
                <w:color w:val="000000"/>
                <w:lang w:eastAsia="pl-PL"/>
              </w:rPr>
            </w:pPr>
            <w:r w:rsidRPr="00CF4E1A">
              <w:rPr>
                <w:rFonts w:ascii="Calibri" w:eastAsia="Times New Roman" w:hAnsi="Calibri" w:cs="Calibri"/>
                <w:b/>
                <w:bCs/>
                <w:color w:val="000000"/>
                <w:lang w:eastAsia="pl-PL"/>
              </w:rPr>
              <w:t>Nest attendance</w:t>
            </w:r>
          </w:p>
        </w:tc>
        <w:tc>
          <w:tcPr>
            <w:tcW w:w="3441" w:type="dxa"/>
            <w:gridSpan w:val="4"/>
            <w:tcBorders>
              <w:top w:val="nil"/>
              <w:left w:val="nil"/>
              <w:bottom w:val="single" w:sz="4" w:space="0" w:color="auto"/>
              <w:right w:val="nil"/>
            </w:tcBorders>
            <w:shd w:val="clear" w:color="000000" w:fill="D9D9D9"/>
            <w:noWrap/>
            <w:vAlign w:val="bottom"/>
            <w:hideMark/>
          </w:tcPr>
          <w:p w14:paraId="562075B5" w14:textId="77777777" w:rsidR="00CF4E1A" w:rsidRPr="00CF4E1A" w:rsidRDefault="00CF4E1A" w:rsidP="00CF4E1A">
            <w:pPr>
              <w:spacing w:after="0" w:line="240" w:lineRule="auto"/>
              <w:jc w:val="center"/>
              <w:rPr>
                <w:rFonts w:ascii="Calibri" w:eastAsia="Times New Roman" w:hAnsi="Calibri" w:cs="Calibri"/>
                <w:b/>
                <w:bCs/>
                <w:color w:val="000000"/>
                <w:lang w:eastAsia="pl-PL"/>
              </w:rPr>
            </w:pPr>
            <w:r w:rsidRPr="00CF4E1A">
              <w:rPr>
                <w:rFonts w:ascii="Calibri" w:eastAsia="Times New Roman" w:hAnsi="Calibri" w:cs="Calibri"/>
                <w:b/>
                <w:bCs/>
                <w:color w:val="000000"/>
                <w:lang w:eastAsia="pl-PL"/>
              </w:rPr>
              <w:t>Colony attendance</w:t>
            </w:r>
          </w:p>
        </w:tc>
      </w:tr>
      <w:tr w:rsidR="00CF4E1A" w:rsidRPr="00CF4E1A" w14:paraId="08B9B43F" w14:textId="77777777" w:rsidTr="00CF4E1A">
        <w:trPr>
          <w:trHeight w:val="290"/>
        </w:trPr>
        <w:tc>
          <w:tcPr>
            <w:tcW w:w="3460" w:type="dxa"/>
            <w:vMerge/>
            <w:tcBorders>
              <w:top w:val="nil"/>
              <w:left w:val="nil"/>
              <w:bottom w:val="single" w:sz="4" w:space="0" w:color="000000"/>
              <w:right w:val="nil"/>
            </w:tcBorders>
            <w:vAlign w:val="center"/>
            <w:hideMark/>
          </w:tcPr>
          <w:p w14:paraId="48596C71" w14:textId="77777777" w:rsidR="00CF4E1A" w:rsidRPr="00CF4E1A" w:rsidRDefault="00CF4E1A" w:rsidP="00CF4E1A">
            <w:pPr>
              <w:spacing w:after="0" w:line="240" w:lineRule="auto"/>
              <w:rPr>
                <w:rFonts w:ascii="Calibri" w:eastAsia="Times New Roman" w:hAnsi="Calibri" w:cs="Calibri"/>
                <w:b/>
                <w:bCs/>
                <w:lang w:eastAsia="pl-PL"/>
              </w:rPr>
            </w:pPr>
          </w:p>
        </w:tc>
        <w:tc>
          <w:tcPr>
            <w:tcW w:w="1055" w:type="dxa"/>
            <w:tcBorders>
              <w:top w:val="nil"/>
              <w:left w:val="nil"/>
              <w:bottom w:val="single" w:sz="4" w:space="0" w:color="auto"/>
              <w:right w:val="nil"/>
            </w:tcBorders>
            <w:shd w:val="clear" w:color="000000" w:fill="D9D9D9"/>
            <w:noWrap/>
            <w:vAlign w:val="bottom"/>
            <w:hideMark/>
          </w:tcPr>
          <w:p w14:paraId="29A20F88"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Estimate</w:t>
            </w:r>
          </w:p>
        </w:tc>
        <w:tc>
          <w:tcPr>
            <w:tcW w:w="551" w:type="dxa"/>
            <w:tcBorders>
              <w:top w:val="nil"/>
              <w:left w:val="nil"/>
              <w:bottom w:val="single" w:sz="4" w:space="0" w:color="auto"/>
              <w:right w:val="nil"/>
            </w:tcBorders>
            <w:shd w:val="clear" w:color="000000" w:fill="D9D9D9"/>
            <w:noWrap/>
            <w:vAlign w:val="bottom"/>
            <w:hideMark/>
          </w:tcPr>
          <w:p w14:paraId="493A9E23"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SE</w:t>
            </w:r>
          </w:p>
        </w:tc>
        <w:tc>
          <w:tcPr>
            <w:tcW w:w="959" w:type="dxa"/>
            <w:tcBorders>
              <w:top w:val="nil"/>
              <w:left w:val="nil"/>
              <w:bottom w:val="single" w:sz="4" w:space="0" w:color="auto"/>
              <w:right w:val="nil"/>
            </w:tcBorders>
            <w:shd w:val="clear" w:color="000000" w:fill="D9D9D9"/>
            <w:noWrap/>
            <w:vAlign w:val="bottom"/>
            <w:hideMark/>
          </w:tcPr>
          <w:p w14:paraId="68D1745D"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Statistic</w:t>
            </w:r>
          </w:p>
        </w:tc>
        <w:tc>
          <w:tcPr>
            <w:tcW w:w="876" w:type="dxa"/>
            <w:tcBorders>
              <w:top w:val="nil"/>
              <w:left w:val="nil"/>
              <w:bottom w:val="single" w:sz="4" w:space="0" w:color="auto"/>
              <w:right w:val="nil"/>
            </w:tcBorders>
            <w:shd w:val="clear" w:color="000000" w:fill="D9D9D9"/>
            <w:noWrap/>
            <w:vAlign w:val="bottom"/>
            <w:hideMark/>
          </w:tcPr>
          <w:p w14:paraId="4669F0D9"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P value</w:t>
            </w:r>
          </w:p>
        </w:tc>
        <w:tc>
          <w:tcPr>
            <w:tcW w:w="1055" w:type="dxa"/>
            <w:tcBorders>
              <w:top w:val="nil"/>
              <w:left w:val="nil"/>
              <w:bottom w:val="single" w:sz="4" w:space="0" w:color="auto"/>
              <w:right w:val="nil"/>
            </w:tcBorders>
            <w:shd w:val="clear" w:color="000000" w:fill="D9D9D9"/>
            <w:noWrap/>
            <w:vAlign w:val="bottom"/>
            <w:hideMark/>
          </w:tcPr>
          <w:p w14:paraId="69497F3C"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Estimate</w:t>
            </w:r>
          </w:p>
        </w:tc>
        <w:tc>
          <w:tcPr>
            <w:tcW w:w="551" w:type="dxa"/>
            <w:tcBorders>
              <w:top w:val="nil"/>
              <w:left w:val="nil"/>
              <w:bottom w:val="single" w:sz="4" w:space="0" w:color="auto"/>
              <w:right w:val="nil"/>
            </w:tcBorders>
            <w:shd w:val="clear" w:color="000000" w:fill="D9D9D9"/>
            <w:noWrap/>
            <w:vAlign w:val="bottom"/>
            <w:hideMark/>
          </w:tcPr>
          <w:p w14:paraId="43A308CC"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SE</w:t>
            </w:r>
          </w:p>
        </w:tc>
        <w:tc>
          <w:tcPr>
            <w:tcW w:w="959" w:type="dxa"/>
            <w:tcBorders>
              <w:top w:val="nil"/>
              <w:left w:val="nil"/>
              <w:bottom w:val="single" w:sz="4" w:space="0" w:color="auto"/>
              <w:right w:val="nil"/>
            </w:tcBorders>
            <w:shd w:val="clear" w:color="000000" w:fill="D9D9D9"/>
            <w:noWrap/>
            <w:vAlign w:val="bottom"/>
            <w:hideMark/>
          </w:tcPr>
          <w:p w14:paraId="60955871"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Statistic</w:t>
            </w:r>
          </w:p>
        </w:tc>
        <w:tc>
          <w:tcPr>
            <w:tcW w:w="876" w:type="dxa"/>
            <w:tcBorders>
              <w:top w:val="nil"/>
              <w:left w:val="nil"/>
              <w:bottom w:val="single" w:sz="4" w:space="0" w:color="auto"/>
              <w:right w:val="nil"/>
            </w:tcBorders>
            <w:shd w:val="clear" w:color="000000" w:fill="D9D9D9"/>
            <w:noWrap/>
            <w:vAlign w:val="bottom"/>
            <w:hideMark/>
          </w:tcPr>
          <w:p w14:paraId="5C6EDB30"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P value</w:t>
            </w:r>
          </w:p>
        </w:tc>
        <w:tc>
          <w:tcPr>
            <w:tcW w:w="1055" w:type="dxa"/>
            <w:tcBorders>
              <w:top w:val="nil"/>
              <w:left w:val="nil"/>
              <w:bottom w:val="single" w:sz="4" w:space="0" w:color="auto"/>
              <w:right w:val="nil"/>
            </w:tcBorders>
            <w:shd w:val="clear" w:color="000000" w:fill="D9D9D9"/>
            <w:noWrap/>
            <w:vAlign w:val="bottom"/>
            <w:hideMark/>
          </w:tcPr>
          <w:p w14:paraId="23DBAF1C"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Estimate</w:t>
            </w:r>
          </w:p>
        </w:tc>
        <w:tc>
          <w:tcPr>
            <w:tcW w:w="551" w:type="dxa"/>
            <w:tcBorders>
              <w:top w:val="nil"/>
              <w:left w:val="nil"/>
              <w:bottom w:val="single" w:sz="4" w:space="0" w:color="auto"/>
              <w:right w:val="nil"/>
            </w:tcBorders>
            <w:shd w:val="clear" w:color="000000" w:fill="D9D9D9"/>
            <w:noWrap/>
            <w:vAlign w:val="bottom"/>
            <w:hideMark/>
          </w:tcPr>
          <w:p w14:paraId="3DD98383"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SE</w:t>
            </w:r>
          </w:p>
        </w:tc>
        <w:tc>
          <w:tcPr>
            <w:tcW w:w="959" w:type="dxa"/>
            <w:tcBorders>
              <w:top w:val="nil"/>
              <w:left w:val="nil"/>
              <w:bottom w:val="single" w:sz="4" w:space="0" w:color="auto"/>
              <w:right w:val="nil"/>
            </w:tcBorders>
            <w:shd w:val="clear" w:color="000000" w:fill="D9D9D9"/>
            <w:noWrap/>
            <w:vAlign w:val="bottom"/>
            <w:hideMark/>
          </w:tcPr>
          <w:p w14:paraId="5C971739"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Statistic</w:t>
            </w:r>
          </w:p>
        </w:tc>
        <w:tc>
          <w:tcPr>
            <w:tcW w:w="876" w:type="dxa"/>
            <w:tcBorders>
              <w:top w:val="nil"/>
              <w:left w:val="nil"/>
              <w:bottom w:val="single" w:sz="4" w:space="0" w:color="auto"/>
              <w:right w:val="nil"/>
            </w:tcBorders>
            <w:shd w:val="clear" w:color="000000" w:fill="D9D9D9"/>
            <w:noWrap/>
            <w:vAlign w:val="bottom"/>
            <w:hideMark/>
          </w:tcPr>
          <w:p w14:paraId="2B62CF5C"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P value</w:t>
            </w:r>
          </w:p>
        </w:tc>
      </w:tr>
      <w:tr w:rsidR="00CF4E1A" w:rsidRPr="00CF4E1A" w14:paraId="29FB04E4" w14:textId="77777777" w:rsidTr="00CF4E1A">
        <w:trPr>
          <w:trHeight w:val="290"/>
        </w:trPr>
        <w:tc>
          <w:tcPr>
            <w:tcW w:w="3460" w:type="dxa"/>
            <w:tcBorders>
              <w:top w:val="nil"/>
              <w:left w:val="nil"/>
              <w:bottom w:val="nil"/>
              <w:right w:val="nil"/>
            </w:tcBorders>
            <w:shd w:val="clear" w:color="auto" w:fill="auto"/>
            <w:noWrap/>
            <w:vAlign w:val="bottom"/>
            <w:hideMark/>
          </w:tcPr>
          <w:p w14:paraId="574494B9" w14:textId="77777777" w:rsidR="00CF4E1A" w:rsidRPr="00CF4E1A" w:rsidRDefault="00CF4E1A" w:rsidP="00CF4E1A">
            <w:pPr>
              <w:spacing w:after="0" w:line="240" w:lineRule="auto"/>
              <w:rPr>
                <w:rFonts w:ascii="Calibri" w:eastAsia="Times New Roman" w:hAnsi="Calibri" w:cs="Calibri"/>
                <w:lang w:eastAsia="pl-PL"/>
              </w:rPr>
            </w:pPr>
            <w:r w:rsidRPr="00CF4E1A">
              <w:rPr>
                <w:rFonts w:ascii="Calibri" w:eastAsia="Times New Roman" w:hAnsi="Calibri" w:cs="Calibri"/>
                <w:lang w:eastAsia="pl-PL"/>
              </w:rPr>
              <w:t>Intercept</w:t>
            </w:r>
          </w:p>
        </w:tc>
        <w:tc>
          <w:tcPr>
            <w:tcW w:w="1055" w:type="dxa"/>
            <w:tcBorders>
              <w:top w:val="nil"/>
              <w:left w:val="nil"/>
              <w:bottom w:val="nil"/>
              <w:right w:val="nil"/>
            </w:tcBorders>
            <w:shd w:val="clear" w:color="auto" w:fill="auto"/>
            <w:noWrap/>
            <w:vAlign w:val="bottom"/>
            <w:hideMark/>
          </w:tcPr>
          <w:p w14:paraId="7D0A741D"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5.08</w:t>
            </w:r>
          </w:p>
        </w:tc>
        <w:tc>
          <w:tcPr>
            <w:tcW w:w="551" w:type="dxa"/>
            <w:tcBorders>
              <w:top w:val="nil"/>
              <w:left w:val="nil"/>
              <w:bottom w:val="nil"/>
              <w:right w:val="nil"/>
            </w:tcBorders>
            <w:shd w:val="clear" w:color="auto" w:fill="auto"/>
            <w:noWrap/>
            <w:vAlign w:val="bottom"/>
            <w:hideMark/>
          </w:tcPr>
          <w:p w14:paraId="151586DB"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1.33</w:t>
            </w:r>
          </w:p>
        </w:tc>
        <w:tc>
          <w:tcPr>
            <w:tcW w:w="959" w:type="dxa"/>
            <w:tcBorders>
              <w:top w:val="nil"/>
              <w:left w:val="nil"/>
              <w:bottom w:val="nil"/>
              <w:right w:val="nil"/>
            </w:tcBorders>
            <w:shd w:val="clear" w:color="auto" w:fill="auto"/>
            <w:noWrap/>
            <w:vAlign w:val="bottom"/>
            <w:hideMark/>
          </w:tcPr>
          <w:p w14:paraId="75E33F05"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3.83</w:t>
            </w:r>
          </w:p>
        </w:tc>
        <w:tc>
          <w:tcPr>
            <w:tcW w:w="876" w:type="dxa"/>
            <w:tcBorders>
              <w:top w:val="nil"/>
              <w:left w:val="nil"/>
              <w:bottom w:val="nil"/>
              <w:right w:val="nil"/>
            </w:tcBorders>
            <w:shd w:val="clear" w:color="auto" w:fill="auto"/>
            <w:noWrap/>
            <w:vAlign w:val="bottom"/>
            <w:hideMark/>
          </w:tcPr>
          <w:p w14:paraId="29F59D40"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&lt;0.001</w:t>
            </w:r>
          </w:p>
        </w:tc>
        <w:tc>
          <w:tcPr>
            <w:tcW w:w="1055" w:type="dxa"/>
            <w:tcBorders>
              <w:top w:val="nil"/>
              <w:left w:val="nil"/>
              <w:bottom w:val="nil"/>
              <w:right w:val="nil"/>
            </w:tcBorders>
            <w:shd w:val="clear" w:color="auto" w:fill="auto"/>
            <w:noWrap/>
            <w:vAlign w:val="bottom"/>
            <w:hideMark/>
          </w:tcPr>
          <w:p w14:paraId="4E9E7298"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3.53</w:t>
            </w:r>
          </w:p>
        </w:tc>
        <w:tc>
          <w:tcPr>
            <w:tcW w:w="551" w:type="dxa"/>
            <w:tcBorders>
              <w:top w:val="nil"/>
              <w:left w:val="nil"/>
              <w:bottom w:val="nil"/>
              <w:right w:val="nil"/>
            </w:tcBorders>
            <w:shd w:val="clear" w:color="auto" w:fill="auto"/>
            <w:noWrap/>
            <w:vAlign w:val="bottom"/>
            <w:hideMark/>
          </w:tcPr>
          <w:p w14:paraId="2F9F22F6"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1.06</w:t>
            </w:r>
          </w:p>
        </w:tc>
        <w:tc>
          <w:tcPr>
            <w:tcW w:w="959" w:type="dxa"/>
            <w:tcBorders>
              <w:top w:val="nil"/>
              <w:left w:val="nil"/>
              <w:bottom w:val="nil"/>
              <w:right w:val="nil"/>
            </w:tcBorders>
            <w:shd w:val="clear" w:color="auto" w:fill="auto"/>
            <w:noWrap/>
            <w:vAlign w:val="bottom"/>
            <w:hideMark/>
          </w:tcPr>
          <w:p w14:paraId="070D06DF"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3.33</w:t>
            </w:r>
          </w:p>
        </w:tc>
        <w:tc>
          <w:tcPr>
            <w:tcW w:w="876" w:type="dxa"/>
            <w:tcBorders>
              <w:top w:val="nil"/>
              <w:left w:val="nil"/>
              <w:bottom w:val="nil"/>
              <w:right w:val="nil"/>
            </w:tcBorders>
            <w:shd w:val="clear" w:color="auto" w:fill="auto"/>
            <w:noWrap/>
            <w:vAlign w:val="bottom"/>
            <w:hideMark/>
          </w:tcPr>
          <w:p w14:paraId="19CD41C6"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0.001</w:t>
            </w:r>
          </w:p>
        </w:tc>
        <w:tc>
          <w:tcPr>
            <w:tcW w:w="1055" w:type="dxa"/>
            <w:tcBorders>
              <w:top w:val="nil"/>
              <w:left w:val="nil"/>
              <w:bottom w:val="nil"/>
              <w:right w:val="nil"/>
            </w:tcBorders>
            <w:shd w:val="clear" w:color="auto" w:fill="auto"/>
            <w:noWrap/>
            <w:vAlign w:val="bottom"/>
            <w:hideMark/>
          </w:tcPr>
          <w:p w14:paraId="72611B93"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1.83</w:t>
            </w:r>
          </w:p>
        </w:tc>
        <w:tc>
          <w:tcPr>
            <w:tcW w:w="551" w:type="dxa"/>
            <w:tcBorders>
              <w:top w:val="nil"/>
              <w:left w:val="nil"/>
              <w:bottom w:val="nil"/>
              <w:right w:val="nil"/>
            </w:tcBorders>
            <w:shd w:val="clear" w:color="auto" w:fill="auto"/>
            <w:noWrap/>
            <w:vAlign w:val="bottom"/>
            <w:hideMark/>
          </w:tcPr>
          <w:p w14:paraId="126BBDA8"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0.53</w:t>
            </w:r>
          </w:p>
        </w:tc>
        <w:tc>
          <w:tcPr>
            <w:tcW w:w="959" w:type="dxa"/>
            <w:tcBorders>
              <w:top w:val="nil"/>
              <w:left w:val="nil"/>
              <w:bottom w:val="nil"/>
              <w:right w:val="nil"/>
            </w:tcBorders>
            <w:shd w:val="clear" w:color="auto" w:fill="auto"/>
            <w:noWrap/>
            <w:vAlign w:val="bottom"/>
            <w:hideMark/>
          </w:tcPr>
          <w:p w14:paraId="4A579532"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3.47</w:t>
            </w:r>
          </w:p>
        </w:tc>
        <w:tc>
          <w:tcPr>
            <w:tcW w:w="876" w:type="dxa"/>
            <w:tcBorders>
              <w:top w:val="nil"/>
              <w:left w:val="nil"/>
              <w:bottom w:val="nil"/>
              <w:right w:val="nil"/>
            </w:tcBorders>
            <w:shd w:val="clear" w:color="auto" w:fill="auto"/>
            <w:noWrap/>
            <w:vAlign w:val="bottom"/>
            <w:hideMark/>
          </w:tcPr>
          <w:p w14:paraId="1D037DBA"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0.001</w:t>
            </w:r>
          </w:p>
        </w:tc>
      </w:tr>
      <w:tr w:rsidR="00CF4E1A" w:rsidRPr="00CF4E1A" w14:paraId="0D3982E4" w14:textId="77777777" w:rsidTr="00CF4E1A">
        <w:trPr>
          <w:trHeight w:val="290"/>
        </w:trPr>
        <w:tc>
          <w:tcPr>
            <w:tcW w:w="3460" w:type="dxa"/>
            <w:tcBorders>
              <w:top w:val="nil"/>
              <w:left w:val="nil"/>
              <w:bottom w:val="nil"/>
              <w:right w:val="nil"/>
            </w:tcBorders>
            <w:shd w:val="clear" w:color="auto" w:fill="auto"/>
            <w:noWrap/>
            <w:vAlign w:val="bottom"/>
            <w:hideMark/>
          </w:tcPr>
          <w:p w14:paraId="1DF75AC6" w14:textId="77777777" w:rsidR="00CF4E1A" w:rsidRPr="00CF4E1A" w:rsidRDefault="00CF4E1A" w:rsidP="00CF4E1A">
            <w:pPr>
              <w:spacing w:after="0" w:line="240" w:lineRule="auto"/>
              <w:rPr>
                <w:rFonts w:ascii="Calibri" w:eastAsia="Times New Roman" w:hAnsi="Calibri" w:cs="Calibri"/>
                <w:lang w:eastAsia="pl-PL"/>
              </w:rPr>
            </w:pPr>
            <w:r w:rsidRPr="00CF4E1A">
              <w:rPr>
                <w:rFonts w:ascii="Calibri" w:eastAsia="Times New Roman" w:hAnsi="Calibri" w:cs="Calibri"/>
                <w:lang w:eastAsia="pl-PL"/>
              </w:rPr>
              <w:t>trip type (ST)</w:t>
            </w:r>
          </w:p>
        </w:tc>
        <w:tc>
          <w:tcPr>
            <w:tcW w:w="1055" w:type="dxa"/>
            <w:tcBorders>
              <w:top w:val="nil"/>
              <w:left w:val="nil"/>
              <w:bottom w:val="nil"/>
              <w:right w:val="nil"/>
            </w:tcBorders>
            <w:shd w:val="clear" w:color="auto" w:fill="auto"/>
            <w:noWrap/>
            <w:vAlign w:val="bottom"/>
            <w:hideMark/>
          </w:tcPr>
          <w:p w14:paraId="35621D65"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6.25</w:t>
            </w:r>
          </w:p>
        </w:tc>
        <w:tc>
          <w:tcPr>
            <w:tcW w:w="551" w:type="dxa"/>
            <w:tcBorders>
              <w:top w:val="nil"/>
              <w:left w:val="nil"/>
              <w:bottom w:val="nil"/>
              <w:right w:val="nil"/>
            </w:tcBorders>
            <w:shd w:val="clear" w:color="auto" w:fill="auto"/>
            <w:noWrap/>
            <w:vAlign w:val="bottom"/>
            <w:hideMark/>
          </w:tcPr>
          <w:p w14:paraId="100E7FC4"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3.01</w:t>
            </w:r>
          </w:p>
        </w:tc>
        <w:tc>
          <w:tcPr>
            <w:tcW w:w="959" w:type="dxa"/>
            <w:tcBorders>
              <w:top w:val="nil"/>
              <w:left w:val="nil"/>
              <w:bottom w:val="nil"/>
              <w:right w:val="nil"/>
            </w:tcBorders>
            <w:shd w:val="clear" w:color="auto" w:fill="auto"/>
            <w:noWrap/>
            <w:vAlign w:val="bottom"/>
            <w:hideMark/>
          </w:tcPr>
          <w:p w14:paraId="17482E0A"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2.08</w:t>
            </w:r>
          </w:p>
        </w:tc>
        <w:tc>
          <w:tcPr>
            <w:tcW w:w="876" w:type="dxa"/>
            <w:tcBorders>
              <w:top w:val="nil"/>
              <w:left w:val="nil"/>
              <w:bottom w:val="nil"/>
              <w:right w:val="nil"/>
            </w:tcBorders>
            <w:shd w:val="clear" w:color="auto" w:fill="auto"/>
            <w:noWrap/>
            <w:vAlign w:val="bottom"/>
            <w:hideMark/>
          </w:tcPr>
          <w:p w14:paraId="471AF313"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0.04</w:t>
            </w:r>
          </w:p>
        </w:tc>
        <w:tc>
          <w:tcPr>
            <w:tcW w:w="1055" w:type="dxa"/>
            <w:tcBorders>
              <w:top w:val="nil"/>
              <w:left w:val="nil"/>
              <w:bottom w:val="nil"/>
              <w:right w:val="nil"/>
            </w:tcBorders>
            <w:shd w:val="clear" w:color="auto" w:fill="auto"/>
            <w:noWrap/>
            <w:vAlign w:val="bottom"/>
            <w:hideMark/>
          </w:tcPr>
          <w:p w14:paraId="6FEBF7A4"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2.42</w:t>
            </w:r>
          </w:p>
        </w:tc>
        <w:tc>
          <w:tcPr>
            <w:tcW w:w="551" w:type="dxa"/>
            <w:tcBorders>
              <w:top w:val="nil"/>
              <w:left w:val="nil"/>
              <w:bottom w:val="nil"/>
              <w:right w:val="nil"/>
            </w:tcBorders>
            <w:shd w:val="clear" w:color="auto" w:fill="auto"/>
            <w:noWrap/>
            <w:vAlign w:val="bottom"/>
            <w:hideMark/>
          </w:tcPr>
          <w:p w14:paraId="4A884351"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1.94</w:t>
            </w:r>
          </w:p>
        </w:tc>
        <w:tc>
          <w:tcPr>
            <w:tcW w:w="959" w:type="dxa"/>
            <w:tcBorders>
              <w:top w:val="nil"/>
              <w:left w:val="nil"/>
              <w:bottom w:val="nil"/>
              <w:right w:val="nil"/>
            </w:tcBorders>
            <w:shd w:val="clear" w:color="auto" w:fill="auto"/>
            <w:noWrap/>
            <w:vAlign w:val="bottom"/>
            <w:hideMark/>
          </w:tcPr>
          <w:p w14:paraId="688B5443"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1.25</w:t>
            </w:r>
          </w:p>
        </w:tc>
        <w:tc>
          <w:tcPr>
            <w:tcW w:w="876" w:type="dxa"/>
            <w:tcBorders>
              <w:top w:val="nil"/>
              <w:left w:val="nil"/>
              <w:bottom w:val="nil"/>
              <w:right w:val="nil"/>
            </w:tcBorders>
            <w:shd w:val="clear" w:color="auto" w:fill="auto"/>
            <w:noWrap/>
            <w:vAlign w:val="bottom"/>
            <w:hideMark/>
          </w:tcPr>
          <w:p w14:paraId="442C8660"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0.21</w:t>
            </w:r>
          </w:p>
        </w:tc>
        <w:tc>
          <w:tcPr>
            <w:tcW w:w="1055" w:type="dxa"/>
            <w:tcBorders>
              <w:top w:val="nil"/>
              <w:left w:val="nil"/>
              <w:bottom w:val="nil"/>
              <w:right w:val="nil"/>
            </w:tcBorders>
            <w:shd w:val="clear" w:color="auto" w:fill="auto"/>
            <w:noWrap/>
            <w:vAlign w:val="bottom"/>
            <w:hideMark/>
          </w:tcPr>
          <w:p w14:paraId="7B2BEA43"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2.73</w:t>
            </w:r>
          </w:p>
        </w:tc>
        <w:tc>
          <w:tcPr>
            <w:tcW w:w="551" w:type="dxa"/>
            <w:tcBorders>
              <w:top w:val="nil"/>
              <w:left w:val="nil"/>
              <w:bottom w:val="nil"/>
              <w:right w:val="nil"/>
            </w:tcBorders>
            <w:shd w:val="clear" w:color="auto" w:fill="auto"/>
            <w:noWrap/>
            <w:vAlign w:val="bottom"/>
            <w:hideMark/>
          </w:tcPr>
          <w:p w14:paraId="5EC700ED"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1.31</w:t>
            </w:r>
          </w:p>
        </w:tc>
        <w:tc>
          <w:tcPr>
            <w:tcW w:w="959" w:type="dxa"/>
            <w:tcBorders>
              <w:top w:val="nil"/>
              <w:left w:val="nil"/>
              <w:bottom w:val="nil"/>
              <w:right w:val="nil"/>
            </w:tcBorders>
            <w:shd w:val="clear" w:color="auto" w:fill="auto"/>
            <w:noWrap/>
            <w:vAlign w:val="bottom"/>
            <w:hideMark/>
          </w:tcPr>
          <w:p w14:paraId="137B7637"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2.08</w:t>
            </w:r>
          </w:p>
        </w:tc>
        <w:tc>
          <w:tcPr>
            <w:tcW w:w="876" w:type="dxa"/>
            <w:tcBorders>
              <w:top w:val="nil"/>
              <w:left w:val="nil"/>
              <w:bottom w:val="nil"/>
              <w:right w:val="nil"/>
            </w:tcBorders>
            <w:shd w:val="clear" w:color="auto" w:fill="auto"/>
            <w:noWrap/>
            <w:vAlign w:val="bottom"/>
            <w:hideMark/>
          </w:tcPr>
          <w:p w14:paraId="0272E7F6"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0.04</w:t>
            </w:r>
          </w:p>
        </w:tc>
      </w:tr>
      <w:tr w:rsidR="00CF4E1A" w:rsidRPr="00CF4E1A" w14:paraId="1EDFE386" w14:textId="77777777" w:rsidTr="00CF4E1A">
        <w:trPr>
          <w:trHeight w:val="290"/>
        </w:trPr>
        <w:tc>
          <w:tcPr>
            <w:tcW w:w="3460" w:type="dxa"/>
            <w:tcBorders>
              <w:top w:val="nil"/>
              <w:left w:val="nil"/>
              <w:bottom w:val="nil"/>
              <w:right w:val="nil"/>
            </w:tcBorders>
            <w:shd w:val="clear" w:color="auto" w:fill="auto"/>
            <w:noWrap/>
            <w:vAlign w:val="bottom"/>
            <w:hideMark/>
          </w:tcPr>
          <w:p w14:paraId="725F12FC" w14:textId="394DA79D" w:rsidR="00CF4E1A" w:rsidRPr="00CF4E1A" w:rsidRDefault="00F41149" w:rsidP="00CF4E1A">
            <w:pPr>
              <w:spacing w:after="0" w:line="240" w:lineRule="auto"/>
              <w:rPr>
                <w:rFonts w:ascii="Calibri" w:eastAsia="Times New Roman" w:hAnsi="Calibri" w:cs="Calibri"/>
                <w:lang w:eastAsia="pl-PL"/>
              </w:rPr>
            </w:pPr>
            <w:r>
              <w:rPr>
                <w:rFonts w:ascii="Calibri" w:eastAsia="Times New Roman" w:hAnsi="Calibri" w:cs="Calibri"/>
                <w:lang w:eastAsia="pl-PL"/>
              </w:rPr>
              <w:t>year</w:t>
            </w:r>
            <w:r w:rsidR="00CF4E1A" w:rsidRPr="00CF4E1A">
              <w:rPr>
                <w:rFonts w:ascii="Calibri" w:eastAsia="Times New Roman" w:hAnsi="Calibri" w:cs="Calibri"/>
                <w:lang w:eastAsia="pl-PL"/>
              </w:rPr>
              <w:t>2018</w:t>
            </w:r>
          </w:p>
        </w:tc>
        <w:tc>
          <w:tcPr>
            <w:tcW w:w="1055" w:type="dxa"/>
            <w:tcBorders>
              <w:top w:val="nil"/>
              <w:left w:val="nil"/>
              <w:bottom w:val="nil"/>
              <w:right w:val="nil"/>
            </w:tcBorders>
            <w:shd w:val="clear" w:color="auto" w:fill="auto"/>
            <w:noWrap/>
            <w:vAlign w:val="bottom"/>
            <w:hideMark/>
          </w:tcPr>
          <w:p w14:paraId="44683A2F"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0.23</w:t>
            </w:r>
          </w:p>
        </w:tc>
        <w:tc>
          <w:tcPr>
            <w:tcW w:w="551" w:type="dxa"/>
            <w:tcBorders>
              <w:top w:val="nil"/>
              <w:left w:val="nil"/>
              <w:bottom w:val="nil"/>
              <w:right w:val="nil"/>
            </w:tcBorders>
            <w:shd w:val="clear" w:color="auto" w:fill="auto"/>
            <w:noWrap/>
            <w:vAlign w:val="bottom"/>
            <w:hideMark/>
          </w:tcPr>
          <w:p w14:paraId="6D8CF650"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2.04</w:t>
            </w:r>
          </w:p>
        </w:tc>
        <w:tc>
          <w:tcPr>
            <w:tcW w:w="959" w:type="dxa"/>
            <w:tcBorders>
              <w:top w:val="nil"/>
              <w:left w:val="nil"/>
              <w:bottom w:val="nil"/>
              <w:right w:val="nil"/>
            </w:tcBorders>
            <w:shd w:val="clear" w:color="auto" w:fill="auto"/>
            <w:noWrap/>
            <w:vAlign w:val="bottom"/>
            <w:hideMark/>
          </w:tcPr>
          <w:p w14:paraId="53D241B7"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0.11</w:t>
            </w:r>
          </w:p>
        </w:tc>
        <w:tc>
          <w:tcPr>
            <w:tcW w:w="876" w:type="dxa"/>
            <w:tcBorders>
              <w:top w:val="nil"/>
              <w:left w:val="nil"/>
              <w:bottom w:val="nil"/>
              <w:right w:val="nil"/>
            </w:tcBorders>
            <w:shd w:val="clear" w:color="auto" w:fill="auto"/>
            <w:noWrap/>
            <w:vAlign w:val="bottom"/>
            <w:hideMark/>
          </w:tcPr>
          <w:p w14:paraId="442FDDA0"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0.91</w:t>
            </w:r>
          </w:p>
        </w:tc>
        <w:tc>
          <w:tcPr>
            <w:tcW w:w="1055" w:type="dxa"/>
            <w:tcBorders>
              <w:top w:val="nil"/>
              <w:left w:val="nil"/>
              <w:bottom w:val="nil"/>
              <w:right w:val="nil"/>
            </w:tcBorders>
            <w:shd w:val="clear" w:color="auto" w:fill="auto"/>
            <w:noWrap/>
            <w:vAlign w:val="bottom"/>
            <w:hideMark/>
          </w:tcPr>
          <w:p w14:paraId="7B561C49"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2.36</w:t>
            </w:r>
          </w:p>
        </w:tc>
        <w:tc>
          <w:tcPr>
            <w:tcW w:w="551" w:type="dxa"/>
            <w:tcBorders>
              <w:top w:val="nil"/>
              <w:left w:val="nil"/>
              <w:bottom w:val="nil"/>
              <w:right w:val="nil"/>
            </w:tcBorders>
            <w:shd w:val="clear" w:color="auto" w:fill="auto"/>
            <w:noWrap/>
            <w:vAlign w:val="bottom"/>
            <w:hideMark/>
          </w:tcPr>
          <w:p w14:paraId="31882291"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2.24</w:t>
            </w:r>
          </w:p>
        </w:tc>
        <w:tc>
          <w:tcPr>
            <w:tcW w:w="959" w:type="dxa"/>
            <w:tcBorders>
              <w:top w:val="nil"/>
              <w:left w:val="nil"/>
              <w:bottom w:val="nil"/>
              <w:right w:val="nil"/>
            </w:tcBorders>
            <w:shd w:val="clear" w:color="auto" w:fill="auto"/>
            <w:noWrap/>
            <w:vAlign w:val="bottom"/>
            <w:hideMark/>
          </w:tcPr>
          <w:p w14:paraId="4EA2ECDE"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1.05</w:t>
            </w:r>
          </w:p>
        </w:tc>
        <w:tc>
          <w:tcPr>
            <w:tcW w:w="876" w:type="dxa"/>
            <w:tcBorders>
              <w:top w:val="nil"/>
              <w:left w:val="nil"/>
              <w:bottom w:val="nil"/>
              <w:right w:val="nil"/>
            </w:tcBorders>
            <w:shd w:val="clear" w:color="auto" w:fill="auto"/>
            <w:noWrap/>
            <w:vAlign w:val="bottom"/>
            <w:hideMark/>
          </w:tcPr>
          <w:p w14:paraId="5B65D278"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0.29</w:t>
            </w:r>
          </w:p>
        </w:tc>
        <w:tc>
          <w:tcPr>
            <w:tcW w:w="1055" w:type="dxa"/>
            <w:tcBorders>
              <w:top w:val="nil"/>
              <w:left w:val="nil"/>
              <w:bottom w:val="nil"/>
              <w:right w:val="nil"/>
            </w:tcBorders>
            <w:shd w:val="clear" w:color="auto" w:fill="auto"/>
            <w:noWrap/>
            <w:vAlign w:val="bottom"/>
            <w:hideMark/>
          </w:tcPr>
          <w:p w14:paraId="6C482CEB"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6.20</w:t>
            </w:r>
          </w:p>
        </w:tc>
        <w:tc>
          <w:tcPr>
            <w:tcW w:w="551" w:type="dxa"/>
            <w:tcBorders>
              <w:top w:val="nil"/>
              <w:left w:val="nil"/>
              <w:bottom w:val="nil"/>
              <w:right w:val="nil"/>
            </w:tcBorders>
            <w:shd w:val="clear" w:color="auto" w:fill="auto"/>
            <w:noWrap/>
            <w:vAlign w:val="bottom"/>
            <w:hideMark/>
          </w:tcPr>
          <w:p w14:paraId="27F01FB8"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2.64</w:t>
            </w:r>
          </w:p>
        </w:tc>
        <w:tc>
          <w:tcPr>
            <w:tcW w:w="959" w:type="dxa"/>
            <w:tcBorders>
              <w:top w:val="nil"/>
              <w:left w:val="nil"/>
              <w:bottom w:val="nil"/>
              <w:right w:val="nil"/>
            </w:tcBorders>
            <w:shd w:val="clear" w:color="auto" w:fill="auto"/>
            <w:noWrap/>
            <w:vAlign w:val="bottom"/>
            <w:hideMark/>
          </w:tcPr>
          <w:p w14:paraId="41FDA27F"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2.35</w:t>
            </w:r>
          </w:p>
        </w:tc>
        <w:tc>
          <w:tcPr>
            <w:tcW w:w="876" w:type="dxa"/>
            <w:tcBorders>
              <w:top w:val="nil"/>
              <w:left w:val="nil"/>
              <w:bottom w:val="nil"/>
              <w:right w:val="nil"/>
            </w:tcBorders>
            <w:shd w:val="clear" w:color="auto" w:fill="auto"/>
            <w:noWrap/>
            <w:vAlign w:val="bottom"/>
            <w:hideMark/>
          </w:tcPr>
          <w:p w14:paraId="3A4FB502"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0.02</w:t>
            </w:r>
          </w:p>
        </w:tc>
      </w:tr>
      <w:tr w:rsidR="00CF4E1A" w:rsidRPr="00CF4E1A" w14:paraId="585A121C" w14:textId="77777777" w:rsidTr="00CF4E1A">
        <w:trPr>
          <w:trHeight w:val="290"/>
        </w:trPr>
        <w:tc>
          <w:tcPr>
            <w:tcW w:w="3460" w:type="dxa"/>
            <w:tcBorders>
              <w:top w:val="nil"/>
              <w:left w:val="nil"/>
              <w:bottom w:val="nil"/>
              <w:right w:val="nil"/>
            </w:tcBorders>
            <w:shd w:val="clear" w:color="auto" w:fill="auto"/>
            <w:noWrap/>
            <w:vAlign w:val="bottom"/>
            <w:hideMark/>
          </w:tcPr>
          <w:p w14:paraId="0E283E56" w14:textId="6F30B7B9" w:rsidR="00CF4E1A" w:rsidRPr="00CF4E1A" w:rsidRDefault="00F41149" w:rsidP="00CF4E1A">
            <w:pPr>
              <w:spacing w:after="0" w:line="240" w:lineRule="auto"/>
              <w:rPr>
                <w:rFonts w:ascii="Calibri" w:eastAsia="Times New Roman" w:hAnsi="Calibri" w:cs="Calibri"/>
                <w:lang w:eastAsia="pl-PL"/>
              </w:rPr>
            </w:pPr>
            <w:r>
              <w:rPr>
                <w:rFonts w:ascii="Calibri" w:eastAsia="Times New Roman" w:hAnsi="Calibri" w:cs="Calibri"/>
                <w:lang w:eastAsia="pl-PL"/>
              </w:rPr>
              <w:t>year</w:t>
            </w:r>
            <w:r w:rsidR="00CF4E1A" w:rsidRPr="00CF4E1A">
              <w:rPr>
                <w:rFonts w:ascii="Calibri" w:eastAsia="Times New Roman" w:hAnsi="Calibri" w:cs="Calibri"/>
                <w:lang w:eastAsia="pl-PL"/>
              </w:rPr>
              <w:t>2019</w:t>
            </w:r>
          </w:p>
        </w:tc>
        <w:tc>
          <w:tcPr>
            <w:tcW w:w="1055" w:type="dxa"/>
            <w:tcBorders>
              <w:top w:val="nil"/>
              <w:left w:val="nil"/>
              <w:bottom w:val="nil"/>
              <w:right w:val="nil"/>
            </w:tcBorders>
            <w:shd w:val="clear" w:color="auto" w:fill="auto"/>
            <w:noWrap/>
            <w:vAlign w:val="bottom"/>
            <w:hideMark/>
          </w:tcPr>
          <w:p w14:paraId="38EC14A0"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12.42</w:t>
            </w:r>
          </w:p>
        </w:tc>
        <w:tc>
          <w:tcPr>
            <w:tcW w:w="551" w:type="dxa"/>
            <w:tcBorders>
              <w:top w:val="nil"/>
              <w:left w:val="nil"/>
              <w:bottom w:val="nil"/>
              <w:right w:val="nil"/>
            </w:tcBorders>
            <w:shd w:val="clear" w:color="auto" w:fill="auto"/>
            <w:noWrap/>
            <w:vAlign w:val="bottom"/>
            <w:hideMark/>
          </w:tcPr>
          <w:p w14:paraId="53E01E7B"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4.08</w:t>
            </w:r>
          </w:p>
        </w:tc>
        <w:tc>
          <w:tcPr>
            <w:tcW w:w="959" w:type="dxa"/>
            <w:tcBorders>
              <w:top w:val="nil"/>
              <w:left w:val="nil"/>
              <w:bottom w:val="nil"/>
              <w:right w:val="nil"/>
            </w:tcBorders>
            <w:shd w:val="clear" w:color="auto" w:fill="auto"/>
            <w:noWrap/>
            <w:vAlign w:val="bottom"/>
            <w:hideMark/>
          </w:tcPr>
          <w:p w14:paraId="57FE4526"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3.04</w:t>
            </w:r>
          </w:p>
        </w:tc>
        <w:tc>
          <w:tcPr>
            <w:tcW w:w="876" w:type="dxa"/>
            <w:tcBorders>
              <w:top w:val="nil"/>
              <w:left w:val="nil"/>
              <w:bottom w:val="nil"/>
              <w:right w:val="nil"/>
            </w:tcBorders>
            <w:shd w:val="clear" w:color="auto" w:fill="auto"/>
            <w:noWrap/>
            <w:vAlign w:val="bottom"/>
            <w:hideMark/>
          </w:tcPr>
          <w:p w14:paraId="50AFB54B"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0.003</w:t>
            </w:r>
          </w:p>
        </w:tc>
        <w:tc>
          <w:tcPr>
            <w:tcW w:w="1055" w:type="dxa"/>
            <w:tcBorders>
              <w:top w:val="nil"/>
              <w:left w:val="nil"/>
              <w:bottom w:val="nil"/>
              <w:right w:val="nil"/>
            </w:tcBorders>
            <w:shd w:val="clear" w:color="auto" w:fill="auto"/>
            <w:noWrap/>
            <w:vAlign w:val="bottom"/>
            <w:hideMark/>
          </w:tcPr>
          <w:p w14:paraId="7FCAED10"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0.61</w:t>
            </w:r>
          </w:p>
        </w:tc>
        <w:tc>
          <w:tcPr>
            <w:tcW w:w="551" w:type="dxa"/>
            <w:tcBorders>
              <w:top w:val="nil"/>
              <w:left w:val="nil"/>
              <w:bottom w:val="nil"/>
              <w:right w:val="nil"/>
            </w:tcBorders>
            <w:shd w:val="clear" w:color="auto" w:fill="auto"/>
            <w:noWrap/>
            <w:vAlign w:val="bottom"/>
            <w:hideMark/>
          </w:tcPr>
          <w:p w14:paraId="26F57174"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1.49</w:t>
            </w:r>
          </w:p>
        </w:tc>
        <w:tc>
          <w:tcPr>
            <w:tcW w:w="959" w:type="dxa"/>
            <w:tcBorders>
              <w:top w:val="nil"/>
              <w:left w:val="nil"/>
              <w:bottom w:val="nil"/>
              <w:right w:val="nil"/>
            </w:tcBorders>
            <w:shd w:val="clear" w:color="auto" w:fill="auto"/>
            <w:noWrap/>
            <w:vAlign w:val="bottom"/>
            <w:hideMark/>
          </w:tcPr>
          <w:p w14:paraId="310E45AF"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0.41</w:t>
            </w:r>
          </w:p>
        </w:tc>
        <w:tc>
          <w:tcPr>
            <w:tcW w:w="876" w:type="dxa"/>
            <w:tcBorders>
              <w:top w:val="nil"/>
              <w:left w:val="nil"/>
              <w:bottom w:val="nil"/>
              <w:right w:val="nil"/>
            </w:tcBorders>
            <w:shd w:val="clear" w:color="auto" w:fill="auto"/>
            <w:noWrap/>
            <w:vAlign w:val="bottom"/>
            <w:hideMark/>
          </w:tcPr>
          <w:p w14:paraId="0B941C8D"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0.68</w:t>
            </w:r>
          </w:p>
        </w:tc>
        <w:tc>
          <w:tcPr>
            <w:tcW w:w="1055" w:type="dxa"/>
            <w:tcBorders>
              <w:top w:val="nil"/>
              <w:left w:val="nil"/>
              <w:bottom w:val="nil"/>
              <w:right w:val="nil"/>
            </w:tcBorders>
            <w:shd w:val="clear" w:color="auto" w:fill="auto"/>
            <w:noWrap/>
            <w:vAlign w:val="bottom"/>
            <w:hideMark/>
          </w:tcPr>
          <w:p w14:paraId="4C17F5C2"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3.09</w:t>
            </w:r>
          </w:p>
        </w:tc>
        <w:tc>
          <w:tcPr>
            <w:tcW w:w="551" w:type="dxa"/>
            <w:tcBorders>
              <w:top w:val="nil"/>
              <w:left w:val="nil"/>
              <w:bottom w:val="nil"/>
              <w:right w:val="nil"/>
            </w:tcBorders>
            <w:shd w:val="clear" w:color="auto" w:fill="auto"/>
            <w:noWrap/>
            <w:vAlign w:val="bottom"/>
            <w:hideMark/>
          </w:tcPr>
          <w:p w14:paraId="4E3BF795"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1.31</w:t>
            </w:r>
          </w:p>
        </w:tc>
        <w:tc>
          <w:tcPr>
            <w:tcW w:w="959" w:type="dxa"/>
            <w:tcBorders>
              <w:top w:val="nil"/>
              <w:left w:val="nil"/>
              <w:bottom w:val="nil"/>
              <w:right w:val="nil"/>
            </w:tcBorders>
            <w:shd w:val="clear" w:color="auto" w:fill="auto"/>
            <w:noWrap/>
            <w:vAlign w:val="bottom"/>
            <w:hideMark/>
          </w:tcPr>
          <w:p w14:paraId="6D95DC61"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2.36</w:t>
            </w:r>
          </w:p>
        </w:tc>
        <w:tc>
          <w:tcPr>
            <w:tcW w:w="876" w:type="dxa"/>
            <w:tcBorders>
              <w:top w:val="nil"/>
              <w:left w:val="nil"/>
              <w:bottom w:val="nil"/>
              <w:right w:val="nil"/>
            </w:tcBorders>
            <w:shd w:val="clear" w:color="auto" w:fill="auto"/>
            <w:noWrap/>
            <w:vAlign w:val="bottom"/>
            <w:hideMark/>
          </w:tcPr>
          <w:p w14:paraId="2934597E"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0.02</w:t>
            </w:r>
          </w:p>
        </w:tc>
      </w:tr>
      <w:tr w:rsidR="00CF4E1A" w:rsidRPr="00CF4E1A" w14:paraId="5AE2781E" w14:textId="77777777" w:rsidTr="00CF4E1A">
        <w:trPr>
          <w:trHeight w:val="290"/>
        </w:trPr>
        <w:tc>
          <w:tcPr>
            <w:tcW w:w="3460" w:type="dxa"/>
            <w:tcBorders>
              <w:top w:val="nil"/>
              <w:left w:val="nil"/>
              <w:bottom w:val="nil"/>
              <w:right w:val="nil"/>
            </w:tcBorders>
            <w:shd w:val="clear" w:color="auto" w:fill="auto"/>
            <w:noWrap/>
            <w:vAlign w:val="bottom"/>
            <w:hideMark/>
          </w:tcPr>
          <w:p w14:paraId="1275A620" w14:textId="62273318" w:rsidR="00CF4E1A" w:rsidRPr="00CF4E1A" w:rsidRDefault="00F41149" w:rsidP="00CF4E1A">
            <w:pPr>
              <w:spacing w:after="0" w:line="240" w:lineRule="auto"/>
              <w:rPr>
                <w:rFonts w:ascii="Calibri" w:eastAsia="Times New Roman" w:hAnsi="Calibri" w:cs="Calibri"/>
                <w:lang w:eastAsia="pl-PL"/>
              </w:rPr>
            </w:pPr>
            <w:r>
              <w:rPr>
                <w:rFonts w:ascii="Calibri" w:eastAsia="Times New Roman" w:hAnsi="Calibri" w:cs="Calibri"/>
                <w:lang w:eastAsia="pl-PL"/>
              </w:rPr>
              <w:t>year</w:t>
            </w:r>
            <w:r w:rsidR="00CF4E1A" w:rsidRPr="00CF4E1A">
              <w:rPr>
                <w:rFonts w:ascii="Calibri" w:eastAsia="Times New Roman" w:hAnsi="Calibri" w:cs="Calibri"/>
                <w:lang w:eastAsia="pl-PL"/>
              </w:rPr>
              <w:t>2020</w:t>
            </w:r>
          </w:p>
        </w:tc>
        <w:tc>
          <w:tcPr>
            <w:tcW w:w="1055" w:type="dxa"/>
            <w:tcBorders>
              <w:top w:val="nil"/>
              <w:left w:val="nil"/>
              <w:bottom w:val="nil"/>
              <w:right w:val="nil"/>
            </w:tcBorders>
            <w:shd w:val="clear" w:color="auto" w:fill="auto"/>
            <w:noWrap/>
            <w:vAlign w:val="bottom"/>
            <w:hideMark/>
          </w:tcPr>
          <w:p w14:paraId="4672C6F5"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2.43</w:t>
            </w:r>
          </w:p>
        </w:tc>
        <w:tc>
          <w:tcPr>
            <w:tcW w:w="551" w:type="dxa"/>
            <w:tcBorders>
              <w:top w:val="nil"/>
              <w:left w:val="nil"/>
              <w:bottom w:val="nil"/>
              <w:right w:val="nil"/>
            </w:tcBorders>
            <w:shd w:val="clear" w:color="auto" w:fill="auto"/>
            <w:noWrap/>
            <w:vAlign w:val="bottom"/>
            <w:hideMark/>
          </w:tcPr>
          <w:p w14:paraId="3C477AB9"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2.02</w:t>
            </w:r>
          </w:p>
        </w:tc>
        <w:tc>
          <w:tcPr>
            <w:tcW w:w="959" w:type="dxa"/>
            <w:tcBorders>
              <w:top w:val="nil"/>
              <w:left w:val="nil"/>
              <w:bottom w:val="nil"/>
              <w:right w:val="nil"/>
            </w:tcBorders>
            <w:shd w:val="clear" w:color="auto" w:fill="auto"/>
            <w:noWrap/>
            <w:vAlign w:val="bottom"/>
            <w:hideMark/>
          </w:tcPr>
          <w:p w14:paraId="1D3BDD42"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1.21</w:t>
            </w:r>
          </w:p>
        </w:tc>
        <w:tc>
          <w:tcPr>
            <w:tcW w:w="876" w:type="dxa"/>
            <w:tcBorders>
              <w:top w:val="nil"/>
              <w:left w:val="nil"/>
              <w:bottom w:val="nil"/>
              <w:right w:val="nil"/>
            </w:tcBorders>
            <w:shd w:val="clear" w:color="auto" w:fill="auto"/>
            <w:noWrap/>
            <w:vAlign w:val="bottom"/>
            <w:hideMark/>
          </w:tcPr>
          <w:p w14:paraId="1CA3DC7C"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0.23</w:t>
            </w:r>
          </w:p>
        </w:tc>
        <w:tc>
          <w:tcPr>
            <w:tcW w:w="1055" w:type="dxa"/>
            <w:tcBorders>
              <w:top w:val="nil"/>
              <w:left w:val="nil"/>
              <w:bottom w:val="nil"/>
              <w:right w:val="nil"/>
            </w:tcBorders>
            <w:shd w:val="clear" w:color="auto" w:fill="auto"/>
            <w:noWrap/>
            <w:vAlign w:val="bottom"/>
            <w:hideMark/>
          </w:tcPr>
          <w:p w14:paraId="554E3AAA"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-1.47</w:t>
            </w:r>
          </w:p>
        </w:tc>
        <w:tc>
          <w:tcPr>
            <w:tcW w:w="551" w:type="dxa"/>
            <w:tcBorders>
              <w:top w:val="nil"/>
              <w:left w:val="nil"/>
              <w:bottom w:val="nil"/>
              <w:right w:val="nil"/>
            </w:tcBorders>
            <w:shd w:val="clear" w:color="auto" w:fill="auto"/>
            <w:noWrap/>
            <w:vAlign w:val="bottom"/>
            <w:hideMark/>
          </w:tcPr>
          <w:p w14:paraId="352D7FBF"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1.16</w:t>
            </w:r>
          </w:p>
        </w:tc>
        <w:tc>
          <w:tcPr>
            <w:tcW w:w="959" w:type="dxa"/>
            <w:tcBorders>
              <w:top w:val="nil"/>
              <w:left w:val="nil"/>
              <w:bottom w:val="nil"/>
              <w:right w:val="nil"/>
            </w:tcBorders>
            <w:shd w:val="clear" w:color="auto" w:fill="auto"/>
            <w:noWrap/>
            <w:vAlign w:val="bottom"/>
            <w:hideMark/>
          </w:tcPr>
          <w:p w14:paraId="2D8AA31F"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-1.27</w:t>
            </w:r>
          </w:p>
        </w:tc>
        <w:tc>
          <w:tcPr>
            <w:tcW w:w="876" w:type="dxa"/>
            <w:tcBorders>
              <w:top w:val="nil"/>
              <w:left w:val="nil"/>
              <w:bottom w:val="nil"/>
              <w:right w:val="nil"/>
            </w:tcBorders>
            <w:shd w:val="clear" w:color="auto" w:fill="auto"/>
            <w:noWrap/>
            <w:vAlign w:val="bottom"/>
            <w:hideMark/>
          </w:tcPr>
          <w:p w14:paraId="3AA0A2D8"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0.21</w:t>
            </w:r>
          </w:p>
        </w:tc>
        <w:tc>
          <w:tcPr>
            <w:tcW w:w="1055" w:type="dxa"/>
            <w:tcBorders>
              <w:top w:val="nil"/>
              <w:left w:val="nil"/>
              <w:bottom w:val="nil"/>
              <w:right w:val="nil"/>
            </w:tcBorders>
            <w:shd w:val="clear" w:color="auto" w:fill="auto"/>
            <w:noWrap/>
            <w:vAlign w:val="bottom"/>
            <w:hideMark/>
          </w:tcPr>
          <w:p w14:paraId="3F94165B"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3.92</w:t>
            </w:r>
          </w:p>
        </w:tc>
        <w:tc>
          <w:tcPr>
            <w:tcW w:w="551" w:type="dxa"/>
            <w:tcBorders>
              <w:top w:val="nil"/>
              <w:left w:val="nil"/>
              <w:bottom w:val="nil"/>
              <w:right w:val="nil"/>
            </w:tcBorders>
            <w:shd w:val="clear" w:color="auto" w:fill="auto"/>
            <w:noWrap/>
            <w:vAlign w:val="bottom"/>
            <w:hideMark/>
          </w:tcPr>
          <w:p w14:paraId="2F2A6B64"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1.39</w:t>
            </w:r>
          </w:p>
        </w:tc>
        <w:tc>
          <w:tcPr>
            <w:tcW w:w="959" w:type="dxa"/>
            <w:tcBorders>
              <w:top w:val="nil"/>
              <w:left w:val="nil"/>
              <w:bottom w:val="nil"/>
              <w:right w:val="nil"/>
            </w:tcBorders>
            <w:shd w:val="clear" w:color="auto" w:fill="auto"/>
            <w:noWrap/>
            <w:vAlign w:val="bottom"/>
            <w:hideMark/>
          </w:tcPr>
          <w:p w14:paraId="09669600"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2.83</w:t>
            </w:r>
          </w:p>
        </w:tc>
        <w:tc>
          <w:tcPr>
            <w:tcW w:w="876" w:type="dxa"/>
            <w:tcBorders>
              <w:top w:val="nil"/>
              <w:left w:val="nil"/>
              <w:bottom w:val="nil"/>
              <w:right w:val="nil"/>
            </w:tcBorders>
            <w:shd w:val="clear" w:color="auto" w:fill="auto"/>
            <w:noWrap/>
            <w:vAlign w:val="bottom"/>
            <w:hideMark/>
          </w:tcPr>
          <w:p w14:paraId="3F953A18"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0.01</w:t>
            </w:r>
          </w:p>
        </w:tc>
      </w:tr>
      <w:tr w:rsidR="00CF4E1A" w:rsidRPr="00CF4E1A" w14:paraId="0172BDCA" w14:textId="77777777" w:rsidTr="00CF4E1A">
        <w:trPr>
          <w:trHeight w:val="290"/>
        </w:trPr>
        <w:tc>
          <w:tcPr>
            <w:tcW w:w="3460" w:type="dxa"/>
            <w:tcBorders>
              <w:top w:val="nil"/>
              <w:left w:val="nil"/>
              <w:bottom w:val="nil"/>
              <w:right w:val="nil"/>
            </w:tcBorders>
            <w:shd w:val="clear" w:color="auto" w:fill="auto"/>
            <w:noWrap/>
            <w:vAlign w:val="bottom"/>
            <w:hideMark/>
          </w:tcPr>
          <w:p w14:paraId="3D270917" w14:textId="77777777" w:rsidR="00CF4E1A" w:rsidRPr="00CF4E1A" w:rsidRDefault="00CF4E1A" w:rsidP="00CF4E1A">
            <w:pPr>
              <w:spacing w:after="0" w:line="240" w:lineRule="auto"/>
              <w:rPr>
                <w:rFonts w:ascii="Calibri" w:eastAsia="Times New Roman" w:hAnsi="Calibri" w:cs="Calibri"/>
                <w:lang w:eastAsia="pl-PL"/>
              </w:rPr>
            </w:pPr>
            <w:r w:rsidRPr="00CF4E1A">
              <w:rPr>
                <w:rFonts w:ascii="Calibri" w:eastAsia="Times New Roman" w:hAnsi="Calibri" w:cs="Calibri"/>
                <w:lang w:eastAsia="pl-PL"/>
              </w:rPr>
              <w:t>sex (m)</w:t>
            </w:r>
          </w:p>
        </w:tc>
        <w:tc>
          <w:tcPr>
            <w:tcW w:w="1055" w:type="dxa"/>
            <w:tcBorders>
              <w:top w:val="nil"/>
              <w:left w:val="nil"/>
              <w:bottom w:val="nil"/>
              <w:right w:val="nil"/>
            </w:tcBorders>
            <w:shd w:val="clear" w:color="auto" w:fill="auto"/>
            <w:noWrap/>
            <w:vAlign w:val="bottom"/>
            <w:hideMark/>
          </w:tcPr>
          <w:p w14:paraId="1D948A4E"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0.69</w:t>
            </w:r>
          </w:p>
        </w:tc>
        <w:tc>
          <w:tcPr>
            <w:tcW w:w="551" w:type="dxa"/>
            <w:tcBorders>
              <w:top w:val="nil"/>
              <w:left w:val="nil"/>
              <w:bottom w:val="nil"/>
              <w:right w:val="nil"/>
            </w:tcBorders>
            <w:shd w:val="clear" w:color="auto" w:fill="auto"/>
            <w:noWrap/>
            <w:vAlign w:val="bottom"/>
            <w:hideMark/>
          </w:tcPr>
          <w:p w14:paraId="668A88BB"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2.09</w:t>
            </w:r>
          </w:p>
        </w:tc>
        <w:tc>
          <w:tcPr>
            <w:tcW w:w="959" w:type="dxa"/>
            <w:tcBorders>
              <w:top w:val="nil"/>
              <w:left w:val="nil"/>
              <w:bottom w:val="nil"/>
              <w:right w:val="nil"/>
            </w:tcBorders>
            <w:shd w:val="clear" w:color="auto" w:fill="auto"/>
            <w:noWrap/>
            <w:vAlign w:val="bottom"/>
            <w:hideMark/>
          </w:tcPr>
          <w:p w14:paraId="6BAC6930"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0.33</w:t>
            </w:r>
          </w:p>
        </w:tc>
        <w:tc>
          <w:tcPr>
            <w:tcW w:w="876" w:type="dxa"/>
            <w:tcBorders>
              <w:top w:val="nil"/>
              <w:left w:val="nil"/>
              <w:bottom w:val="nil"/>
              <w:right w:val="nil"/>
            </w:tcBorders>
            <w:shd w:val="clear" w:color="auto" w:fill="auto"/>
            <w:noWrap/>
            <w:vAlign w:val="bottom"/>
            <w:hideMark/>
          </w:tcPr>
          <w:p w14:paraId="504C4EEC"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0.74</w:t>
            </w:r>
          </w:p>
        </w:tc>
        <w:tc>
          <w:tcPr>
            <w:tcW w:w="1055" w:type="dxa"/>
            <w:tcBorders>
              <w:top w:val="nil"/>
              <w:left w:val="nil"/>
              <w:bottom w:val="nil"/>
              <w:right w:val="nil"/>
            </w:tcBorders>
            <w:shd w:val="clear" w:color="auto" w:fill="auto"/>
            <w:noWrap/>
            <w:vAlign w:val="bottom"/>
            <w:hideMark/>
          </w:tcPr>
          <w:p w14:paraId="1A7C9093" w14:textId="77777777" w:rsidR="00CF4E1A" w:rsidRPr="00CF4E1A" w:rsidRDefault="00CF4E1A" w:rsidP="00CF4E1A">
            <w:pPr>
              <w:spacing w:after="0" w:line="240" w:lineRule="auto"/>
              <w:jc w:val="center"/>
              <w:rPr>
                <w:rFonts w:ascii="Calibri" w:eastAsia="Times New Roman" w:hAnsi="Calibri" w:cs="Calibri"/>
                <w:b/>
                <w:bCs/>
                <w:color w:val="E26B0A"/>
                <w:lang w:eastAsia="pl-PL"/>
              </w:rPr>
            </w:pPr>
            <w:r w:rsidRPr="00CF4E1A">
              <w:rPr>
                <w:rFonts w:ascii="Calibri" w:eastAsia="Times New Roman" w:hAnsi="Calibri" w:cs="Calibri"/>
                <w:b/>
                <w:bCs/>
                <w:color w:val="E26B0A"/>
                <w:lang w:eastAsia="pl-PL"/>
              </w:rPr>
              <w:t>7.30</w:t>
            </w:r>
          </w:p>
        </w:tc>
        <w:tc>
          <w:tcPr>
            <w:tcW w:w="551" w:type="dxa"/>
            <w:tcBorders>
              <w:top w:val="nil"/>
              <w:left w:val="nil"/>
              <w:bottom w:val="nil"/>
              <w:right w:val="nil"/>
            </w:tcBorders>
            <w:shd w:val="clear" w:color="auto" w:fill="auto"/>
            <w:noWrap/>
            <w:vAlign w:val="bottom"/>
            <w:hideMark/>
          </w:tcPr>
          <w:p w14:paraId="37C30CE7" w14:textId="77777777" w:rsidR="00CF4E1A" w:rsidRPr="00CF4E1A" w:rsidRDefault="00CF4E1A" w:rsidP="00CF4E1A">
            <w:pPr>
              <w:spacing w:after="0" w:line="240" w:lineRule="auto"/>
              <w:jc w:val="center"/>
              <w:rPr>
                <w:rFonts w:ascii="Calibri" w:eastAsia="Times New Roman" w:hAnsi="Calibri" w:cs="Calibri"/>
                <w:b/>
                <w:bCs/>
                <w:color w:val="E26B0A"/>
                <w:lang w:eastAsia="pl-PL"/>
              </w:rPr>
            </w:pPr>
            <w:r w:rsidRPr="00CF4E1A">
              <w:rPr>
                <w:rFonts w:ascii="Calibri" w:eastAsia="Times New Roman" w:hAnsi="Calibri" w:cs="Calibri"/>
                <w:b/>
                <w:bCs/>
                <w:color w:val="E26B0A"/>
                <w:lang w:eastAsia="pl-PL"/>
              </w:rPr>
              <w:t>3.65</w:t>
            </w:r>
          </w:p>
        </w:tc>
        <w:tc>
          <w:tcPr>
            <w:tcW w:w="959" w:type="dxa"/>
            <w:tcBorders>
              <w:top w:val="nil"/>
              <w:left w:val="nil"/>
              <w:bottom w:val="nil"/>
              <w:right w:val="nil"/>
            </w:tcBorders>
            <w:shd w:val="clear" w:color="auto" w:fill="auto"/>
            <w:noWrap/>
            <w:vAlign w:val="bottom"/>
            <w:hideMark/>
          </w:tcPr>
          <w:p w14:paraId="50D2C7EB" w14:textId="77777777" w:rsidR="00CF4E1A" w:rsidRPr="00CF4E1A" w:rsidRDefault="00CF4E1A" w:rsidP="00CF4E1A">
            <w:pPr>
              <w:spacing w:after="0" w:line="240" w:lineRule="auto"/>
              <w:jc w:val="center"/>
              <w:rPr>
                <w:rFonts w:ascii="Calibri" w:eastAsia="Times New Roman" w:hAnsi="Calibri" w:cs="Calibri"/>
                <w:b/>
                <w:bCs/>
                <w:color w:val="E26B0A"/>
                <w:lang w:eastAsia="pl-PL"/>
              </w:rPr>
            </w:pPr>
            <w:r w:rsidRPr="00CF4E1A">
              <w:rPr>
                <w:rFonts w:ascii="Calibri" w:eastAsia="Times New Roman" w:hAnsi="Calibri" w:cs="Calibri"/>
                <w:b/>
                <w:bCs/>
                <w:color w:val="E26B0A"/>
                <w:lang w:eastAsia="pl-PL"/>
              </w:rPr>
              <w:t>2.00</w:t>
            </w:r>
          </w:p>
        </w:tc>
        <w:tc>
          <w:tcPr>
            <w:tcW w:w="876" w:type="dxa"/>
            <w:tcBorders>
              <w:top w:val="nil"/>
              <w:left w:val="nil"/>
              <w:bottom w:val="nil"/>
              <w:right w:val="nil"/>
            </w:tcBorders>
            <w:shd w:val="clear" w:color="auto" w:fill="auto"/>
            <w:noWrap/>
            <w:vAlign w:val="bottom"/>
            <w:hideMark/>
          </w:tcPr>
          <w:p w14:paraId="414C5F95" w14:textId="77777777" w:rsidR="00CF4E1A" w:rsidRPr="00CF4E1A" w:rsidRDefault="00CF4E1A" w:rsidP="00CF4E1A">
            <w:pPr>
              <w:spacing w:after="0" w:line="240" w:lineRule="auto"/>
              <w:jc w:val="center"/>
              <w:rPr>
                <w:rFonts w:ascii="Calibri" w:eastAsia="Times New Roman" w:hAnsi="Calibri" w:cs="Calibri"/>
                <w:b/>
                <w:bCs/>
                <w:color w:val="E26B0A"/>
                <w:lang w:eastAsia="pl-PL"/>
              </w:rPr>
            </w:pPr>
            <w:r w:rsidRPr="00CF4E1A">
              <w:rPr>
                <w:rFonts w:ascii="Calibri" w:eastAsia="Times New Roman" w:hAnsi="Calibri" w:cs="Calibri"/>
                <w:b/>
                <w:bCs/>
                <w:color w:val="E26B0A"/>
                <w:lang w:eastAsia="pl-PL"/>
              </w:rPr>
              <w:t>0.05</w:t>
            </w:r>
          </w:p>
        </w:tc>
        <w:tc>
          <w:tcPr>
            <w:tcW w:w="1055" w:type="dxa"/>
            <w:tcBorders>
              <w:top w:val="nil"/>
              <w:left w:val="nil"/>
              <w:bottom w:val="nil"/>
              <w:right w:val="nil"/>
            </w:tcBorders>
            <w:shd w:val="clear" w:color="auto" w:fill="auto"/>
            <w:noWrap/>
            <w:vAlign w:val="bottom"/>
            <w:hideMark/>
          </w:tcPr>
          <w:p w14:paraId="29FBAF79"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0.17</w:t>
            </w:r>
          </w:p>
        </w:tc>
        <w:tc>
          <w:tcPr>
            <w:tcW w:w="551" w:type="dxa"/>
            <w:tcBorders>
              <w:top w:val="nil"/>
              <w:left w:val="nil"/>
              <w:bottom w:val="nil"/>
              <w:right w:val="nil"/>
            </w:tcBorders>
            <w:shd w:val="clear" w:color="auto" w:fill="auto"/>
            <w:noWrap/>
            <w:vAlign w:val="bottom"/>
            <w:hideMark/>
          </w:tcPr>
          <w:p w14:paraId="37876E5A"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0.81</w:t>
            </w:r>
          </w:p>
        </w:tc>
        <w:tc>
          <w:tcPr>
            <w:tcW w:w="959" w:type="dxa"/>
            <w:tcBorders>
              <w:top w:val="nil"/>
              <w:left w:val="nil"/>
              <w:bottom w:val="nil"/>
              <w:right w:val="nil"/>
            </w:tcBorders>
            <w:shd w:val="clear" w:color="auto" w:fill="auto"/>
            <w:noWrap/>
            <w:vAlign w:val="bottom"/>
            <w:hideMark/>
          </w:tcPr>
          <w:p w14:paraId="61A151C7"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0.21</w:t>
            </w:r>
          </w:p>
        </w:tc>
        <w:tc>
          <w:tcPr>
            <w:tcW w:w="876" w:type="dxa"/>
            <w:tcBorders>
              <w:top w:val="nil"/>
              <w:left w:val="nil"/>
              <w:bottom w:val="nil"/>
              <w:right w:val="nil"/>
            </w:tcBorders>
            <w:shd w:val="clear" w:color="auto" w:fill="auto"/>
            <w:noWrap/>
            <w:vAlign w:val="bottom"/>
            <w:hideMark/>
          </w:tcPr>
          <w:p w14:paraId="04CB2C64"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0.83</w:t>
            </w:r>
          </w:p>
        </w:tc>
      </w:tr>
      <w:tr w:rsidR="00CF4E1A" w:rsidRPr="00CF4E1A" w14:paraId="5FBE4B68" w14:textId="77777777" w:rsidTr="00CF4E1A">
        <w:trPr>
          <w:trHeight w:val="290"/>
        </w:trPr>
        <w:tc>
          <w:tcPr>
            <w:tcW w:w="3460" w:type="dxa"/>
            <w:tcBorders>
              <w:top w:val="nil"/>
              <w:left w:val="nil"/>
              <w:bottom w:val="nil"/>
              <w:right w:val="nil"/>
            </w:tcBorders>
            <w:shd w:val="clear" w:color="auto" w:fill="auto"/>
            <w:noWrap/>
            <w:vAlign w:val="bottom"/>
            <w:hideMark/>
          </w:tcPr>
          <w:p w14:paraId="29E7B079" w14:textId="451BE3B5" w:rsidR="00CF4E1A" w:rsidRPr="00CF4E1A" w:rsidRDefault="00CF4E1A" w:rsidP="00CF4E1A">
            <w:pPr>
              <w:spacing w:after="0" w:line="240" w:lineRule="auto"/>
              <w:rPr>
                <w:rFonts w:ascii="Calibri" w:eastAsia="Times New Roman" w:hAnsi="Calibri" w:cs="Calibri"/>
                <w:lang w:val="en-GB" w:eastAsia="pl-PL"/>
              </w:rPr>
            </w:pPr>
            <w:r w:rsidRPr="00CF4E1A">
              <w:rPr>
                <w:rFonts w:ascii="Calibri" w:eastAsia="Times New Roman" w:hAnsi="Calibri" w:cs="Calibri"/>
                <w:lang w:val="en-GB" w:eastAsia="pl-PL"/>
              </w:rPr>
              <w:t xml:space="preserve">trip type (ST) x </w:t>
            </w:r>
            <w:r w:rsidR="00F41149" w:rsidRPr="00F41149">
              <w:rPr>
                <w:rFonts w:ascii="Calibri" w:eastAsia="Times New Roman" w:hAnsi="Calibri" w:cs="Calibri"/>
                <w:lang w:val="en-GB" w:eastAsia="pl-PL"/>
              </w:rPr>
              <w:t>year</w:t>
            </w:r>
            <w:r w:rsidRPr="00CF4E1A">
              <w:rPr>
                <w:rFonts w:ascii="Calibri" w:eastAsia="Times New Roman" w:hAnsi="Calibri" w:cs="Calibri"/>
                <w:lang w:val="en-GB" w:eastAsia="pl-PL"/>
              </w:rPr>
              <w:t>2018</w:t>
            </w:r>
          </w:p>
        </w:tc>
        <w:tc>
          <w:tcPr>
            <w:tcW w:w="1055" w:type="dxa"/>
            <w:tcBorders>
              <w:top w:val="nil"/>
              <w:left w:val="nil"/>
              <w:bottom w:val="nil"/>
              <w:right w:val="nil"/>
            </w:tcBorders>
            <w:shd w:val="clear" w:color="auto" w:fill="auto"/>
            <w:noWrap/>
            <w:vAlign w:val="bottom"/>
            <w:hideMark/>
          </w:tcPr>
          <w:p w14:paraId="3869CD61"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-4.44</w:t>
            </w:r>
          </w:p>
        </w:tc>
        <w:tc>
          <w:tcPr>
            <w:tcW w:w="551" w:type="dxa"/>
            <w:tcBorders>
              <w:top w:val="nil"/>
              <w:left w:val="nil"/>
              <w:bottom w:val="nil"/>
              <w:right w:val="nil"/>
            </w:tcBorders>
            <w:shd w:val="clear" w:color="auto" w:fill="auto"/>
            <w:noWrap/>
            <w:vAlign w:val="bottom"/>
            <w:hideMark/>
          </w:tcPr>
          <w:p w14:paraId="4DF8C2CA"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3.97</w:t>
            </w:r>
          </w:p>
        </w:tc>
        <w:tc>
          <w:tcPr>
            <w:tcW w:w="959" w:type="dxa"/>
            <w:tcBorders>
              <w:top w:val="nil"/>
              <w:left w:val="nil"/>
              <w:bottom w:val="nil"/>
              <w:right w:val="nil"/>
            </w:tcBorders>
            <w:shd w:val="clear" w:color="auto" w:fill="auto"/>
            <w:noWrap/>
            <w:vAlign w:val="bottom"/>
            <w:hideMark/>
          </w:tcPr>
          <w:p w14:paraId="5B55988C"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-1.12</w:t>
            </w:r>
          </w:p>
        </w:tc>
        <w:tc>
          <w:tcPr>
            <w:tcW w:w="876" w:type="dxa"/>
            <w:tcBorders>
              <w:top w:val="nil"/>
              <w:left w:val="nil"/>
              <w:bottom w:val="nil"/>
              <w:right w:val="nil"/>
            </w:tcBorders>
            <w:shd w:val="clear" w:color="auto" w:fill="auto"/>
            <w:noWrap/>
            <w:vAlign w:val="bottom"/>
            <w:hideMark/>
          </w:tcPr>
          <w:p w14:paraId="7DCA128A"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0.26</w:t>
            </w:r>
          </w:p>
        </w:tc>
        <w:tc>
          <w:tcPr>
            <w:tcW w:w="1055" w:type="dxa"/>
            <w:tcBorders>
              <w:top w:val="nil"/>
              <w:left w:val="nil"/>
              <w:bottom w:val="nil"/>
              <w:right w:val="nil"/>
            </w:tcBorders>
            <w:shd w:val="clear" w:color="auto" w:fill="auto"/>
            <w:noWrap/>
            <w:vAlign w:val="bottom"/>
            <w:hideMark/>
          </w:tcPr>
          <w:p w14:paraId="4C36369D"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-3.60</w:t>
            </w:r>
          </w:p>
        </w:tc>
        <w:tc>
          <w:tcPr>
            <w:tcW w:w="551" w:type="dxa"/>
            <w:tcBorders>
              <w:top w:val="nil"/>
              <w:left w:val="nil"/>
              <w:bottom w:val="nil"/>
              <w:right w:val="nil"/>
            </w:tcBorders>
            <w:shd w:val="clear" w:color="auto" w:fill="auto"/>
            <w:noWrap/>
            <w:vAlign w:val="bottom"/>
            <w:hideMark/>
          </w:tcPr>
          <w:p w14:paraId="56D9EFE3"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3.19</w:t>
            </w:r>
          </w:p>
        </w:tc>
        <w:tc>
          <w:tcPr>
            <w:tcW w:w="959" w:type="dxa"/>
            <w:tcBorders>
              <w:top w:val="nil"/>
              <w:left w:val="nil"/>
              <w:bottom w:val="nil"/>
              <w:right w:val="nil"/>
            </w:tcBorders>
            <w:shd w:val="clear" w:color="auto" w:fill="auto"/>
            <w:noWrap/>
            <w:vAlign w:val="bottom"/>
            <w:hideMark/>
          </w:tcPr>
          <w:p w14:paraId="01D4C2EB"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-1.13</w:t>
            </w:r>
          </w:p>
        </w:tc>
        <w:tc>
          <w:tcPr>
            <w:tcW w:w="876" w:type="dxa"/>
            <w:tcBorders>
              <w:top w:val="nil"/>
              <w:left w:val="nil"/>
              <w:bottom w:val="nil"/>
              <w:right w:val="nil"/>
            </w:tcBorders>
            <w:shd w:val="clear" w:color="auto" w:fill="auto"/>
            <w:noWrap/>
            <w:vAlign w:val="bottom"/>
            <w:hideMark/>
          </w:tcPr>
          <w:p w14:paraId="5A46509D"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0.26</w:t>
            </w:r>
          </w:p>
        </w:tc>
        <w:tc>
          <w:tcPr>
            <w:tcW w:w="1055" w:type="dxa"/>
            <w:tcBorders>
              <w:top w:val="nil"/>
              <w:left w:val="nil"/>
              <w:bottom w:val="nil"/>
              <w:right w:val="nil"/>
            </w:tcBorders>
            <w:shd w:val="clear" w:color="auto" w:fill="auto"/>
            <w:noWrap/>
            <w:vAlign w:val="bottom"/>
            <w:hideMark/>
          </w:tcPr>
          <w:p w14:paraId="568F8D6C"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-3.28</w:t>
            </w:r>
          </w:p>
        </w:tc>
        <w:tc>
          <w:tcPr>
            <w:tcW w:w="551" w:type="dxa"/>
            <w:tcBorders>
              <w:top w:val="nil"/>
              <w:left w:val="nil"/>
              <w:bottom w:val="nil"/>
              <w:right w:val="nil"/>
            </w:tcBorders>
            <w:shd w:val="clear" w:color="auto" w:fill="auto"/>
            <w:noWrap/>
            <w:vAlign w:val="bottom"/>
            <w:hideMark/>
          </w:tcPr>
          <w:p w14:paraId="5C3158C6"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3.77</w:t>
            </w:r>
          </w:p>
        </w:tc>
        <w:tc>
          <w:tcPr>
            <w:tcW w:w="959" w:type="dxa"/>
            <w:tcBorders>
              <w:top w:val="nil"/>
              <w:left w:val="nil"/>
              <w:bottom w:val="nil"/>
              <w:right w:val="nil"/>
            </w:tcBorders>
            <w:shd w:val="clear" w:color="auto" w:fill="auto"/>
            <w:noWrap/>
            <w:vAlign w:val="bottom"/>
            <w:hideMark/>
          </w:tcPr>
          <w:p w14:paraId="6C279D63"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-0.87</w:t>
            </w:r>
          </w:p>
        </w:tc>
        <w:tc>
          <w:tcPr>
            <w:tcW w:w="876" w:type="dxa"/>
            <w:tcBorders>
              <w:top w:val="nil"/>
              <w:left w:val="nil"/>
              <w:bottom w:val="nil"/>
              <w:right w:val="nil"/>
            </w:tcBorders>
            <w:shd w:val="clear" w:color="auto" w:fill="auto"/>
            <w:noWrap/>
            <w:vAlign w:val="bottom"/>
            <w:hideMark/>
          </w:tcPr>
          <w:p w14:paraId="46CDC9AA"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0.38</w:t>
            </w:r>
          </w:p>
        </w:tc>
      </w:tr>
      <w:tr w:rsidR="00CF4E1A" w:rsidRPr="00CF4E1A" w14:paraId="27CC4106" w14:textId="77777777" w:rsidTr="00CF4E1A">
        <w:trPr>
          <w:trHeight w:val="290"/>
        </w:trPr>
        <w:tc>
          <w:tcPr>
            <w:tcW w:w="3460" w:type="dxa"/>
            <w:tcBorders>
              <w:top w:val="nil"/>
              <w:left w:val="nil"/>
              <w:bottom w:val="nil"/>
              <w:right w:val="nil"/>
            </w:tcBorders>
            <w:shd w:val="clear" w:color="auto" w:fill="auto"/>
            <w:noWrap/>
            <w:vAlign w:val="bottom"/>
            <w:hideMark/>
          </w:tcPr>
          <w:p w14:paraId="225FCE04" w14:textId="77615648" w:rsidR="00CF4E1A" w:rsidRPr="00CF4E1A" w:rsidRDefault="00F41149" w:rsidP="00CF4E1A">
            <w:pPr>
              <w:spacing w:after="0" w:line="240" w:lineRule="auto"/>
              <w:rPr>
                <w:rFonts w:ascii="Calibri" w:eastAsia="Times New Roman" w:hAnsi="Calibri" w:cs="Calibri"/>
                <w:lang w:val="en-GB" w:eastAsia="pl-PL"/>
              </w:rPr>
            </w:pPr>
            <w:r>
              <w:rPr>
                <w:rFonts w:ascii="Calibri" w:eastAsia="Times New Roman" w:hAnsi="Calibri" w:cs="Calibri"/>
                <w:lang w:val="en-GB" w:eastAsia="pl-PL"/>
              </w:rPr>
              <w:t>trip type (ST) x year</w:t>
            </w:r>
            <w:r w:rsidR="00CF4E1A" w:rsidRPr="00CF4E1A">
              <w:rPr>
                <w:rFonts w:ascii="Calibri" w:eastAsia="Times New Roman" w:hAnsi="Calibri" w:cs="Calibri"/>
                <w:lang w:val="en-GB" w:eastAsia="pl-PL"/>
              </w:rPr>
              <w:t>2019</w:t>
            </w:r>
          </w:p>
        </w:tc>
        <w:tc>
          <w:tcPr>
            <w:tcW w:w="1055" w:type="dxa"/>
            <w:tcBorders>
              <w:top w:val="nil"/>
              <w:left w:val="nil"/>
              <w:bottom w:val="nil"/>
              <w:right w:val="nil"/>
            </w:tcBorders>
            <w:shd w:val="clear" w:color="auto" w:fill="auto"/>
            <w:noWrap/>
            <w:vAlign w:val="bottom"/>
            <w:hideMark/>
          </w:tcPr>
          <w:p w14:paraId="506F453F"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-11.57</w:t>
            </w:r>
          </w:p>
        </w:tc>
        <w:tc>
          <w:tcPr>
            <w:tcW w:w="551" w:type="dxa"/>
            <w:tcBorders>
              <w:top w:val="nil"/>
              <w:left w:val="nil"/>
              <w:bottom w:val="nil"/>
              <w:right w:val="nil"/>
            </w:tcBorders>
            <w:shd w:val="clear" w:color="auto" w:fill="auto"/>
            <w:noWrap/>
            <w:vAlign w:val="bottom"/>
            <w:hideMark/>
          </w:tcPr>
          <w:p w14:paraId="57C05AE7"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5.53</w:t>
            </w:r>
          </w:p>
        </w:tc>
        <w:tc>
          <w:tcPr>
            <w:tcW w:w="959" w:type="dxa"/>
            <w:tcBorders>
              <w:top w:val="nil"/>
              <w:left w:val="nil"/>
              <w:bottom w:val="nil"/>
              <w:right w:val="nil"/>
            </w:tcBorders>
            <w:shd w:val="clear" w:color="auto" w:fill="auto"/>
            <w:noWrap/>
            <w:vAlign w:val="bottom"/>
            <w:hideMark/>
          </w:tcPr>
          <w:p w14:paraId="096C21AB"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-2.09</w:t>
            </w:r>
          </w:p>
        </w:tc>
        <w:tc>
          <w:tcPr>
            <w:tcW w:w="876" w:type="dxa"/>
            <w:tcBorders>
              <w:top w:val="nil"/>
              <w:left w:val="nil"/>
              <w:bottom w:val="nil"/>
              <w:right w:val="nil"/>
            </w:tcBorders>
            <w:shd w:val="clear" w:color="auto" w:fill="auto"/>
            <w:noWrap/>
            <w:vAlign w:val="bottom"/>
            <w:hideMark/>
          </w:tcPr>
          <w:p w14:paraId="1454571E"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0.04</w:t>
            </w:r>
          </w:p>
        </w:tc>
        <w:tc>
          <w:tcPr>
            <w:tcW w:w="1055" w:type="dxa"/>
            <w:tcBorders>
              <w:top w:val="nil"/>
              <w:left w:val="nil"/>
              <w:bottom w:val="nil"/>
              <w:right w:val="nil"/>
            </w:tcBorders>
            <w:shd w:val="clear" w:color="auto" w:fill="auto"/>
            <w:noWrap/>
            <w:vAlign w:val="bottom"/>
            <w:hideMark/>
          </w:tcPr>
          <w:p w14:paraId="029EE402"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-0.46</w:t>
            </w:r>
          </w:p>
        </w:tc>
        <w:tc>
          <w:tcPr>
            <w:tcW w:w="551" w:type="dxa"/>
            <w:tcBorders>
              <w:top w:val="nil"/>
              <w:left w:val="nil"/>
              <w:bottom w:val="nil"/>
              <w:right w:val="nil"/>
            </w:tcBorders>
            <w:shd w:val="clear" w:color="auto" w:fill="auto"/>
            <w:noWrap/>
            <w:vAlign w:val="bottom"/>
            <w:hideMark/>
          </w:tcPr>
          <w:p w14:paraId="249DC67E"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2.66</w:t>
            </w:r>
          </w:p>
        </w:tc>
        <w:tc>
          <w:tcPr>
            <w:tcW w:w="959" w:type="dxa"/>
            <w:tcBorders>
              <w:top w:val="nil"/>
              <w:left w:val="nil"/>
              <w:bottom w:val="nil"/>
              <w:right w:val="nil"/>
            </w:tcBorders>
            <w:shd w:val="clear" w:color="auto" w:fill="auto"/>
            <w:noWrap/>
            <w:vAlign w:val="bottom"/>
            <w:hideMark/>
          </w:tcPr>
          <w:p w14:paraId="53D4983B"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-0.17</w:t>
            </w:r>
          </w:p>
        </w:tc>
        <w:tc>
          <w:tcPr>
            <w:tcW w:w="876" w:type="dxa"/>
            <w:tcBorders>
              <w:top w:val="nil"/>
              <w:left w:val="nil"/>
              <w:bottom w:val="nil"/>
              <w:right w:val="nil"/>
            </w:tcBorders>
            <w:shd w:val="clear" w:color="auto" w:fill="auto"/>
            <w:noWrap/>
            <w:vAlign w:val="bottom"/>
            <w:hideMark/>
          </w:tcPr>
          <w:p w14:paraId="1DE0F2B7"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0.86</w:t>
            </w:r>
          </w:p>
        </w:tc>
        <w:tc>
          <w:tcPr>
            <w:tcW w:w="1055" w:type="dxa"/>
            <w:tcBorders>
              <w:top w:val="nil"/>
              <w:left w:val="nil"/>
              <w:bottom w:val="nil"/>
              <w:right w:val="nil"/>
            </w:tcBorders>
            <w:shd w:val="clear" w:color="auto" w:fill="auto"/>
            <w:noWrap/>
            <w:vAlign w:val="bottom"/>
            <w:hideMark/>
          </w:tcPr>
          <w:p w14:paraId="59CC23CE"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-2.71</w:t>
            </w:r>
          </w:p>
        </w:tc>
        <w:tc>
          <w:tcPr>
            <w:tcW w:w="551" w:type="dxa"/>
            <w:tcBorders>
              <w:top w:val="nil"/>
              <w:left w:val="nil"/>
              <w:bottom w:val="nil"/>
              <w:right w:val="nil"/>
            </w:tcBorders>
            <w:shd w:val="clear" w:color="auto" w:fill="auto"/>
            <w:noWrap/>
            <w:vAlign w:val="bottom"/>
            <w:hideMark/>
          </w:tcPr>
          <w:p w14:paraId="07868110"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2.11</w:t>
            </w:r>
          </w:p>
        </w:tc>
        <w:tc>
          <w:tcPr>
            <w:tcW w:w="959" w:type="dxa"/>
            <w:tcBorders>
              <w:top w:val="nil"/>
              <w:left w:val="nil"/>
              <w:bottom w:val="nil"/>
              <w:right w:val="nil"/>
            </w:tcBorders>
            <w:shd w:val="clear" w:color="auto" w:fill="auto"/>
            <w:noWrap/>
            <w:vAlign w:val="bottom"/>
            <w:hideMark/>
          </w:tcPr>
          <w:p w14:paraId="4E11F384"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-1.28</w:t>
            </w:r>
          </w:p>
        </w:tc>
        <w:tc>
          <w:tcPr>
            <w:tcW w:w="876" w:type="dxa"/>
            <w:tcBorders>
              <w:top w:val="nil"/>
              <w:left w:val="nil"/>
              <w:bottom w:val="nil"/>
              <w:right w:val="nil"/>
            </w:tcBorders>
            <w:shd w:val="clear" w:color="auto" w:fill="auto"/>
            <w:noWrap/>
            <w:vAlign w:val="bottom"/>
            <w:hideMark/>
          </w:tcPr>
          <w:p w14:paraId="21B7EB58"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0.20</w:t>
            </w:r>
          </w:p>
        </w:tc>
      </w:tr>
      <w:tr w:rsidR="00CF4E1A" w:rsidRPr="00CF4E1A" w14:paraId="34843174" w14:textId="77777777" w:rsidTr="00CF4E1A">
        <w:trPr>
          <w:trHeight w:val="290"/>
        </w:trPr>
        <w:tc>
          <w:tcPr>
            <w:tcW w:w="3460" w:type="dxa"/>
            <w:tcBorders>
              <w:top w:val="nil"/>
              <w:left w:val="nil"/>
              <w:bottom w:val="nil"/>
              <w:right w:val="nil"/>
            </w:tcBorders>
            <w:shd w:val="clear" w:color="auto" w:fill="auto"/>
            <w:noWrap/>
            <w:vAlign w:val="bottom"/>
            <w:hideMark/>
          </w:tcPr>
          <w:p w14:paraId="61E7438B" w14:textId="654E0DF9" w:rsidR="00CF4E1A" w:rsidRPr="00CF4E1A" w:rsidRDefault="00F41149" w:rsidP="00CF4E1A">
            <w:pPr>
              <w:spacing w:after="0" w:line="240" w:lineRule="auto"/>
              <w:rPr>
                <w:rFonts w:ascii="Calibri" w:eastAsia="Times New Roman" w:hAnsi="Calibri" w:cs="Calibri"/>
                <w:lang w:val="en-GB" w:eastAsia="pl-PL"/>
              </w:rPr>
            </w:pPr>
            <w:r>
              <w:rPr>
                <w:rFonts w:ascii="Calibri" w:eastAsia="Times New Roman" w:hAnsi="Calibri" w:cs="Calibri"/>
                <w:lang w:val="en-GB" w:eastAsia="pl-PL"/>
              </w:rPr>
              <w:t>trip type (ST) x year</w:t>
            </w:r>
            <w:r w:rsidR="00CF4E1A" w:rsidRPr="00CF4E1A">
              <w:rPr>
                <w:rFonts w:ascii="Calibri" w:eastAsia="Times New Roman" w:hAnsi="Calibri" w:cs="Calibri"/>
                <w:lang w:val="en-GB" w:eastAsia="pl-PL"/>
              </w:rPr>
              <w:t>2020</w:t>
            </w:r>
          </w:p>
        </w:tc>
        <w:tc>
          <w:tcPr>
            <w:tcW w:w="1055" w:type="dxa"/>
            <w:tcBorders>
              <w:top w:val="nil"/>
              <w:left w:val="nil"/>
              <w:bottom w:val="nil"/>
              <w:right w:val="nil"/>
            </w:tcBorders>
            <w:shd w:val="clear" w:color="auto" w:fill="auto"/>
            <w:noWrap/>
            <w:vAlign w:val="bottom"/>
            <w:hideMark/>
          </w:tcPr>
          <w:p w14:paraId="00170677"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-8.17</w:t>
            </w:r>
          </w:p>
        </w:tc>
        <w:tc>
          <w:tcPr>
            <w:tcW w:w="551" w:type="dxa"/>
            <w:tcBorders>
              <w:top w:val="nil"/>
              <w:left w:val="nil"/>
              <w:bottom w:val="nil"/>
              <w:right w:val="nil"/>
            </w:tcBorders>
            <w:shd w:val="clear" w:color="auto" w:fill="auto"/>
            <w:noWrap/>
            <w:vAlign w:val="bottom"/>
            <w:hideMark/>
          </w:tcPr>
          <w:p w14:paraId="0E5FA3FA"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3.56</w:t>
            </w:r>
          </w:p>
        </w:tc>
        <w:tc>
          <w:tcPr>
            <w:tcW w:w="959" w:type="dxa"/>
            <w:tcBorders>
              <w:top w:val="nil"/>
              <w:left w:val="nil"/>
              <w:bottom w:val="nil"/>
              <w:right w:val="nil"/>
            </w:tcBorders>
            <w:shd w:val="clear" w:color="auto" w:fill="auto"/>
            <w:noWrap/>
            <w:vAlign w:val="bottom"/>
            <w:hideMark/>
          </w:tcPr>
          <w:p w14:paraId="06226FC3"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-2.30</w:t>
            </w:r>
          </w:p>
        </w:tc>
        <w:tc>
          <w:tcPr>
            <w:tcW w:w="876" w:type="dxa"/>
            <w:tcBorders>
              <w:top w:val="nil"/>
              <w:left w:val="nil"/>
              <w:bottom w:val="nil"/>
              <w:right w:val="nil"/>
            </w:tcBorders>
            <w:shd w:val="clear" w:color="auto" w:fill="auto"/>
            <w:noWrap/>
            <w:vAlign w:val="bottom"/>
            <w:hideMark/>
          </w:tcPr>
          <w:p w14:paraId="722646F9"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0.02</w:t>
            </w:r>
          </w:p>
        </w:tc>
        <w:tc>
          <w:tcPr>
            <w:tcW w:w="1055" w:type="dxa"/>
            <w:tcBorders>
              <w:top w:val="nil"/>
              <w:left w:val="nil"/>
              <w:bottom w:val="nil"/>
              <w:right w:val="nil"/>
            </w:tcBorders>
            <w:shd w:val="clear" w:color="auto" w:fill="auto"/>
            <w:noWrap/>
            <w:vAlign w:val="bottom"/>
            <w:hideMark/>
          </w:tcPr>
          <w:p w14:paraId="417DC2E0"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-1.73</w:t>
            </w:r>
          </w:p>
        </w:tc>
        <w:tc>
          <w:tcPr>
            <w:tcW w:w="551" w:type="dxa"/>
            <w:tcBorders>
              <w:top w:val="nil"/>
              <w:left w:val="nil"/>
              <w:bottom w:val="nil"/>
              <w:right w:val="nil"/>
            </w:tcBorders>
            <w:shd w:val="clear" w:color="auto" w:fill="auto"/>
            <w:noWrap/>
            <w:vAlign w:val="bottom"/>
            <w:hideMark/>
          </w:tcPr>
          <w:p w14:paraId="10A9DBED"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2.10</w:t>
            </w:r>
          </w:p>
        </w:tc>
        <w:tc>
          <w:tcPr>
            <w:tcW w:w="959" w:type="dxa"/>
            <w:tcBorders>
              <w:top w:val="nil"/>
              <w:left w:val="nil"/>
              <w:bottom w:val="nil"/>
              <w:right w:val="nil"/>
            </w:tcBorders>
            <w:shd w:val="clear" w:color="auto" w:fill="auto"/>
            <w:noWrap/>
            <w:vAlign w:val="bottom"/>
            <w:hideMark/>
          </w:tcPr>
          <w:p w14:paraId="5F66D0B0"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-0.83</w:t>
            </w:r>
          </w:p>
        </w:tc>
        <w:tc>
          <w:tcPr>
            <w:tcW w:w="876" w:type="dxa"/>
            <w:tcBorders>
              <w:top w:val="nil"/>
              <w:left w:val="nil"/>
              <w:bottom w:val="nil"/>
              <w:right w:val="nil"/>
            </w:tcBorders>
            <w:shd w:val="clear" w:color="auto" w:fill="auto"/>
            <w:noWrap/>
            <w:vAlign w:val="bottom"/>
            <w:hideMark/>
          </w:tcPr>
          <w:p w14:paraId="0660D59E"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0.41</w:t>
            </w:r>
          </w:p>
        </w:tc>
        <w:tc>
          <w:tcPr>
            <w:tcW w:w="1055" w:type="dxa"/>
            <w:tcBorders>
              <w:top w:val="nil"/>
              <w:left w:val="nil"/>
              <w:bottom w:val="nil"/>
              <w:right w:val="nil"/>
            </w:tcBorders>
            <w:shd w:val="clear" w:color="auto" w:fill="auto"/>
            <w:noWrap/>
            <w:vAlign w:val="bottom"/>
            <w:hideMark/>
          </w:tcPr>
          <w:p w14:paraId="4BEFD488" w14:textId="77777777" w:rsidR="00CF4E1A" w:rsidRPr="00CF4E1A" w:rsidRDefault="00CF4E1A" w:rsidP="00CF4E1A">
            <w:pPr>
              <w:spacing w:after="0" w:line="240" w:lineRule="auto"/>
              <w:jc w:val="center"/>
              <w:rPr>
                <w:rFonts w:ascii="Calibri" w:eastAsia="Times New Roman" w:hAnsi="Calibri" w:cs="Calibri"/>
                <w:b/>
                <w:bCs/>
                <w:color w:val="E26B0A"/>
                <w:lang w:eastAsia="pl-PL"/>
              </w:rPr>
            </w:pPr>
            <w:r w:rsidRPr="00CF4E1A">
              <w:rPr>
                <w:rFonts w:ascii="Calibri" w:eastAsia="Times New Roman" w:hAnsi="Calibri" w:cs="Calibri"/>
                <w:b/>
                <w:bCs/>
                <w:color w:val="E26B0A"/>
                <w:lang w:eastAsia="pl-PL"/>
              </w:rPr>
              <w:t>-4.22</w:t>
            </w:r>
          </w:p>
        </w:tc>
        <w:tc>
          <w:tcPr>
            <w:tcW w:w="551" w:type="dxa"/>
            <w:tcBorders>
              <w:top w:val="nil"/>
              <w:left w:val="nil"/>
              <w:bottom w:val="nil"/>
              <w:right w:val="nil"/>
            </w:tcBorders>
            <w:shd w:val="clear" w:color="auto" w:fill="auto"/>
            <w:noWrap/>
            <w:vAlign w:val="bottom"/>
            <w:hideMark/>
          </w:tcPr>
          <w:p w14:paraId="4AB93FD8" w14:textId="77777777" w:rsidR="00CF4E1A" w:rsidRPr="00CF4E1A" w:rsidRDefault="00CF4E1A" w:rsidP="00CF4E1A">
            <w:pPr>
              <w:spacing w:after="0" w:line="240" w:lineRule="auto"/>
              <w:jc w:val="center"/>
              <w:rPr>
                <w:rFonts w:ascii="Calibri" w:eastAsia="Times New Roman" w:hAnsi="Calibri" w:cs="Calibri"/>
                <w:b/>
                <w:bCs/>
                <w:color w:val="E26B0A"/>
                <w:lang w:eastAsia="pl-PL"/>
              </w:rPr>
            </w:pPr>
            <w:r w:rsidRPr="00CF4E1A">
              <w:rPr>
                <w:rFonts w:ascii="Calibri" w:eastAsia="Times New Roman" w:hAnsi="Calibri" w:cs="Calibri"/>
                <w:b/>
                <w:bCs/>
                <w:color w:val="E26B0A"/>
                <w:lang w:eastAsia="pl-PL"/>
              </w:rPr>
              <w:t>2.06</w:t>
            </w:r>
          </w:p>
        </w:tc>
        <w:tc>
          <w:tcPr>
            <w:tcW w:w="959" w:type="dxa"/>
            <w:tcBorders>
              <w:top w:val="nil"/>
              <w:left w:val="nil"/>
              <w:bottom w:val="nil"/>
              <w:right w:val="nil"/>
            </w:tcBorders>
            <w:shd w:val="clear" w:color="auto" w:fill="auto"/>
            <w:noWrap/>
            <w:vAlign w:val="bottom"/>
            <w:hideMark/>
          </w:tcPr>
          <w:p w14:paraId="3FD32486" w14:textId="77777777" w:rsidR="00CF4E1A" w:rsidRPr="00CF4E1A" w:rsidRDefault="00CF4E1A" w:rsidP="00CF4E1A">
            <w:pPr>
              <w:spacing w:after="0" w:line="240" w:lineRule="auto"/>
              <w:jc w:val="center"/>
              <w:rPr>
                <w:rFonts w:ascii="Calibri" w:eastAsia="Times New Roman" w:hAnsi="Calibri" w:cs="Calibri"/>
                <w:b/>
                <w:bCs/>
                <w:color w:val="E26B0A"/>
                <w:lang w:eastAsia="pl-PL"/>
              </w:rPr>
            </w:pPr>
            <w:r w:rsidRPr="00CF4E1A">
              <w:rPr>
                <w:rFonts w:ascii="Calibri" w:eastAsia="Times New Roman" w:hAnsi="Calibri" w:cs="Calibri"/>
                <w:b/>
                <w:bCs/>
                <w:color w:val="E26B0A"/>
                <w:lang w:eastAsia="pl-PL"/>
              </w:rPr>
              <w:t>-2.04</w:t>
            </w:r>
          </w:p>
        </w:tc>
        <w:tc>
          <w:tcPr>
            <w:tcW w:w="876" w:type="dxa"/>
            <w:tcBorders>
              <w:top w:val="nil"/>
              <w:left w:val="nil"/>
              <w:bottom w:val="nil"/>
              <w:right w:val="nil"/>
            </w:tcBorders>
            <w:shd w:val="clear" w:color="auto" w:fill="auto"/>
            <w:noWrap/>
            <w:vAlign w:val="bottom"/>
            <w:hideMark/>
          </w:tcPr>
          <w:p w14:paraId="222D0777" w14:textId="77777777" w:rsidR="00CF4E1A" w:rsidRPr="00CF4E1A" w:rsidRDefault="00CF4E1A" w:rsidP="00CF4E1A">
            <w:pPr>
              <w:spacing w:after="0" w:line="240" w:lineRule="auto"/>
              <w:jc w:val="center"/>
              <w:rPr>
                <w:rFonts w:ascii="Calibri" w:eastAsia="Times New Roman" w:hAnsi="Calibri" w:cs="Calibri"/>
                <w:b/>
                <w:bCs/>
                <w:color w:val="E26B0A"/>
                <w:lang w:eastAsia="pl-PL"/>
              </w:rPr>
            </w:pPr>
            <w:r w:rsidRPr="00CF4E1A">
              <w:rPr>
                <w:rFonts w:ascii="Calibri" w:eastAsia="Times New Roman" w:hAnsi="Calibri" w:cs="Calibri"/>
                <w:b/>
                <w:bCs/>
                <w:color w:val="E26B0A"/>
                <w:lang w:eastAsia="pl-PL"/>
              </w:rPr>
              <w:t>0.04</w:t>
            </w:r>
          </w:p>
        </w:tc>
      </w:tr>
      <w:tr w:rsidR="00CF4E1A" w:rsidRPr="00CF4E1A" w14:paraId="61F0CE21" w14:textId="77777777" w:rsidTr="00CF4E1A">
        <w:trPr>
          <w:trHeight w:val="290"/>
        </w:trPr>
        <w:tc>
          <w:tcPr>
            <w:tcW w:w="3460" w:type="dxa"/>
            <w:tcBorders>
              <w:top w:val="nil"/>
              <w:left w:val="nil"/>
              <w:bottom w:val="nil"/>
              <w:right w:val="nil"/>
            </w:tcBorders>
            <w:shd w:val="clear" w:color="auto" w:fill="auto"/>
            <w:noWrap/>
            <w:vAlign w:val="bottom"/>
            <w:hideMark/>
          </w:tcPr>
          <w:p w14:paraId="4E6A0515" w14:textId="77777777" w:rsidR="00CF4E1A" w:rsidRPr="00CF4E1A" w:rsidRDefault="00CF4E1A" w:rsidP="00CF4E1A">
            <w:pPr>
              <w:spacing w:after="0" w:line="240" w:lineRule="auto"/>
              <w:rPr>
                <w:rFonts w:ascii="Calibri" w:eastAsia="Times New Roman" w:hAnsi="Calibri" w:cs="Calibri"/>
                <w:lang w:val="en-GB" w:eastAsia="pl-PL"/>
              </w:rPr>
            </w:pPr>
            <w:r w:rsidRPr="00CF4E1A">
              <w:rPr>
                <w:rFonts w:ascii="Calibri" w:eastAsia="Times New Roman" w:hAnsi="Calibri" w:cs="Calibri"/>
                <w:lang w:val="en-GB" w:eastAsia="pl-PL"/>
              </w:rPr>
              <w:t>trip type (ST) x sex (m)</w:t>
            </w:r>
          </w:p>
        </w:tc>
        <w:tc>
          <w:tcPr>
            <w:tcW w:w="1055" w:type="dxa"/>
            <w:tcBorders>
              <w:top w:val="nil"/>
              <w:left w:val="nil"/>
              <w:bottom w:val="nil"/>
              <w:right w:val="nil"/>
            </w:tcBorders>
            <w:shd w:val="clear" w:color="auto" w:fill="auto"/>
            <w:noWrap/>
            <w:vAlign w:val="bottom"/>
            <w:hideMark/>
          </w:tcPr>
          <w:p w14:paraId="5451DD94"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0.39</w:t>
            </w:r>
          </w:p>
        </w:tc>
        <w:tc>
          <w:tcPr>
            <w:tcW w:w="551" w:type="dxa"/>
            <w:tcBorders>
              <w:top w:val="nil"/>
              <w:left w:val="nil"/>
              <w:bottom w:val="nil"/>
              <w:right w:val="nil"/>
            </w:tcBorders>
            <w:shd w:val="clear" w:color="auto" w:fill="auto"/>
            <w:noWrap/>
            <w:vAlign w:val="bottom"/>
            <w:hideMark/>
          </w:tcPr>
          <w:p w14:paraId="63AE66A2"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4.52</w:t>
            </w:r>
          </w:p>
        </w:tc>
        <w:tc>
          <w:tcPr>
            <w:tcW w:w="959" w:type="dxa"/>
            <w:tcBorders>
              <w:top w:val="nil"/>
              <w:left w:val="nil"/>
              <w:bottom w:val="nil"/>
              <w:right w:val="nil"/>
            </w:tcBorders>
            <w:shd w:val="clear" w:color="auto" w:fill="auto"/>
            <w:noWrap/>
            <w:vAlign w:val="bottom"/>
            <w:hideMark/>
          </w:tcPr>
          <w:p w14:paraId="34A435F6"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0.09</w:t>
            </w:r>
          </w:p>
        </w:tc>
        <w:tc>
          <w:tcPr>
            <w:tcW w:w="876" w:type="dxa"/>
            <w:tcBorders>
              <w:top w:val="nil"/>
              <w:left w:val="nil"/>
              <w:bottom w:val="nil"/>
              <w:right w:val="nil"/>
            </w:tcBorders>
            <w:shd w:val="clear" w:color="auto" w:fill="auto"/>
            <w:noWrap/>
            <w:vAlign w:val="bottom"/>
            <w:hideMark/>
          </w:tcPr>
          <w:p w14:paraId="1AB6E16E"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0.93</w:t>
            </w:r>
          </w:p>
        </w:tc>
        <w:tc>
          <w:tcPr>
            <w:tcW w:w="1055" w:type="dxa"/>
            <w:tcBorders>
              <w:top w:val="nil"/>
              <w:left w:val="nil"/>
              <w:bottom w:val="nil"/>
              <w:right w:val="nil"/>
            </w:tcBorders>
            <w:shd w:val="clear" w:color="auto" w:fill="auto"/>
            <w:noWrap/>
            <w:vAlign w:val="bottom"/>
            <w:hideMark/>
          </w:tcPr>
          <w:p w14:paraId="74F3023D"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-8.54</w:t>
            </w:r>
          </w:p>
        </w:tc>
        <w:tc>
          <w:tcPr>
            <w:tcW w:w="551" w:type="dxa"/>
            <w:tcBorders>
              <w:top w:val="nil"/>
              <w:left w:val="nil"/>
              <w:bottom w:val="nil"/>
              <w:right w:val="nil"/>
            </w:tcBorders>
            <w:shd w:val="clear" w:color="auto" w:fill="auto"/>
            <w:noWrap/>
            <w:vAlign w:val="bottom"/>
            <w:hideMark/>
          </w:tcPr>
          <w:p w14:paraId="29A9D0BA"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4.20</w:t>
            </w:r>
          </w:p>
        </w:tc>
        <w:tc>
          <w:tcPr>
            <w:tcW w:w="959" w:type="dxa"/>
            <w:tcBorders>
              <w:top w:val="nil"/>
              <w:left w:val="nil"/>
              <w:bottom w:val="nil"/>
              <w:right w:val="nil"/>
            </w:tcBorders>
            <w:shd w:val="clear" w:color="auto" w:fill="auto"/>
            <w:noWrap/>
            <w:vAlign w:val="bottom"/>
            <w:hideMark/>
          </w:tcPr>
          <w:p w14:paraId="72B93F11"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-2.03</w:t>
            </w:r>
          </w:p>
        </w:tc>
        <w:tc>
          <w:tcPr>
            <w:tcW w:w="876" w:type="dxa"/>
            <w:tcBorders>
              <w:top w:val="nil"/>
              <w:left w:val="nil"/>
              <w:bottom w:val="nil"/>
              <w:right w:val="nil"/>
            </w:tcBorders>
            <w:shd w:val="clear" w:color="auto" w:fill="auto"/>
            <w:noWrap/>
            <w:vAlign w:val="bottom"/>
            <w:hideMark/>
          </w:tcPr>
          <w:p w14:paraId="47B564AA"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0.04</w:t>
            </w:r>
          </w:p>
        </w:tc>
        <w:tc>
          <w:tcPr>
            <w:tcW w:w="1055" w:type="dxa"/>
            <w:tcBorders>
              <w:top w:val="nil"/>
              <w:left w:val="nil"/>
              <w:bottom w:val="nil"/>
              <w:right w:val="nil"/>
            </w:tcBorders>
            <w:shd w:val="clear" w:color="auto" w:fill="auto"/>
            <w:noWrap/>
            <w:vAlign w:val="bottom"/>
            <w:hideMark/>
          </w:tcPr>
          <w:p w14:paraId="14E3A068"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-1.85</w:t>
            </w:r>
          </w:p>
        </w:tc>
        <w:tc>
          <w:tcPr>
            <w:tcW w:w="551" w:type="dxa"/>
            <w:tcBorders>
              <w:top w:val="nil"/>
              <w:left w:val="nil"/>
              <w:bottom w:val="nil"/>
              <w:right w:val="nil"/>
            </w:tcBorders>
            <w:shd w:val="clear" w:color="auto" w:fill="auto"/>
            <w:noWrap/>
            <w:vAlign w:val="bottom"/>
            <w:hideMark/>
          </w:tcPr>
          <w:p w14:paraId="7B8D76AA"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1.63</w:t>
            </w:r>
          </w:p>
        </w:tc>
        <w:tc>
          <w:tcPr>
            <w:tcW w:w="959" w:type="dxa"/>
            <w:tcBorders>
              <w:top w:val="nil"/>
              <w:left w:val="nil"/>
              <w:bottom w:val="nil"/>
              <w:right w:val="nil"/>
            </w:tcBorders>
            <w:shd w:val="clear" w:color="auto" w:fill="auto"/>
            <w:noWrap/>
            <w:vAlign w:val="bottom"/>
            <w:hideMark/>
          </w:tcPr>
          <w:p w14:paraId="7D0E637F"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-1.14</w:t>
            </w:r>
          </w:p>
        </w:tc>
        <w:tc>
          <w:tcPr>
            <w:tcW w:w="876" w:type="dxa"/>
            <w:tcBorders>
              <w:top w:val="nil"/>
              <w:left w:val="nil"/>
              <w:bottom w:val="nil"/>
              <w:right w:val="nil"/>
            </w:tcBorders>
            <w:shd w:val="clear" w:color="auto" w:fill="auto"/>
            <w:noWrap/>
            <w:vAlign w:val="bottom"/>
            <w:hideMark/>
          </w:tcPr>
          <w:p w14:paraId="2C0BF633"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0.26</w:t>
            </w:r>
          </w:p>
        </w:tc>
      </w:tr>
      <w:tr w:rsidR="00CF4E1A" w:rsidRPr="00CF4E1A" w14:paraId="03776437" w14:textId="77777777" w:rsidTr="00CF4E1A">
        <w:trPr>
          <w:trHeight w:val="290"/>
        </w:trPr>
        <w:tc>
          <w:tcPr>
            <w:tcW w:w="3460" w:type="dxa"/>
            <w:tcBorders>
              <w:top w:val="nil"/>
              <w:left w:val="nil"/>
              <w:bottom w:val="nil"/>
              <w:right w:val="nil"/>
            </w:tcBorders>
            <w:shd w:val="clear" w:color="auto" w:fill="auto"/>
            <w:noWrap/>
            <w:vAlign w:val="bottom"/>
            <w:hideMark/>
          </w:tcPr>
          <w:p w14:paraId="6E20AC64" w14:textId="784C382B" w:rsidR="00CF4E1A" w:rsidRPr="00CF4E1A" w:rsidRDefault="002877AE" w:rsidP="00CF4E1A">
            <w:pPr>
              <w:spacing w:after="0" w:line="240" w:lineRule="auto"/>
              <w:rPr>
                <w:rFonts w:ascii="Calibri" w:eastAsia="Times New Roman" w:hAnsi="Calibri" w:cs="Calibri"/>
                <w:lang w:eastAsia="pl-PL"/>
              </w:rPr>
            </w:pPr>
            <w:r>
              <w:rPr>
                <w:rFonts w:ascii="Calibri" w:eastAsia="Times New Roman" w:hAnsi="Calibri" w:cs="Calibri"/>
                <w:lang w:eastAsia="pl-PL"/>
              </w:rPr>
              <w:t>year</w:t>
            </w:r>
            <w:r w:rsidR="00CF4E1A" w:rsidRPr="00CF4E1A">
              <w:rPr>
                <w:rFonts w:ascii="Calibri" w:eastAsia="Times New Roman" w:hAnsi="Calibri" w:cs="Calibri"/>
                <w:lang w:eastAsia="pl-PL"/>
              </w:rPr>
              <w:t>2018  x sex (m)</w:t>
            </w:r>
          </w:p>
        </w:tc>
        <w:tc>
          <w:tcPr>
            <w:tcW w:w="1055" w:type="dxa"/>
            <w:tcBorders>
              <w:top w:val="nil"/>
              <w:left w:val="nil"/>
              <w:bottom w:val="nil"/>
              <w:right w:val="nil"/>
            </w:tcBorders>
            <w:shd w:val="clear" w:color="auto" w:fill="auto"/>
            <w:noWrap/>
            <w:vAlign w:val="bottom"/>
            <w:hideMark/>
          </w:tcPr>
          <w:p w14:paraId="76826173"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1.58</w:t>
            </w:r>
          </w:p>
        </w:tc>
        <w:tc>
          <w:tcPr>
            <w:tcW w:w="551" w:type="dxa"/>
            <w:tcBorders>
              <w:top w:val="nil"/>
              <w:left w:val="nil"/>
              <w:bottom w:val="nil"/>
              <w:right w:val="nil"/>
            </w:tcBorders>
            <w:shd w:val="clear" w:color="auto" w:fill="auto"/>
            <w:noWrap/>
            <w:vAlign w:val="bottom"/>
            <w:hideMark/>
          </w:tcPr>
          <w:p w14:paraId="02E172FD"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3.42</w:t>
            </w:r>
          </w:p>
        </w:tc>
        <w:tc>
          <w:tcPr>
            <w:tcW w:w="959" w:type="dxa"/>
            <w:tcBorders>
              <w:top w:val="nil"/>
              <w:left w:val="nil"/>
              <w:bottom w:val="nil"/>
              <w:right w:val="nil"/>
            </w:tcBorders>
            <w:shd w:val="clear" w:color="auto" w:fill="auto"/>
            <w:noWrap/>
            <w:vAlign w:val="bottom"/>
            <w:hideMark/>
          </w:tcPr>
          <w:p w14:paraId="1E051147"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0.46</w:t>
            </w:r>
          </w:p>
        </w:tc>
        <w:tc>
          <w:tcPr>
            <w:tcW w:w="876" w:type="dxa"/>
            <w:tcBorders>
              <w:top w:val="nil"/>
              <w:left w:val="nil"/>
              <w:bottom w:val="nil"/>
              <w:right w:val="nil"/>
            </w:tcBorders>
            <w:shd w:val="clear" w:color="auto" w:fill="auto"/>
            <w:noWrap/>
            <w:vAlign w:val="bottom"/>
            <w:hideMark/>
          </w:tcPr>
          <w:p w14:paraId="4374A191"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0.64</w:t>
            </w:r>
          </w:p>
        </w:tc>
        <w:tc>
          <w:tcPr>
            <w:tcW w:w="1055" w:type="dxa"/>
            <w:tcBorders>
              <w:top w:val="nil"/>
              <w:left w:val="nil"/>
              <w:bottom w:val="nil"/>
              <w:right w:val="nil"/>
            </w:tcBorders>
            <w:shd w:val="clear" w:color="auto" w:fill="auto"/>
            <w:noWrap/>
            <w:vAlign w:val="bottom"/>
            <w:hideMark/>
          </w:tcPr>
          <w:p w14:paraId="6C67212C"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-10.93</w:t>
            </w:r>
          </w:p>
        </w:tc>
        <w:tc>
          <w:tcPr>
            <w:tcW w:w="551" w:type="dxa"/>
            <w:tcBorders>
              <w:top w:val="nil"/>
              <w:left w:val="nil"/>
              <w:bottom w:val="nil"/>
              <w:right w:val="nil"/>
            </w:tcBorders>
            <w:shd w:val="clear" w:color="auto" w:fill="auto"/>
            <w:noWrap/>
            <w:vAlign w:val="bottom"/>
            <w:hideMark/>
          </w:tcPr>
          <w:p w14:paraId="4B708B98"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4.22</w:t>
            </w:r>
          </w:p>
        </w:tc>
        <w:tc>
          <w:tcPr>
            <w:tcW w:w="959" w:type="dxa"/>
            <w:tcBorders>
              <w:top w:val="nil"/>
              <w:left w:val="nil"/>
              <w:bottom w:val="nil"/>
              <w:right w:val="nil"/>
            </w:tcBorders>
            <w:shd w:val="clear" w:color="auto" w:fill="auto"/>
            <w:noWrap/>
            <w:vAlign w:val="bottom"/>
            <w:hideMark/>
          </w:tcPr>
          <w:p w14:paraId="37A834BD"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-2.59</w:t>
            </w:r>
          </w:p>
        </w:tc>
        <w:tc>
          <w:tcPr>
            <w:tcW w:w="876" w:type="dxa"/>
            <w:tcBorders>
              <w:top w:val="nil"/>
              <w:left w:val="nil"/>
              <w:bottom w:val="nil"/>
              <w:right w:val="nil"/>
            </w:tcBorders>
            <w:shd w:val="clear" w:color="auto" w:fill="auto"/>
            <w:noWrap/>
            <w:vAlign w:val="bottom"/>
            <w:hideMark/>
          </w:tcPr>
          <w:p w14:paraId="4AFC0D6D"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0.01</w:t>
            </w:r>
          </w:p>
        </w:tc>
        <w:tc>
          <w:tcPr>
            <w:tcW w:w="1055" w:type="dxa"/>
            <w:tcBorders>
              <w:top w:val="nil"/>
              <w:left w:val="nil"/>
              <w:bottom w:val="nil"/>
              <w:right w:val="nil"/>
            </w:tcBorders>
            <w:shd w:val="clear" w:color="auto" w:fill="auto"/>
            <w:noWrap/>
            <w:vAlign w:val="bottom"/>
            <w:hideMark/>
          </w:tcPr>
          <w:p w14:paraId="429BF579"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0.62</w:t>
            </w:r>
          </w:p>
        </w:tc>
        <w:tc>
          <w:tcPr>
            <w:tcW w:w="551" w:type="dxa"/>
            <w:tcBorders>
              <w:top w:val="nil"/>
              <w:left w:val="nil"/>
              <w:bottom w:val="nil"/>
              <w:right w:val="nil"/>
            </w:tcBorders>
            <w:shd w:val="clear" w:color="auto" w:fill="auto"/>
            <w:noWrap/>
            <w:vAlign w:val="bottom"/>
            <w:hideMark/>
          </w:tcPr>
          <w:p w14:paraId="74250BDB"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3.93</w:t>
            </w:r>
          </w:p>
        </w:tc>
        <w:tc>
          <w:tcPr>
            <w:tcW w:w="959" w:type="dxa"/>
            <w:tcBorders>
              <w:top w:val="nil"/>
              <w:left w:val="nil"/>
              <w:bottom w:val="nil"/>
              <w:right w:val="nil"/>
            </w:tcBorders>
            <w:shd w:val="clear" w:color="auto" w:fill="auto"/>
            <w:noWrap/>
            <w:vAlign w:val="bottom"/>
            <w:hideMark/>
          </w:tcPr>
          <w:p w14:paraId="4C44B5C9"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0.16</w:t>
            </w:r>
          </w:p>
        </w:tc>
        <w:tc>
          <w:tcPr>
            <w:tcW w:w="876" w:type="dxa"/>
            <w:tcBorders>
              <w:top w:val="nil"/>
              <w:left w:val="nil"/>
              <w:bottom w:val="nil"/>
              <w:right w:val="nil"/>
            </w:tcBorders>
            <w:shd w:val="clear" w:color="auto" w:fill="auto"/>
            <w:noWrap/>
            <w:vAlign w:val="bottom"/>
            <w:hideMark/>
          </w:tcPr>
          <w:p w14:paraId="02FEC926"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0.87</w:t>
            </w:r>
          </w:p>
        </w:tc>
      </w:tr>
      <w:tr w:rsidR="00CF4E1A" w:rsidRPr="00CF4E1A" w14:paraId="3E475A04" w14:textId="77777777" w:rsidTr="00CF4E1A">
        <w:trPr>
          <w:trHeight w:val="290"/>
        </w:trPr>
        <w:tc>
          <w:tcPr>
            <w:tcW w:w="3460" w:type="dxa"/>
            <w:tcBorders>
              <w:top w:val="nil"/>
              <w:left w:val="nil"/>
              <w:bottom w:val="nil"/>
              <w:right w:val="nil"/>
            </w:tcBorders>
            <w:shd w:val="clear" w:color="auto" w:fill="auto"/>
            <w:noWrap/>
            <w:vAlign w:val="bottom"/>
            <w:hideMark/>
          </w:tcPr>
          <w:p w14:paraId="164C484F" w14:textId="5E2D92C4" w:rsidR="00CF4E1A" w:rsidRPr="00CF4E1A" w:rsidRDefault="002877AE" w:rsidP="00CF4E1A">
            <w:pPr>
              <w:spacing w:after="0" w:line="240" w:lineRule="auto"/>
              <w:rPr>
                <w:rFonts w:ascii="Calibri" w:eastAsia="Times New Roman" w:hAnsi="Calibri" w:cs="Calibri"/>
                <w:lang w:eastAsia="pl-PL"/>
              </w:rPr>
            </w:pPr>
            <w:r>
              <w:rPr>
                <w:rFonts w:ascii="Calibri" w:eastAsia="Times New Roman" w:hAnsi="Calibri" w:cs="Calibri"/>
                <w:lang w:eastAsia="pl-PL"/>
              </w:rPr>
              <w:t>year</w:t>
            </w:r>
            <w:r w:rsidR="00CF4E1A" w:rsidRPr="00CF4E1A">
              <w:rPr>
                <w:rFonts w:ascii="Calibri" w:eastAsia="Times New Roman" w:hAnsi="Calibri" w:cs="Calibri"/>
                <w:lang w:eastAsia="pl-PL"/>
              </w:rPr>
              <w:t>2019 x sex (m)</w:t>
            </w:r>
          </w:p>
        </w:tc>
        <w:tc>
          <w:tcPr>
            <w:tcW w:w="1055" w:type="dxa"/>
            <w:tcBorders>
              <w:top w:val="nil"/>
              <w:left w:val="nil"/>
              <w:bottom w:val="nil"/>
              <w:right w:val="nil"/>
            </w:tcBorders>
            <w:shd w:val="clear" w:color="auto" w:fill="auto"/>
            <w:noWrap/>
            <w:vAlign w:val="bottom"/>
            <w:hideMark/>
          </w:tcPr>
          <w:p w14:paraId="077EBD42"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-2.00</w:t>
            </w:r>
          </w:p>
        </w:tc>
        <w:tc>
          <w:tcPr>
            <w:tcW w:w="551" w:type="dxa"/>
            <w:tcBorders>
              <w:top w:val="nil"/>
              <w:left w:val="nil"/>
              <w:bottom w:val="nil"/>
              <w:right w:val="nil"/>
            </w:tcBorders>
            <w:shd w:val="clear" w:color="auto" w:fill="auto"/>
            <w:noWrap/>
            <w:vAlign w:val="bottom"/>
            <w:hideMark/>
          </w:tcPr>
          <w:p w14:paraId="242F4AE8"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5.92</w:t>
            </w:r>
          </w:p>
        </w:tc>
        <w:tc>
          <w:tcPr>
            <w:tcW w:w="959" w:type="dxa"/>
            <w:tcBorders>
              <w:top w:val="nil"/>
              <w:left w:val="nil"/>
              <w:bottom w:val="nil"/>
              <w:right w:val="nil"/>
            </w:tcBorders>
            <w:shd w:val="clear" w:color="auto" w:fill="auto"/>
            <w:noWrap/>
            <w:vAlign w:val="bottom"/>
            <w:hideMark/>
          </w:tcPr>
          <w:p w14:paraId="455971C6"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-0.34</w:t>
            </w:r>
          </w:p>
        </w:tc>
        <w:tc>
          <w:tcPr>
            <w:tcW w:w="876" w:type="dxa"/>
            <w:tcBorders>
              <w:top w:val="nil"/>
              <w:left w:val="nil"/>
              <w:bottom w:val="nil"/>
              <w:right w:val="nil"/>
            </w:tcBorders>
            <w:shd w:val="clear" w:color="auto" w:fill="auto"/>
            <w:noWrap/>
            <w:vAlign w:val="bottom"/>
            <w:hideMark/>
          </w:tcPr>
          <w:p w14:paraId="136E7FB4"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0.74</w:t>
            </w:r>
          </w:p>
        </w:tc>
        <w:tc>
          <w:tcPr>
            <w:tcW w:w="1055" w:type="dxa"/>
            <w:tcBorders>
              <w:top w:val="nil"/>
              <w:left w:val="nil"/>
              <w:bottom w:val="nil"/>
              <w:right w:val="nil"/>
            </w:tcBorders>
            <w:shd w:val="clear" w:color="auto" w:fill="auto"/>
            <w:noWrap/>
            <w:vAlign w:val="bottom"/>
            <w:hideMark/>
          </w:tcPr>
          <w:p w14:paraId="1125D231"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-7.99</w:t>
            </w:r>
          </w:p>
        </w:tc>
        <w:tc>
          <w:tcPr>
            <w:tcW w:w="551" w:type="dxa"/>
            <w:tcBorders>
              <w:top w:val="nil"/>
              <w:left w:val="nil"/>
              <w:bottom w:val="nil"/>
              <w:right w:val="nil"/>
            </w:tcBorders>
            <w:shd w:val="clear" w:color="auto" w:fill="auto"/>
            <w:noWrap/>
            <w:vAlign w:val="bottom"/>
            <w:hideMark/>
          </w:tcPr>
          <w:p w14:paraId="72FD654F"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3.92</w:t>
            </w:r>
          </w:p>
        </w:tc>
        <w:tc>
          <w:tcPr>
            <w:tcW w:w="959" w:type="dxa"/>
            <w:tcBorders>
              <w:top w:val="nil"/>
              <w:left w:val="nil"/>
              <w:bottom w:val="nil"/>
              <w:right w:val="nil"/>
            </w:tcBorders>
            <w:shd w:val="clear" w:color="auto" w:fill="auto"/>
            <w:noWrap/>
            <w:vAlign w:val="bottom"/>
            <w:hideMark/>
          </w:tcPr>
          <w:p w14:paraId="7E247AC9"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-2.04</w:t>
            </w:r>
          </w:p>
        </w:tc>
        <w:tc>
          <w:tcPr>
            <w:tcW w:w="876" w:type="dxa"/>
            <w:tcBorders>
              <w:top w:val="nil"/>
              <w:left w:val="nil"/>
              <w:bottom w:val="nil"/>
              <w:right w:val="nil"/>
            </w:tcBorders>
            <w:shd w:val="clear" w:color="auto" w:fill="auto"/>
            <w:noWrap/>
            <w:vAlign w:val="bottom"/>
            <w:hideMark/>
          </w:tcPr>
          <w:p w14:paraId="58877138"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0.04</w:t>
            </w:r>
          </w:p>
        </w:tc>
        <w:tc>
          <w:tcPr>
            <w:tcW w:w="1055" w:type="dxa"/>
            <w:tcBorders>
              <w:top w:val="nil"/>
              <w:left w:val="nil"/>
              <w:bottom w:val="nil"/>
              <w:right w:val="nil"/>
            </w:tcBorders>
            <w:shd w:val="clear" w:color="auto" w:fill="auto"/>
            <w:noWrap/>
            <w:vAlign w:val="bottom"/>
            <w:hideMark/>
          </w:tcPr>
          <w:p w14:paraId="5F0F6974"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-1.74</w:t>
            </w:r>
          </w:p>
        </w:tc>
        <w:tc>
          <w:tcPr>
            <w:tcW w:w="551" w:type="dxa"/>
            <w:tcBorders>
              <w:top w:val="nil"/>
              <w:left w:val="nil"/>
              <w:bottom w:val="nil"/>
              <w:right w:val="nil"/>
            </w:tcBorders>
            <w:shd w:val="clear" w:color="auto" w:fill="auto"/>
            <w:noWrap/>
            <w:vAlign w:val="bottom"/>
            <w:hideMark/>
          </w:tcPr>
          <w:p w14:paraId="6D4D677F"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1.71</w:t>
            </w:r>
          </w:p>
        </w:tc>
        <w:tc>
          <w:tcPr>
            <w:tcW w:w="959" w:type="dxa"/>
            <w:tcBorders>
              <w:top w:val="nil"/>
              <w:left w:val="nil"/>
              <w:bottom w:val="nil"/>
              <w:right w:val="nil"/>
            </w:tcBorders>
            <w:shd w:val="clear" w:color="auto" w:fill="auto"/>
            <w:noWrap/>
            <w:vAlign w:val="bottom"/>
            <w:hideMark/>
          </w:tcPr>
          <w:p w14:paraId="4D88639B"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-1.02</w:t>
            </w:r>
          </w:p>
        </w:tc>
        <w:tc>
          <w:tcPr>
            <w:tcW w:w="876" w:type="dxa"/>
            <w:tcBorders>
              <w:top w:val="nil"/>
              <w:left w:val="nil"/>
              <w:bottom w:val="nil"/>
              <w:right w:val="nil"/>
            </w:tcBorders>
            <w:shd w:val="clear" w:color="auto" w:fill="auto"/>
            <w:noWrap/>
            <w:vAlign w:val="bottom"/>
            <w:hideMark/>
          </w:tcPr>
          <w:p w14:paraId="0461FD84"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0.31</w:t>
            </w:r>
          </w:p>
        </w:tc>
      </w:tr>
      <w:tr w:rsidR="00CF4E1A" w:rsidRPr="00CF4E1A" w14:paraId="7F28E910" w14:textId="77777777" w:rsidTr="00CF4E1A">
        <w:trPr>
          <w:trHeight w:val="290"/>
        </w:trPr>
        <w:tc>
          <w:tcPr>
            <w:tcW w:w="3460" w:type="dxa"/>
            <w:tcBorders>
              <w:top w:val="nil"/>
              <w:left w:val="nil"/>
              <w:bottom w:val="nil"/>
              <w:right w:val="nil"/>
            </w:tcBorders>
            <w:shd w:val="clear" w:color="auto" w:fill="auto"/>
            <w:noWrap/>
            <w:vAlign w:val="bottom"/>
            <w:hideMark/>
          </w:tcPr>
          <w:p w14:paraId="5255139C" w14:textId="69D95B03" w:rsidR="00CF4E1A" w:rsidRPr="00CF4E1A" w:rsidRDefault="002877AE" w:rsidP="00CF4E1A">
            <w:pPr>
              <w:spacing w:after="0" w:line="240" w:lineRule="auto"/>
              <w:rPr>
                <w:rFonts w:ascii="Calibri" w:eastAsia="Times New Roman" w:hAnsi="Calibri" w:cs="Calibri"/>
                <w:lang w:eastAsia="pl-PL"/>
              </w:rPr>
            </w:pPr>
            <w:r>
              <w:rPr>
                <w:rFonts w:ascii="Calibri" w:eastAsia="Times New Roman" w:hAnsi="Calibri" w:cs="Calibri"/>
                <w:lang w:eastAsia="pl-PL"/>
              </w:rPr>
              <w:t>year</w:t>
            </w:r>
            <w:r w:rsidR="00CF4E1A" w:rsidRPr="00CF4E1A">
              <w:rPr>
                <w:rFonts w:ascii="Calibri" w:eastAsia="Times New Roman" w:hAnsi="Calibri" w:cs="Calibri"/>
                <w:lang w:eastAsia="pl-PL"/>
              </w:rPr>
              <w:t>2020 x sex (m)</w:t>
            </w:r>
          </w:p>
        </w:tc>
        <w:tc>
          <w:tcPr>
            <w:tcW w:w="1055" w:type="dxa"/>
            <w:tcBorders>
              <w:top w:val="nil"/>
              <w:left w:val="nil"/>
              <w:bottom w:val="nil"/>
              <w:right w:val="nil"/>
            </w:tcBorders>
            <w:shd w:val="clear" w:color="auto" w:fill="auto"/>
            <w:noWrap/>
            <w:vAlign w:val="bottom"/>
            <w:hideMark/>
          </w:tcPr>
          <w:p w14:paraId="24DE1E71"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1.37</w:t>
            </w:r>
          </w:p>
        </w:tc>
        <w:tc>
          <w:tcPr>
            <w:tcW w:w="551" w:type="dxa"/>
            <w:tcBorders>
              <w:top w:val="nil"/>
              <w:left w:val="nil"/>
              <w:bottom w:val="nil"/>
              <w:right w:val="nil"/>
            </w:tcBorders>
            <w:shd w:val="clear" w:color="auto" w:fill="auto"/>
            <w:noWrap/>
            <w:vAlign w:val="bottom"/>
            <w:hideMark/>
          </w:tcPr>
          <w:p w14:paraId="78429590"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3.28</w:t>
            </w:r>
          </w:p>
        </w:tc>
        <w:tc>
          <w:tcPr>
            <w:tcW w:w="959" w:type="dxa"/>
            <w:tcBorders>
              <w:top w:val="nil"/>
              <w:left w:val="nil"/>
              <w:bottom w:val="nil"/>
              <w:right w:val="nil"/>
            </w:tcBorders>
            <w:shd w:val="clear" w:color="auto" w:fill="auto"/>
            <w:noWrap/>
            <w:vAlign w:val="bottom"/>
            <w:hideMark/>
          </w:tcPr>
          <w:p w14:paraId="2D709E37"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0.42</w:t>
            </w:r>
          </w:p>
        </w:tc>
        <w:tc>
          <w:tcPr>
            <w:tcW w:w="876" w:type="dxa"/>
            <w:tcBorders>
              <w:top w:val="nil"/>
              <w:left w:val="nil"/>
              <w:bottom w:val="nil"/>
              <w:right w:val="nil"/>
            </w:tcBorders>
            <w:shd w:val="clear" w:color="auto" w:fill="auto"/>
            <w:noWrap/>
            <w:vAlign w:val="bottom"/>
            <w:hideMark/>
          </w:tcPr>
          <w:p w14:paraId="547262D8"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0.68</w:t>
            </w:r>
          </w:p>
        </w:tc>
        <w:tc>
          <w:tcPr>
            <w:tcW w:w="1055" w:type="dxa"/>
            <w:tcBorders>
              <w:top w:val="nil"/>
              <w:left w:val="nil"/>
              <w:bottom w:val="nil"/>
              <w:right w:val="nil"/>
            </w:tcBorders>
            <w:shd w:val="clear" w:color="auto" w:fill="auto"/>
            <w:noWrap/>
            <w:vAlign w:val="bottom"/>
            <w:hideMark/>
          </w:tcPr>
          <w:p w14:paraId="4346E185" w14:textId="77777777" w:rsidR="00CF4E1A" w:rsidRPr="00CF4E1A" w:rsidRDefault="00CF4E1A" w:rsidP="00CF4E1A">
            <w:pPr>
              <w:spacing w:after="0" w:line="240" w:lineRule="auto"/>
              <w:jc w:val="center"/>
              <w:rPr>
                <w:rFonts w:ascii="Calibri" w:eastAsia="Times New Roman" w:hAnsi="Calibri" w:cs="Calibri"/>
                <w:b/>
                <w:bCs/>
                <w:color w:val="E26B0A"/>
                <w:lang w:eastAsia="pl-PL"/>
              </w:rPr>
            </w:pPr>
            <w:r w:rsidRPr="00CF4E1A">
              <w:rPr>
                <w:rFonts w:ascii="Calibri" w:eastAsia="Times New Roman" w:hAnsi="Calibri" w:cs="Calibri"/>
                <w:b/>
                <w:bCs/>
                <w:color w:val="E26B0A"/>
                <w:lang w:eastAsia="pl-PL"/>
              </w:rPr>
              <w:t>-7.45</w:t>
            </w:r>
          </w:p>
        </w:tc>
        <w:tc>
          <w:tcPr>
            <w:tcW w:w="551" w:type="dxa"/>
            <w:tcBorders>
              <w:top w:val="nil"/>
              <w:left w:val="nil"/>
              <w:bottom w:val="nil"/>
              <w:right w:val="nil"/>
            </w:tcBorders>
            <w:shd w:val="clear" w:color="auto" w:fill="auto"/>
            <w:noWrap/>
            <w:vAlign w:val="bottom"/>
            <w:hideMark/>
          </w:tcPr>
          <w:p w14:paraId="1146781F" w14:textId="77777777" w:rsidR="00CF4E1A" w:rsidRPr="00CF4E1A" w:rsidRDefault="00CF4E1A" w:rsidP="00CF4E1A">
            <w:pPr>
              <w:spacing w:after="0" w:line="240" w:lineRule="auto"/>
              <w:jc w:val="center"/>
              <w:rPr>
                <w:rFonts w:ascii="Calibri" w:eastAsia="Times New Roman" w:hAnsi="Calibri" w:cs="Calibri"/>
                <w:b/>
                <w:bCs/>
                <w:color w:val="E26B0A"/>
                <w:lang w:eastAsia="pl-PL"/>
              </w:rPr>
            </w:pPr>
            <w:r w:rsidRPr="00CF4E1A">
              <w:rPr>
                <w:rFonts w:ascii="Calibri" w:eastAsia="Times New Roman" w:hAnsi="Calibri" w:cs="Calibri"/>
                <w:b/>
                <w:bCs/>
                <w:color w:val="E26B0A"/>
                <w:lang w:eastAsia="pl-PL"/>
              </w:rPr>
              <w:t>3.71</w:t>
            </w:r>
          </w:p>
        </w:tc>
        <w:tc>
          <w:tcPr>
            <w:tcW w:w="959" w:type="dxa"/>
            <w:tcBorders>
              <w:top w:val="nil"/>
              <w:left w:val="nil"/>
              <w:bottom w:val="nil"/>
              <w:right w:val="nil"/>
            </w:tcBorders>
            <w:shd w:val="clear" w:color="auto" w:fill="auto"/>
            <w:noWrap/>
            <w:vAlign w:val="bottom"/>
            <w:hideMark/>
          </w:tcPr>
          <w:p w14:paraId="577AF7B4" w14:textId="77777777" w:rsidR="00CF4E1A" w:rsidRPr="00CF4E1A" w:rsidRDefault="00CF4E1A" w:rsidP="00CF4E1A">
            <w:pPr>
              <w:spacing w:after="0" w:line="240" w:lineRule="auto"/>
              <w:jc w:val="center"/>
              <w:rPr>
                <w:rFonts w:ascii="Calibri" w:eastAsia="Times New Roman" w:hAnsi="Calibri" w:cs="Calibri"/>
                <w:b/>
                <w:bCs/>
                <w:color w:val="E26B0A"/>
                <w:lang w:eastAsia="pl-PL"/>
              </w:rPr>
            </w:pPr>
            <w:r w:rsidRPr="00CF4E1A">
              <w:rPr>
                <w:rFonts w:ascii="Calibri" w:eastAsia="Times New Roman" w:hAnsi="Calibri" w:cs="Calibri"/>
                <w:b/>
                <w:bCs/>
                <w:color w:val="E26B0A"/>
                <w:lang w:eastAsia="pl-PL"/>
              </w:rPr>
              <w:t>-2.01</w:t>
            </w:r>
          </w:p>
        </w:tc>
        <w:tc>
          <w:tcPr>
            <w:tcW w:w="876" w:type="dxa"/>
            <w:tcBorders>
              <w:top w:val="nil"/>
              <w:left w:val="nil"/>
              <w:bottom w:val="nil"/>
              <w:right w:val="nil"/>
            </w:tcBorders>
            <w:shd w:val="clear" w:color="auto" w:fill="auto"/>
            <w:noWrap/>
            <w:vAlign w:val="bottom"/>
            <w:hideMark/>
          </w:tcPr>
          <w:p w14:paraId="237DA84F" w14:textId="77777777" w:rsidR="00CF4E1A" w:rsidRPr="00CF4E1A" w:rsidRDefault="00CF4E1A" w:rsidP="00CF4E1A">
            <w:pPr>
              <w:spacing w:after="0" w:line="240" w:lineRule="auto"/>
              <w:jc w:val="center"/>
              <w:rPr>
                <w:rFonts w:ascii="Calibri" w:eastAsia="Times New Roman" w:hAnsi="Calibri" w:cs="Calibri"/>
                <w:b/>
                <w:bCs/>
                <w:color w:val="E26B0A"/>
                <w:lang w:eastAsia="pl-PL"/>
              </w:rPr>
            </w:pPr>
            <w:r w:rsidRPr="00CF4E1A">
              <w:rPr>
                <w:rFonts w:ascii="Calibri" w:eastAsia="Times New Roman" w:hAnsi="Calibri" w:cs="Calibri"/>
                <w:b/>
                <w:bCs/>
                <w:color w:val="E26B0A"/>
                <w:lang w:eastAsia="pl-PL"/>
              </w:rPr>
              <w:t>0.05</w:t>
            </w:r>
          </w:p>
        </w:tc>
        <w:tc>
          <w:tcPr>
            <w:tcW w:w="1055" w:type="dxa"/>
            <w:tcBorders>
              <w:top w:val="nil"/>
              <w:left w:val="nil"/>
              <w:bottom w:val="nil"/>
              <w:right w:val="nil"/>
            </w:tcBorders>
            <w:shd w:val="clear" w:color="auto" w:fill="auto"/>
            <w:noWrap/>
            <w:vAlign w:val="bottom"/>
            <w:hideMark/>
          </w:tcPr>
          <w:p w14:paraId="26AE921A"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-2.35</w:t>
            </w:r>
          </w:p>
        </w:tc>
        <w:tc>
          <w:tcPr>
            <w:tcW w:w="551" w:type="dxa"/>
            <w:tcBorders>
              <w:top w:val="nil"/>
              <w:left w:val="nil"/>
              <w:bottom w:val="nil"/>
              <w:right w:val="nil"/>
            </w:tcBorders>
            <w:shd w:val="clear" w:color="auto" w:fill="auto"/>
            <w:noWrap/>
            <w:vAlign w:val="bottom"/>
            <w:hideMark/>
          </w:tcPr>
          <w:p w14:paraId="1227BA27"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1.73</w:t>
            </w:r>
          </w:p>
        </w:tc>
        <w:tc>
          <w:tcPr>
            <w:tcW w:w="959" w:type="dxa"/>
            <w:tcBorders>
              <w:top w:val="nil"/>
              <w:left w:val="nil"/>
              <w:bottom w:val="nil"/>
              <w:right w:val="nil"/>
            </w:tcBorders>
            <w:shd w:val="clear" w:color="auto" w:fill="auto"/>
            <w:noWrap/>
            <w:vAlign w:val="bottom"/>
            <w:hideMark/>
          </w:tcPr>
          <w:p w14:paraId="191D2151"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-1.36</w:t>
            </w:r>
          </w:p>
        </w:tc>
        <w:tc>
          <w:tcPr>
            <w:tcW w:w="876" w:type="dxa"/>
            <w:tcBorders>
              <w:top w:val="nil"/>
              <w:left w:val="nil"/>
              <w:bottom w:val="nil"/>
              <w:right w:val="nil"/>
            </w:tcBorders>
            <w:shd w:val="clear" w:color="auto" w:fill="auto"/>
            <w:noWrap/>
            <w:vAlign w:val="bottom"/>
            <w:hideMark/>
          </w:tcPr>
          <w:p w14:paraId="0D93EE48"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0.18</w:t>
            </w:r>
          </w:p>
        </w:tc>
      </w:tr>
      <w:tr w:rsidR="00CF4E1A" w:rsidRPr="00CF4E1A" w14:paraId="3722B216" w14:textId="77777777" w:rsidTr="00CF4E1A">
        <w:trPr>
          <w:trHeight w:val="290"/>
        </w:trPr>
        <w:tc>
          <w:tcPr>
            <w:tcW w:w="3460" w:type="dxa"/>
            <w:tcBorders>
              <w:top w:val="nil"/>
              <w:left w:val="nil"/>
              <w:bottom w:val="nil"/>
              <w:right w:val="nil"/>
            </w:tcBorders>
            <w:shd w:val="clear" w:color="auto" w:fill="auto"/>
            <w:noWrap/>
            <w:vAlign w:val="bottom"/>
            <w:hideMark/>
          </w:tcPr>
          <w:p w14:paraId="5F8211C2" w14:textId="233A8571" w:rsidR="00CF4E1A" w:rsidRPr="00CF4E1A" w:rsidRDefault="00F41149" w:rsidP="00CF4E1A">
            <w:pPr>
              <w:spacing w:after="0" w:line="240" w:lineRule="auto"/>
              <w:rPr>
                <w:rFonts w:ascii="Calibri" w:eastAsia="Times New Roman" w:hAnsi="Calibri" w:cs="Calibri"/>
                <w:lang w:val="en-GB" w:eastAsia="pl-PL"/>
              </w:rPr>
            </w:pPr>
            <w:r>
              <w:rPr>
                <w:rFonts w:ascii="Calibri" w:eastAsia="Times New Roman" w:hAnsi="Calibri" w:cs="Calibri"/>
                <w:lang w:val="en-GB" w:eastAsia="pl-PL"/>
              </w:rPr>
              <w:t xml:space="preserve">trip type (ST) x </w:t>
            </w:r>
            <w:r w:rsidR="002877AE">
              <w:rPr>
                <w:rFonts w:ascii="Calibri" w:eastAsia="Times New Roman" w:hAnsi="Calibri" w:cs="Calibri"/>
                <w:lang w:val="en-GB" w:eastAsia="pl-PL"/>
              </w:rPr>
              <w:t>year</w:t>
            </w:r>
            <w:r w:rsidR="00CF4E1A" w:rsidRPr="00CF4E1A">
              <w:rPr>
                <w:rFonts w:ascii="Calibri" w:eastAsia="Times New Roman" w:hAnsi="Calibri" w:cs="Calibri"/>
                <w:lang w:val="en-GB" w:eastAsia="pl-PL"/>
              </w:rPr>
              <w:t>2018 x sex (m)</w:t>
            </w:r>
          </w:p>
        </w:tc>
        <w:tc>
          <w:tcPr>
            <w:tcW w:w="1055" w:type="dxa"/>
            <w:tcBorders>
              <w:top w:val="nil"/>
              <w:left w:val="nil"/>
              <w:bottom w:val="nil"/>
              <w:right w:val="nil"/>
            </w:tcBorders>
            <w:shd w:val="clear" w:color="auto" w:fill="auto"/>
            <w:noWrap/>
            <w:vAlign w:val="bottom"/>
            <w:hideMark/>
          </w:tcPr>
          <w:p w14:paraId="1BF01E90"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1.78</w:t>
            </w:r>
          </w:p>
        </w:tc>
        <w:tc>
          <w:tcPr>
            <w:tcW w:w="551" w:type="dxa"/>
            <w:tcBorders>
              <w:top w:val="nil"/>
              <w:left w:val="nil"/>
              <w:bottom w:val="nil"/>
              <w:right w:val="nil"/>
            </w:tcBorders>
            <w:shd w:val="clear" w:color="auto" w:fill="auto"/>
            <w:noWrap/>
            <w:vAlign w:val="bottom"/>
            <w:hideMark/>
          </w:tcPr>
          <w:p w14:paraId="65D1410B"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6.59</w:t>
            </w:r>
          </w:p>
        </w:tc>
        <w:tc>
          <w:tcPr>
            <w:tcW w:w="959" w:type="dxa"/>
            <w:tcBorders>
              <w:top w:val="nil"/>
              <w:left w:val="nil"/>
              <w:bottom w:val="nil"/>
              <w:right w:val="nil"/>
            </w:tcBorders>
            <w:shd w:val="clear" w:color="auto" w:fill="auto"/>
            <w:noWrap/>
            <w:vAlign w:val="bottom"/>
            <w:hideMark/>
          </w:tcPr>
          <w:p w14:paraId="27B92ED2"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0.27</w:t>
            </w:r>
          </w:p>
        </w:tc>
        <w:tc>
          <w:tcPr>
            <w:tcW w:w="876" w:type="dxa"/>
            <w:tcBorders>
              <w:top w:val="nil"/>
              <w:left w:val="nil"/>
              <w:bottom w:val="nil"/>
              <w:right w:val="nil"/>
            </w:tcBorders>
            <w:shd w:val="clear" w:color="auto" w:fill="auto"/>
            <w:noWrap/>
            <w:vAlign w:val="bottom"/>
            <w:hideMark/>
          </w:tcPr>
          <w:p w14:paraId="0645F061"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0.79</w:t>
            </w:r>
          </w:p>
        </w:tc>
        <w:tc>
          <w:tcPr>
            <w:tcW w:w="1055" w:type="dxa"/>
            <w:tcBorders>
              <w:top w:val="nil"/>
              <w:left w:val="nil"/>
              <w:bottom w:val="nil"/>
              <w:right w:val="nil"/>
            </w:tcBorders>
            <w:shd w:val="clear" w:color="auto" w:fill="auto"/>
            <w:noWrap/>
            <w:vAlign w:val="bottom"/>
            <w:hideMark/>
          </w:tcPr>
          <w:p w14:paraId="442374A8"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11.08</w:t>
            </w:r>
          </w:p>
        </w:tc>
        <w:tc>
          <w:tcPr>
            <w:tcW w:w="551" w:type="dxa"/>
            <w:tcBorders>
              <w:top w:val="nil"/>
              <w:left w:val="nil"/>
              <w:bottom w:val="nil"/>
              <w:right w:val="nil"/>
            </w:tcBorders>
            <w:shd w:val="clear" w:color="auto" w:fill="auto"/>
            <w:noWrap/>
            <w:vAlign w:val="bottom"/>
            <w:hideMark/>
          </w:tcPr>
          <w:p w14:paraId="1F3F2C72"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5.11</w:t>
            </w:r>
          </w:p>
        </w:tc>
        <w:tc>
          <w:tcPr>
            <w:tcW w:w="959" w:type="dxa"/>
            <w:tcBorders>
              <w:top w:val="nil"/>
              <w:left w:val="nil"/>
              <w:bottom w:val="nil"/>
              <w:right w:val="nil"/>
            </w:tcBorders>
            <w:shd w:val="clear" w:color="auto" w:fill="auto"/>
            <w:noWrap/>
            <w:vAlign w:val="bottom"/>
            <w:hideMark/>
          </w:tcPr>
          <w:p w14:paraId="5598DBF7"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2.17</w:t>
            </w:r>
          </w:p>
        </w:tc>
        <w:tc>
          <w:tcPr>
            <w:tcW w:w="876" w:type="dxa"/>
            <w:tcBorders>
              <w:top w:val="nil"/>
              <w:left w:val="nil"/>
              <w:bottom w:val="nil"/>
              <w:right w:val="nil"/>
            </w:tcBorders>
            <w:shd w:val="clear" w:color="auto" w:fill="auto"/>
            <w:noWrap/>
            <w:vAlign w:val="bottom"/>
            <w:hideMark/>
          </w:tcPr>
          <w:p w14:paraId="643B88AA" w14:textId="77777777" w:rsidR="00CF4E1A" w:rsidRPr="00CF4E1A" w:rsidRDefault="00CF4E1A" w:rsidP="00CF4E1A">
            <w:pPr>
              <w:spacing w:after="0" w:line="240" w:lineRule="auto"/>
              <w:jc w:val="center"/>
              <w:rPr>
                <w:rFonts w:ascii="Calibri" w:eastAsia="Times New Roman" w:hAnsi="Calibri" w:cs="Calibri"/>
                <w:b/>
                <w:bCs/>
                <w:color w:val="FF0000"/>
                <w:lang w:eastAsia="pl-PL"/>
              </w:rPr>
            </w:pPr>
            <w:r w:rsidRPr="00CF4E1A">
              <w:rPr>
                <w:rFonts w:ascii="Calibri" w:eastAsia="Times New Roman" w:hAnsi="Calibri" w:cs="Calibri"/>
                <w:b/>
                <w:bCs/>
                <w:color w:val="FF0000"/>
                <w:lang w:eastAsia="pl-PL"/>
              </w:rPr>
              <w:t>0.03</w:t>
            </w:r>
          </w:p>
        </w:tc>
        <w:tc>
          <w:tcPr>
            <w:tcW w:w="1055" w:type="dxa"/>
            <w:tcBorders>
              <w:top w:val="nil"/>
              <w:left w:val="nil"/>
              <w:bottom w:val="nil"/>
              <w:right w:val="nil"/>
            </w:tcBorders>
            <w:shd w:val="clear" w:color="auto" w:fill="auto"/>
            <w:noWrap/>
            <w:vAlign w:val="bottom"/>
            <w:hideMark/>
          </w:tcPr>
          <w:p w14:paraId="5AF6DE36"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0.84</w:t>
            </w:r>
          </w:p>
        </w:tc>
        <w:tc>
          <w:tcPr>
            <w:tcW w:w="551" w:type="dxa"/>
            <w:tcBorders>
              <w:top w:val="nil"/>
              <w:left w:val="nil"/>
              <w:bottom w:val="nil"/>
              <w:right w:val="nil"/>
            </w:tcBorders>
            <w:shd w:val="clear" w:color="auto" w:fill="auto"/>
            <w:noWrap/>
            <w:vAlign w:val="bottom"/>
            <w:hideMark/>
          </w:tcPr>
          <w:p w14:paraId="4BB7B281"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5.35</w:t>
            </w:r>
          </w:p>
        </w:tc>
        <w:tc>
          <w:tcPr>
            <w:tcW w:w="959" w:type="dxa"/>
            <w:tcBorders>
              <w:top w:val="nil"/>
              <w:left w:val="nil"/>
              <w:bottom w:val="nil"/>
              <w:right w:val="nil"/>
            </w:tcBorders>
            <w:shd w:val="clear" w:color="auto" w:fill="auto"/>
            <w:noWrap/>
            <w:vAlign w:val="bottom"/>
            <w:hideMark/>
          </w:tcPr>
          <w:p w14:paraId="6147E67D"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0.16</w:t>
            </w:r>
          </w:p>
        </w:tc>
        <w:tc>
          <w:tcPr>
            <w:tcW w:w="876" w:type="dxa"/>
            <w:tcBorders>
              <w:top w:val="nil"/>
              <w:left w:val="nil"/>
              <w:bottom w:val="nil"/>
              <w:right w:val="nil"/>
            </w:tcBorders>
            <w:shd w:val="clear" w:color="auto" w:fill="auto"/>
            <w:noWrap/>
            <w:vAlign w:val="bottom"/>
            <w:hideMark/>
          </w:tcPr>
          <w:p w14:paraId="1E622B45"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0.87</w:t>
            </w:r>
          </w:p>
        </w:tc>
      </w:tr>
      <w:tr w:rsidR="00CF4E1A" w:rsidRPr="00CF4E1A" w14:paraId="366C5B51" w14:textId="77777777" w:rsidTr="00CF4E1A">
        <w:trPr>
          <w:trHeight w:val="290"/>
        </w:trPr>
        <w:tc>
          <w:tcPr>
            <w:tcW w:w="3460" w:type="dxa"/>
            <w:tcBorders>
              <w:top w:val="nil"/>
              <w:left w:val="nil"/>
              <w:bottom w:val="nil"/>
              <w:right w:val="nil"/>
            </w:tcBorders>
            <w:shd w:val="clear" w:color="auto" w:fill="auto"/>
            <w:noWrap/>
            <w:vAlign w:val="bottom"/>
            <w:hideMark/>
          </w:tcPr>
          <w:p w14:paraId="4916BC6D" w14:textId="0AF50754" w:rsidR="00CF4E1A" w:rsidRPr="00CF4E1A" w:rsidRDefault="00CF4E1A" w:rsidP="002877AE">
            <w:pPr>
              <w:spacing w:after="0" w:line="240" w:lineRule="auto"/>
              <w:rPr>
                <w:rFonts w:ascii="Calibri" w:eastAsia="Times New Roman" w:hAnsi="Calibri" w:cs="Calibri"/>
                <w:lang w:val="en-GB" w:eastAsia="pl-PL"/>
              </w:rPr>
            </w:pPr>
            <w:r w:rsidRPr="00CF4E1A">
              <w:rPr>
                <w:rFonts w:ascii="Calibri" w:eastAsia="Times New Roman" w:hAnsi="Calibri" w:cs="Calibri"/>
                <w:lang w:val="en-GB" w:eastAsia="pl-PL"/>
              </w:rPr>
              <w:t xml:space="preserve">trip type (ST) x </w:t>
            </w:r>
            <w:r w:rsidR="002877AE" w:rsidRPr="002877AE">
              <w:rPr>
                <w:rFonts w:ascii="Calibri" w:eastAsia="Times New Roman" w:hAnsi="Calibri" w:cs="Calibri"/>
                <w:lang w:val="en-GB" w:eastAsia="pl-PL"/>
              </w:rPr>
              <w:t>year</w:t>
            </w:r>
            <w:r w:rsidRPr="00CF4E1A">
              <w:rPr>
                <w:rFonts w:ascii="Calibri" w:eastAsia="Times New Roman" w:hAnsi="Calibri" w:cs="Calibri"/>
                <w:lang w:val="en-GB" w:eastAsia="pl-PL"/>
              </w:rPr>
              <w:t>2019 x sex (m)</w:t>
            </w:r>
          </w:p>
        </w:tc>
        <w:tc>
          <w:tcPr>
            <w:tcW w:w="1055" w:type="dxa"/>
            <w:tcBorders>
              <w:top w:val="nil"/>
              <w:left w:val="nil"/>
              <w:bottom w:val="nil"/>
              <w:right w:val="nil"/>
            </w:tcBorders>
            <w:shd w:val="clear" w:color="auto" w:fill="auto"/>
            <w:noWrap/>
            <w:vAlign w:val="bottom"/>
            <w:hideMark/>
          </w:tcPr>
          <w:p w14:paraId="0847718D"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3.33</w:t>
            </w:r>
          </w:p>
        </w:tc>
        <w:tc>
          <w:tcPr>
            <w:tcW w:w="551" w:type="dxa"/>
            <w:tcBorders>
              <w:top w:val="nil"/>
              <w:left w:val="nil"/>
              <w:bottom w:val="nil"/>
              <w:right w:val="nil"/>
            </w:tcBorders>
            <w:shd w:val="clear" w:color="auto" w:fill="auto"/>
            <w:noWrap/>
            <w:vAlign w:val="bottom"/>
            <w:hideMark/>
          </w:tcPr>
          <w:p w14:paraId="37DBDA6E"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8.32</w:t>
            </w:r>
          </w:p>
        </w:tc>
        <w:tc>
          <w:tcPr>
            <w:tcW w:w="959" w:type="dxa"/>
            <w:tcBorders>
              <w:top w:val="nil"/>
              <w:left w:val="nil"/>
              <w:bottom w:val="nil"/>
              <w:right w:val="nil"/>
            </w:tcBorders>
            <w:shd w:val="clear" w:color="auto" w:fill="auto"/>
            <w:noWrap/>
            <w:vAlign w:val="bottom"/>
            <w:hideMark/>
          </w:tcPr>
          <w:p w14:paraId="08578E3F"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0.40</w:t>
            </w:r>
          </w:p>
        </w:tc>
        <w:tc>
          <w:tcPr>
            <w:tcW w:w="876" w:type="dxa"/>
            <w:tcBorders>
              <w:top w:val="nil"/>
              <w:left w:val="nil"/>
              <w:bottom w:val="nil"/>
              <w:right w:val="nil"/>
            </w:tcBorders>
            <w:shd w:val="clear" w:color="auto" w:fill="auto"/>
            <w:noWrap/>
            <w:vAlign w:val="bottom"/>
            <w:hideMark/>
          </w:tcPr>
          <w:p w14:paraId="21F8CA06"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0.69</w:t>
            </w:r>
          </w:p>
        </w:tc>
        <w:tc>
          <w:tcPr>
            <w:tcW w:w="1055" w:type="dxa"/>
            <w:tcBorders>
              <w:top w:val="nil"/>
              <w:left w:val="nil"/>
              <w:bottom w:val="nil"/>
              <w:right w:val="nil"/>
            </w:tcBorders>
            <w:shd w:val="clear" w:color="auto" w:fill="auto"/>
            <w:noWrap/>
            <w:vAlign w:val="bottom"/>
            <w:hideMark/>
          </w:tcPr>
          <w:p w14:paraId="606B186D" w14:textId="77777777" w:rsidR="00CF4E1A" w:rsidRPr="00CF4E1A" w:rsidRDefault="00CF4E1A" w:rsidP="00CF4E1A">
            <w:pPr>
              <w:spacing w:after="0" w:line="240" w:lineRule="auto"/>
              <w:jc w:val="center"/>
              <w:rPr>
                <w:rFonts w:ascii="Calibri" w:eastAsia="Times New Roman" w:hAnsi="Calibri" w:cs="Calibri"/>
                <w:b/>
                <w:bCs/>
                <w:color w:val="E26B0A"/>
                <w:lang w:eastAsia="pl-PL"/>
              </w:rPr>
            </w:pPr>
            <w:r w:rsidRPr="00CF4E1A">
              <w:rPr>
                <w:rFonts w:ascii="Calibri" w:eastAsia="Times New Roman" w:hAnsi="Calibri" w:cs="Calibri"/>
                <w:b/>
                <w:bCs/>
                <w:color w:val="E26B0A"/>
                <w:lang w:eastAsia="pl-PL"/>
              </w:rPr>
              <w:t>8.30</w:t>
            </w:r>
          </w:p>
        </w:tc>
        <w:tc>
          <w:tcPr>
            <w:tcW w:w="551" w:type="dxa"/>
            <w:tcBorders>
              <w:top w:val="nil"/>
              <w:left w:val="nil"/>
              <w:bottom w:val="nil"/>
              <w:right w:val="nil"/>
            </w:tcBorders>
            <w:shd w:val="clear" w:color="auto" w:fill="auto"/>
            <w:noWrap/>
            <w:vAlign w:val="bottom"/>
            <w:hideMark/>
          </w:tcPr>
          <w:p w14:paraId="0794FC0C" w14:textId="77777777" w:rsidR="00CF4E1A" w:rsidRPr="00CF4E1A" w:rsidRDefault="00CF4E1A" w:rsidP="00CF4E1A">
            <w:pPr>
              <w:spacing w:after="0" w:line="240" w:lineRule="auto"/>
              <w:jc w:val="center"/>
              <w:rPr>
                <w:rFonts w:ascii="Calibri" w:eastAsia="Times New Roman" w:hAnsi="Calibri" w:cs="Calibri"/>
                <w:b/>
                <w:bCs/>
                <w:color w:val="E26B0A"/>
                <w:lang w:eastAsia="pl-PL"/>
              </w:rPr>
            </w:pPr>
            <w:r w:rsidRPr="00CF4E1A">
              <w:rPr>
                <w:rFonts w:ascii="Calibri" w:eastAsia="Times New Roman" w:hAnsi="Calibri" w:cs="Calibri"/>
                <w:b/>
                <w:bCs/>
                <w:color w:val="E26B0A"/>
                <w:lang w:eastAsia="pl-PL"/>
              </w:rPr>
              <w:t>4.87</w:t>
            </w:r>
          </w:p>
        </w:tc>
        <w:tc>
          <w:tcPr>
            <w:tcW w:w="959" w:type="dxa"/>
            <w:tcBorders>
              <w:top w:val="nil"/>
              <w:left w:val="nil"/>
              <w:bottom w:val="nil"/>
              <w:right w:val="nil"/>
            </w:tcBorders>
            <w:shd w:val="clear" w:color="auto" w:fill="auto"/>
            <w:noWrap/>
            <w:vAlign w:val="bottom"/>
            <w:hideMark/>
          </w:tcPr>
          <w:p w14:paraId="799601CB" w14:textId="77777777" w:rsidR="00CF4E1A" w:rsidRPr="00CF4E1A" w:rsidRDefault="00CF4E1A" w:rsidP="00CF4E1A">
            <w:pPr>
              <w:spacing w:after="0" w:line="240" w:lineRule="auto"/>
              <w:jc w:val="center"/>
              <w:rPr>
                <w:rFonts w:ascii="Calibri" w:eastAsia="Times New Roman" w:hAnsi="Calibri" w:cs="Calibri"/>
                <w:b/>
                <w:bCs/>
                <w:color w:val="E26B0A"/>
                <w:lang w:eastAsia="pl-PL"/>
              </w:rPr>
            </w:pPr>
            <w:r w:rsidRPr="00CF4E1A">
              <w:rPr>
                <w:rFonts w:ascii="Calibri" w:eastAsia="Times New Roman" w:hAnsi="Calibri" w:cs="Calibri"/>
                <w:b/>
                <w:bCs/>
                <w:color w:val="E26B0A"/>
                <w:lang w:eastAsia="pl-PL"/>
              </w:rPr>
              <w:t>1.70</w:t>
            </w:r>
          </w:p>
        </w:tc>
        <w:tc>
          <w:tcPr>
            <w:tcW w:w="876" w:type="dxa"/>
            <w:tcBorders>
              <w:top w:val="nil"/>
              <w:left w:val="nil"/>
              <w:bottom w:val="nil"/>
              <w:right w:val="nil"/>
            </w:tcBorders>
            <w:shd w:val="clear" w:color="auto" w:fill="auto"/>
            <w:noWrap/>
            <w:vAlign w:val="bottom"/>
            <w:hideMark/>
          </w:tcPr>
          <w:p w14:paraId="0ACFB3BF" w14:textId="77777777" w:rsidR="00CF4E1A" w:rsidRPr="00CF4E1A" w:rsidRDefault="00CF4E1A" w:rsidP="00CF4E1A">
            <w:pPr>
              <w:spacing w:after="0" w:line="240" w:lineRule="auto"/>
              <w:jc w:val="center"/>
              <w:rPr>
                <w:rFonts w:ascii="Calibri" w:eastAsia="Times New Roman" w:hAnsi="Calibri" w:cs="Calibri"/>
                <w:b/>
                <w:bCs/>
                <w:color w:val="E26B0A"/>
                <w:lang w:eastAsia="pl-PL"/>
              </w:rPr>
            </w:pPr>
            <w:r w:rsidRPr="00CF4E1A">
              <w:rPr>
                <w:rFonts w:ascii="Calibri" w:eastAsia="Times New Roman" w:hAnsi="Calibri" w:cs="Calibri"/>
                <w:b/>
                <w:bCs/>
                <w:color w:val="E26B0A"/>
                <w:lang w:eastAsia="pl-PL"/>
              </w:rPr>
              <w:t>0.09</w:t>
            </w:r>
          </w:p>
        </w:tc>
        <w:tc>
          <w:tcPr>
            <w:tcW w:w="1055" w:type="dxa"/>
            <w:tcBorders>
              <w:top w:val="nil"/>
              <w:left w:val="nil"/>
              <w:bottom w:val="nil"/>
              <w:right w:val="nil"/>
            </w:tcBorders>
            <w:shd w:val="clear" w:color="auto" w:fill="auto"/>
            <w:noWrap/>
            <w:vAlign w:val="bottom"/>
            <w:hideMark/>
          </w:tcPr>
          <w:p w14:paraId="5D2F688C"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2.54</w:t>
            </w:r>
          </w:p>
        </w:tc>
        <w:tc>
          <w:tcPr>
            <w:tcW w:w="551" w:type="dxa"/>
            <w:tcBorders>
              <w:top w:val="nil"/>
              <w:left w:val="nil"/>
              <w:bottom w:val="nil"/>
              <w:right w:val="nil"/>
            </w:tcBorders>
            <w:shd w:val="clear" w:color="auto" w:fill="auto"/>
            <w:noWrap/>
            <w:vAlign w:val="bottom"/>
            <w:hideMark/>
          </w:tcPr>
          <w:p w14:paraId="7ECAAB9B"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2.71</w:t>
            </w:r>
          </w:p>
        </w:tc>
        <w:tc>
          <w:tcPr>
            <w:tcW w:w="959" w:type="dxa"/>
            <w:tcBorders>
              <w:top w:val="nil"/>
              <w:left w:val="nil"/>
              <w:bottom w:val="nil"/>
              <w:right w:val="nil"/>
            </w:tcBorders>
            <w:shd w:val="clear" w:color="auto" w:fill="auto"/>
            <w:noWrap/>
            <w:vAlign w:val="bottom"/>
            <w:hideMark/>
          </w:tcPr>
          <w:p w14:paraId="402656F7"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0.94</w:t>
            </w:r>
          </w:p>
        </w:tc>
        <w:tc>
          <w:tcPr>
            <w:tcW w:w="876" w:type="dxa"/>
            <w:tcBorders>
              <w:top w:val="nil"/>
              <w:left w:val="nil"/>
              <w:bottom w:val="nil"/>
              <w:right w:val="nil"/>
            </w:tcBorders>
            <w:shd w:val="clear" w:color="auto" w:fill="auto"/>
            <w:noWrap/>
            <w:vAlign w:val="bottom"/>
            <w:hideMark/>
          </w:tcPr>
          <w:p w14:paraId="19E30CBD"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0.35</w:t>
            </w:r>
          </w:p>
        </w:tc>
      </w:tr>
      <w:tr w:rsidR="00CF4E1A" w:rsidRPr="00CF4E1A" w14:paraId="1A64205A" w14:textId="77777777" w:rsidTr="00CF4E1A">
        <w:trPr>
          <w:trHeight w:val="290"/>
        </w:trPr>
        <w:tc>
          <w:tcPr>
            <w:tcW w:w="3460" w:type="dxa"/>
            <w:tcBorders>
              <w:top w:val="nil"/>
              <w:left w:val="nil"/>
              <w:bottom w:val="single" w:sz="4" w:space="0" w:color="auto"/>
              <w:right w:val="nil"/>
            </w:tcBorders>
            <w:shd w:val="clear" w:color="auto" w:fill="auto"/>
            <w:noWrap/>
            <w:vAlign w:val="bottom"/>
            <w:hideMark/>
          </w:tcPr>
          <w:p w14:paraId="75F81627" w14:textId="2C5ADB24" w:rsidR="00CF4E1A" w:rsidRPr="00CF4E1A" w:rsidRDefault="00CF4E1A" w:rsidP="002877AE">
            <w:pPr>
              <w:spacing w:after="0" w:line="240" w:lineRule="auto"/>
              <w:rPr>
                <w:rFonts w:ascii="Calibri" w:eastAsia="Times New Roman" w:hAnsi="Calibri" w:cs="Calibri"/>
                <w:lang w:val="en-GB" w:eastAsia="pl-PL"/>
              </w:rPr>
            </w:pPr>
            <w:r w:rsidRPr="00CF4E1A">
              <w:rPr>
                <w:rFonts w:ascii="Calibri" w:eastAsia="Times New Roman" w:hAnsi="Calibri" w:cs="Calibri"/>
                <w:lang w:val="en-GB" w:eastAsia="pl-PL"/>
              </w:rPr>
              <w:t xml:space="preserve">trip type (ST) x </w:t>
            </w:r>
            <w:r w:rsidR="002877AE">
              <w:rPr>
                <w:rFonts w:ascii="Calibri" w:eastAsia="Times New Roman" w:hAnsi="Calibri" w:cs="Calibri"/>
                <w:lang w:val="en-GB" w:eastAsia="pl-PL"/>
              </w:rPr>
              <w:t>year</w:t>
            </w:r>
            <w:r w:rsidRPr="00CF4E1A">
              <w:rPr>
                <w:rFonts w:ascii="Calibri" w:eastAsia="Times New Roman" w:hAnsi="Calibri" w:cs="Calibri"/>
                <w:lang w:val="en-GB" w:eastAsia="pl-PL"/>
              </w:rPr>
              <w:t>2020 x sex (m)</w:t>
            </w:r>
          </w:p>
        </w:tc>
        <w:tc>
          <w:tcPr>
            <w:tcW w:w="1055" w:type="dxa"/>
            <w:tcBorders>
              <w:top w:val="nil"/>
              <w:left w:val="nil"/>
              <w:bottom w:val="single" w:sz="4" w:space="0" w:color="auto"/>
              <w:right w:val="nil"/>
            </w:tcBorders>
            <w:shd w:val="clear" w:color="auto" w:fill="auto"/>
            <w:noWrap/>
            <w:vAlign w:val="bottom"/>
            <w:hideMark/>
          </w:tcPr>
          <w:p w14:paraId="4976CD4E"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-0.36</w:t>
            </w:r>
          </w:p>
        </w:tc>
        <w:tc>
          <w:tcPr>
            <w:tcW w:w="551" w:type="dxa"/>
            <w:tcBorders>
              <w:top w:val="nil"/>
              <w:left w:val="nil"/>
              <w:bottom w:val="single" w:sz="4" w:space="0" w:color="auto"/>
              <w:right w:val="nil"/>
            </w:tcBorders>
            <w:shd w:val="clear" w:color="auto" w:fill="auto"/>
            <w:noWrap/>
            <w:vAlign w:val="bottom"/>
            <w:hideMark/>
          </w:tcPr>
          <w:p w14:paraId="6DAEFBFB"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5.53</w:t>
            </w:r>
          </w:p>
        </w:tc>
        <w:tc>
          <w:tcPr>
            <w:tcW w:w="959" w:type="dxa"/>
            <w:tcBorders>
              <w:top w:val="nil"/>
              <w:left w:val="nil"/>
              <w:bottom w:val="single" w:sz="4" w:space="0" w:color="auto"/>
              <w:right w:val="nil"/>
            </w:tcBorders>
            <w:shd w:val="clear" w:color="auto" w:fill="auto"/>
            <w:noWrap/>
            <w:vAlign w:val="bottom"/>
            <w:hideMark/>
          </w:tcPr>
          <w:p w14:paraId="6D05B36F"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-0.07</w:t>
            </w:r>
          </w:p>
        </w:tc>
        <w:tc>
          <w:tcPr>
            <w:tcW w:w="876" w:type="dxa"/>
            <w:tcBorders>
              <w:top w:val="nil"/>
              <w:left w:val="nil"/>
              <w:bottom w:val="single" w:sz="4" w:space="0" w:color="auto"/>
              <w:right w:val="nil"/>
            </w:tcBorders>
            <w:shd w:val="clear" w:color="auto" w:fill="auto"/>
            <w:noWrap/>
            <w:vAlign w:val="bottom"/>
            <w:hideMark/>
          </w:tcPr>
          <w:p w14:paraId="0EC18EDB"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0.95</w:t>
            </w:r>
          </w:p>
        </w:tc>
        <w:tc>
          <w:tcPr>
            <w:tcW w:w="1055" w:type="dxa"/>
            <w:tcBorders>
              <w:top w:val="nil"/>
              <w:left w:val="nil"/>
              <w:bottom w:val="single" w:sz="4" w:space="0" w:color="auto"/>
              <w:right w:val="nil"/>
            </w:tcBorders>
            <w:shd w:val="clear" w:color="auto" w:fill="auto"/>
            <w:noWrap/>
            <w:vAlign w:val="bottom"/>
            <w:hideMark/>
          </w:tcPr>
          <w:p w14:paraId="32921FD5" w14:textId="77777777" w:rsidR="00CF4E1A" w:rsidRPr="00CF4E1A" w:rsidRDefault="00CF4E1A" w:rsidP="00CF4E1A">
            <w:pPr>
              <w:spacing w:after="0" w:line="240" w:lineRule="auto"/>
              <w:jc w:val="center"/>
              <w:rPr>
                <w:rFonts w:ascii="Calibri" w:eastAsia="Times New Roman" w:hAnsi="Calibri" w:cs="Calibri"/>
                <w:b/>
                <w:bCs/>
                <w:color w:val="E26B0A"/>
                <w:lang w:eastAsia="pl-PL"/>
              </w:rPr>
            </w:pPr>
            <w:r w:rsidRPr="00CF4E1A">
              <w:rPr>
                <w:rFonts w:ascii="Calibri" w:eastAsia="Times New Roman" w:hAnsi="Calibri" w:cs="Calibri"/>
                <w:b/>
                <w:bCs/>
                <w:color w:val="E26B0A"/>
                <w:lang w:eastAsia="pl-PL"/>
              </w:rPr>
              <w:t>8.17</w:t>
            </w:r>
          </w:p>
        </w:tc>
        <w:tc>
          <w:tcPr>
            <w:tcW w:w="551" w:type="dxa"/>
            <w:tcBorders>
              <w:top w:val="nil"/>
              <w:left w:val="nil"/>
              <w:bottom w:val="single" w:sz="4" w:space="0" w:color="auto"/>
              <w:right w:val="nil"/>
            </w:tcBorders>
            <w:shd w:val="clear" w:color="auto" w:fill="auto"/>
            <w:noWrap/>
            <w:vAlign w:val="bottom"/>
            <w:hideMark/>
          </w:tcPr>
          <w:p w14:paraId="2ADBF1AB" w14:textId="77777777" w:rsidR="00CF4E1A" w:rsidRPr="00CF4E1A" w:rsidRDefault="00CF4E1A" w:rsidP="00CF4E1A">
            <w:pPr>
              <w:spacing w:after="0" w:line="240" w:lineRule="auto"/>
              <w:jc w:val="center"/>
              <w:rPr>
                <w:rFonts w:ascii="Calibri" w:eastAsia="Times New Roman" w:hAnsi="Calibri" w:cs="Calibri"/>
                <w:b/>
                <w:bCs/>
                <w:color w:val="E26B0A"/>
                <w:lang w:eastAsia="pl-PL"/>
              </w:rPr>
            </w:pPr>
            <w:r w:rsidRPr="00CF4E1A">
              <w:rPr>
                <w:rFonts w:ascii="Calibri" w:eastAsia="Times New Roman" w:hAnsi="Calibri" w:cs="Calibri"/>
                <w:b/>
                <w:bCs/>
                <w:color w:val="E26B0A"/>
                <w:lang w:eastAsia="pl-PL"/>
              </w:rPr>
              <w:t>4.33</w:t>
            </w:r>
          </w:p>
        </w:tc>
        <w:tc>
          <w:tcPr>
            <w:tcW w:w="959" w:type="dxa"/>
            <w:tcBorders>
              <w:top w:val="nil"/>
              <w:left w:val="nil"/>
              <w:bottom w:val="single" w:sz="4" w:space="0" w:color="auto"/>
              <w:right w:val="nil"/>
            </w:tcBorders>
            <w:shd w:val="clear" w:color="auto" w:fill="auto"/>
            <w:noWrap/>
            <w:vAlign w:val="bottom"/>
            <w:hideMark/>
          </w:tcPr>
          <w:p w14:paraId="52D2E4F1" w14:textId="77777777" w:rsidR="00CF4E1A" w:rsidRPr="00CF4E1A" w:rsidRDefault="00CF4E1A" w:rsidP="00CF4E1A">
            <w:pPr>
              <w:spacing w:after="0" w:line="240" w:lineRule="auto"/>
              <w:jc w:val="center"/>
              <w:rPr>
                <w:rFonts w:ascii="Calibri" w:eastAsia="Times New Roman" w:hAnsi="Calibri" w:cs="Calibri"/>
                <w:b/>
                <w:bCs/>
                <w:color w:val="E26B0A"/>
                <w:lang w:eastAsia="pl-PL"/>
              </w:rPr>
            </w:pPr>
            <w:r w:rsidRPr="00CF4E1A">
              <w:rPr>
                <w:rFonts w:ascii="Calibri" w:eastAsia="Times New Roman" w:hAnsi="Calibri" w:cs="Calibri"/>
                <w:b/>
                <w:bCs/>
                <w:color w:val="E26B0A"/>
                <w:lang w:eastAsia="pl-PL"/>
              </w:rPr>
              <w:t>1.89</w:t>
            </w:r>
          </w:p>
        </w:tc>
        <w:tc>
          <w:tcPr>
            <w:tcW w:w="876" w:type="dxa"/>
            <w:tcBorders>
              <w:top w:val="nil"/>
              <w:left w:val="nil"/>
              <w:bottom w:val="single" w:sz="4" w:space="0" w:color="auto"/>
              <w:right w:val="nil"/>
            </w:tcBorders>
            <w:shd w:val="clear" w:color="auto" w:fill="auto"/>
            <w:noWrap/>
            <w:vAlign w:val="bottom"/>
            <w:hideMark/>
          </w:tcPr>
          <w:p w14:paraId="7FA5D7C0" w14:textId="77777777" w:rsidR="00CF4E1A" w:rsidRPr="00CF4E1A" w:rsidRDefault="00CF4E1A" w:rsidP="00CF4E1A">
            <w:pPr>
              <w:spacing w:after="0" w:line="240" w:lineRule="auto"/>
              <w:jc w:val="center"/>
              <w:rPr>
                <w:rFonts w:ascii="Calibri" w:eastAsia="Times New Roman" w:hAnsi="Calibri" w:cs="Calibri"/>
                <w:b/>
                <w:bCs/>
                <w:color w:val="E26B0A"/>
                <w:lang w:eastAsia="pl-PL"/>
              </w:rPr>
            </w:pPr>
            <w:r w:rsidRPr="00CF4E1A">
              <w:rPr>
                <w:rFonts w:ascii="Calibri" w:eastAsia="Times New Roman" w:hAnsi="Calibri" w:cs="Calibri"/>
                <w:b/>
                <w:bCs/>
                <w:color w:val="E26B0A"/>
                <w:lang w:eastAsia="pl-PL"/>
              </w:rPr>
              <w:t>0.06</w:t>
            </w:r>
          </w:p>
        </w:tc>
        <w:tc>
          <w:tcPr>
            <w:tcW w:w="1055" w:type="dxa"/>
            <w:tcBorders>
              <w:top w:val="nil"/>
              <w:left w:val="nil"/>
              <w:bottom w:val="single" w:sz="4" w:space="0" w:color="auto"/>
              <w:right w:val="nil"/>
            </w:tcBorders>
            <w:shd w:val="clear" w:color="auto" w:fill="auto"/>
            <w:noWrap/>
            <w:vAlign w:val="bottom"/>
            <w:hideMark/>
          </w:tcPr>
          <w:p w14:paraId="1852D7AA"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3.50</w:t>
            </w:r>
          </w:p>
        </w:tc>
        <w:tc>
          <w:tcPr>
            <w:tcW w:w="551" w:type="dxa"/>
            <w:tcBorders>
              <w:top w:val="nil"/>
              <w:left w:val="nil"/>
              <w:bottom w:val="single" w:sz="4" w:space="0" w:color="auto"/>
              <w:right w:val="nil"/>
            </w:tcBorders>
            <w:shd w:val="clear" w:color="auto" w:fill="auto"/>
            <w:noWrap/>
            <w:vAlign w:val="bottom"/>
            <w:hideMark/>
          </w:tcPr>
          <w:p w14:paraId="3D28526D"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2.57</w:t>
            </w:r>
          </w:p>
        </w:tc>
        <w:tc>
          <w:tcPr>
            <w:tcW w:w="959" w:type="dxa"/>
            <w:tcBorders>
              <w:top w:val="nil"/>
              <w:left w:val="nil"/>
              <w:bottom w:val="single" w:sz="4" w:space="0" w:color="auto"/>
              <w:right w:val="nil"/>
            </w:tcBorders>
            <w:shd w:val="clear" w:color="auto" w:fill="auto"/>
            <w:noWrap/>
            <w:vAlign w:val="bottom"/>
            <w:hideMark/>
          </w:tcPr>
          <w:p w14:paraId="4EEEE5E1"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1.36</w:t>
            </w:r>
          </w:p>
        </w:tc>
        <w:tc>
          <w:tcPr>
            <w:tcW w:w="876" w:type="dxa"/>
            <w:tcBorders>
              <w:top w:val="nil"/>
              <w:left w:val="nil"/>
              <w:bottom w:val="single" w:sz="4" w:space="0" w:color="auto"/>
              <w:right w:val="nil"/>
            </w:tcBorders>
            <w:shd w:val="clear" w:color="auto" w:fill="auto"/>
            <w:noWrap/>
            <w:vAlign w:val="bottom"/>
            <w:hideMark/>
          </w:tcPr>
          <w:p w14:paraId="3DF5D11D" w14:textId="77777777" w:rsidR="00CF4E1A" w:rsidRPr="00CF4E1A" w:rsidRDefault="00CF4E1A" w:rsidP="00CF4E1A">
            <w:pPr>
              <w:spacing w:after="0" w:line="240" w:lineRule="auto"/>
              <w:jc w:val="center"/>
              <w:rPr>
                <w:rFonts w:ascii="Calibri" w:eastAsia="Times New Roman" w:hAnsi="Calibri" w:cs="Calibri"/>
                <w:color w:val="000000"/>
                <w:lang w:eastAsia="pl-PL"/>
              </w:rPr>
            </w:pPr>
            <w:r w:rsidRPr="00CF4E1A">
              <w:rPr>
                <w:rFonts w:ascii="Calibri" w:eastAsia="Times New Roman" w:hAnsi="Calibri" w:cs="Calibri"/>
                <w:color w:val="000000"/>
                <w:lang w:eastAsia="pl-PL"/>
              </w:rPr>
              <w:t>0.17</w:t>
            </w:r>
          </w:p>
        </w:tc>
      </w:tr>
    </w:tbl>
    <w:p w14:paraId="34E246B4" w14:textId="77777777" w:rsidR="00CF4E1A" w:rsidRDefault="00CF4E1A" w:rsidP="00D87EE2">
      <w:pPr>
        <w:spacing w:line="240" w:lineRule="auto"/>
        <w:rPr>
          <w:lang w:val="en-GB"/>
        </w:rPr>
      </w:pPr>
    </w:p>
    <w:p w14:paraId="5770E810" w14:textId="77777777" w:rsidR="005A2746" w:rsidRDefault="005A2746" w:rsidP="00D87EE2">
      <w:pPr>
        <w:spacing w:line="240" w:lineRule="auto"/>
        <w:rPr>
          <w:lang w:val="en-GB"/>
        </w:rPr>
      </w:pPr>
    </w:p>
    <w:p w14:paraId="6FA2D543" w14:textId="0928A727" w:rsidR="00B103CB" w:rsidRDefault="00B103CB" w:rsidP="00B103CB">
      <w:pPr>
        <w:jc w:val="both"/>
        <w:rPr>
          <w:lang w:val="en-GB"/>
        </w:rPr>
      </w:pPr>
    </w:p>
    <w:p w14:paraId="237CBBE5" w14:textId="37808DE6" w:rsidR="004F3849" w:rsidRDefault="004F3849" w:rsidP="004F3849">
      <w:pPr>
        <w:jc w:val="both"/>
        <w:rPr>
          <w:b/>
          <w:lang w:val="en-GB"/>
        </w:rPr>
        <w:sectPr w:rsidR="004F3849" w:rsidSect="005A2746">
          <w:pgSz w:w="16838" w:h="11906" w:orient="landscape"/>
          <w:pgMar w:top="1417" w:right="1417" w:bottom="1417" w:left="1417" w:header="708" w:footer="708" w:gutter="0"/>
          <w:cols w:space="708"/>
          <w:docGrid w:linePitch="360"/>
        </w:sectPr>
      </w:pPr>
    </w:p>
    <w:p w14:paraId="08E3BE25" w14:textId="1CED8611" w:rsidR="000D5EFB" w:rsidRDefault="000D5EFB" w:rsidP="004F3849">
      <w:pPr>
        <w:jc w:val="both"/>
        <w:rPr>
          <w:lang w:val="en-GB"/>
        </w:rPr>
      </w:pPr>
      <w:r w:rsidRPr="00AE0BED">
        <w:rPr>
          <w:b/>
          <w:lang w:val="en-GB"/>
        </w:rPr>
        <w:lastRenderedPageBreak/>
        <w:t xml:space="preserve">Table </w:t>
      </w:r>
      <w:r w:rsidR="00DC3AA0">
        <w:rPr>
          <w:b/>
          <w:lang w:val="en-GB"/>
        </w:rPr>
        <w:t>S</w:t>
      </w:r>
      <w:r w:rsidRPr="00AE0BED">
        <w:rPr>
          <w:b/>
          <w:lang w:val="en-GB"/>
        </w:rPr>
        <w:t xml:space="preserve">2. </w:t>
      </w:r>
      <w:r w:rsidRPr="00AE0BED">
        <w:rPr>
          <w:lang w:val="en-GB"/>
        </w:rPr>
        <w:t>Deviance table for all modelling of post-foraging in-colony behaviours.</w:t>
      </w:r>
    </w:p>
    <w:tbl>
      <w:tblPr>
        <w:tblW w:w="12460" w:type="dxa"/>
        <w:tblCellMar>
          <w:left w:w="70" w:type="dxa"/>
          <w:right w:w="70" w:type="dxa"/>
        </w:tblCellMar>
        <w:tblLook w:val="04A0" w:firstRow="1" w:lastRow="0" w:firstColumn="1" w:lastColumn="0" w:noHBand="0" w:noVBand="1"/>
      </w:tblPr>
      <w:tblGrid>
        <w:gridCol w:w="3020"/>
        <w:gridCol w:w="880"/>
        <w:gridCol w:w="960"/>
        <w:gridCol w:w="1126"/>
        <w:gridCol w:w="1274"/>
        <w:gridCol w:w="1276"/>
        <w:gridCol w:w="1444"/>
        <w:gridCol w:w="1163"/>
        <w:gridCol w:w="1317"/>
      </w:tblGrid>
      <w:tr w:rsidR="00236269" w:rsidRPr="00DC3AA0" w14:paraId="20002CFF" w14:textId="77777777" w:rsidTr="00236269">
        <w:trPr>
          <w:trHeight w:val="310"/>
        </w:trPr>
        <w:tc>
          <w:tcPr>
            <w:tcW w:w="3020" w:type="dxa"/>
            <w:vMerge w:val="restart"/>
            <w:tcBorders>
              <w:top w:val="single" w:sz="4" w:space="0" w:color="auto"/>
              <w:left w:val="nil"/>
              <w:bottom w:val="single" w:sz="4" w:space="0" w:color="000000"/>
              <w:right w:val="nil"/>
            </w:tcBorders>
            <w:shd w:val="clear" w:color="000000" w:fill="D9D9D9"/>
            <w:noWrap/>
            <w:vAlign w:val="bottom"/>
            <w:hideMark/>
          </w:tcPr>
          <w:p w14:paraId="6A66FC40" w14:textId="77777777" w:rsidR="00236269" w:rsidRPr="00DC3AA0" w:rsidRDefault="00236269" w:rsidP="00236269">
            <w:pPr>
              <w:spacing w:after="0" w:line="240" w:lineRule="auto"/>
              <w:rPr>
                <w:rFonts w:ascii="Calibri" w:eastAsia="Times New Roman" w:hAnsi="Calibri" w:cs="Calibri"/>
                <w:color w:val="000000"/>
                <w:sz w:val="24"/>
                <w:szCs w:val="24"/>
                <w:lang w:val="en-GB" w:eastAsia="pl-PL"/>
              </w:rPr>
            </w:pPr>
            <w:r w:rsidRPr="00DC3AA0">
              <w:rPr>
                <w:rFonts w:ascii="Calibri" w:eastAsia="Times New Roman" w:hAnsi="Calibri" w:cs="Calibri"/>
                <w:color w:val="000000"/>
                <w:sz w:val="24"/>
                <w:szCs w:val="24"/>
                <w:lang w:val="en-GB" w:eastAsia="pl-PL"/>
              </w:rPr>
              <w:t>Parameters</w:t>
            </w:r>
          </w:p>
        </w:tc>
        <w:tc>
          <w:tcPr>
            <w:tcW w:w="880" w:type="dxa"/>
            <w:vMerge w:val="restart"/>
            <w:tcBorders>
              <w:top w:val="single" w:sz="4" w:space="0" w:color="auto"/>
              <w:left w:val="nil"/>
              <w:bottom w:val="single" w:sz="4" w:space="0" w:color="000000"/>
              <w:right w:val="nil"/>
            </w:tcBorders>
            <w:shd w:val="clear" w:color="000000" w:fill="D9D9D9"/>
            <w:noWrap/>
            <w:vAlign w:val="bottom"/>
            <w:hideMark/>
          </w:tcPr>
          <w:p w14:paraId="0BE8008A" w14:textId="77777777" w:rsidR="00236269" w:rsidRPr="00DC3AA0" w:rsidRDefault="00236269" w:rsidP="00236269">
            <w:pPr>
              <w:spacing w:after="0" w:line="240" w:lineRule="auto"/>
              <w:jc w:val="center"/>
              <w:rPr>
                <w:rFonts w:ascii="Calibri" w:eastAsia="Times New Roman" w:hAnsi="Calibri" w:cs="Calibri"/>
                <w:color w:val="000000"/>
                <w:sz w:val="24"/>
                <w:szCs w:val="24"/>
                <w:lang w:val="en-GB" w:eastAsia="pl-PL"/>
              </w:rPr>
            </w:pPr>
            <w:proofErr w:type="spellStart"/>
            <w:r w:rsidRPr="00DC3AA0">
              <w:rPr>
                <w:rFonts w:ascii="Calibri" w:eastAsia="Times New Roman" w:hAnsi="Calibri" w:cs="Calibri"/>
                <w:color w:val="000000"/>
                <w:sz w:val="24"/>
                <w:szCs w:val="24"/>
                <w:lang w:val="en-GB" w:eastAsia="pl-PL"/>
              </w:rPr>
              <w:t>Df</w:t>
            </w:r>
            <w:proofErr w:type="spellEnd"/>
          </w:p>
        </w:tc>
        <w:tc>
          <w:tcPr>
            <w:tcW w:w="960" w:type="dxa"/>
            <w:tcBorders>
              <w:top w:val="single" w:sz="4" w:space="0" w:color="auto"/>
              <w:left w:val="nil"/>
              <w:bottom w:val="nil"/>
              <w:right w:val="nil"/>
            </w:tcBorders>
            <w:shd w:val="clear" w:color="000000" w:fill="D9D9D9"/>
            <w:noWrap/>
            <w:vAlign w:val="center"/>
            <w:hideMark/>
          </w:tcPr>
          <w:p w14:paraId="5E696714" w14:textId="77777777" w:rsidR="00236269" w:rsidRPr="00DC3AA0" w:rsidRDefault="00236269" w:rsidP="00236269">
            <w:pPr>
              <w:spacing w:after="0" w:line="240" w:lineRule="auto"/>
              <w:rPr>
                <w:rFonts w:ascii="Calibri" w:eastAsia="Times New Roman" w:hAnsi="Calibri" w:cs="Calibri"/>
                <w:b/>
                <w:bCs/>
                <w:color w:val="000000"/>
                <w:sz w:val="24"/>
                <w:szCs w:val="24"/>
                <w:lang w:val="en-GB" w:eastAsia="pl-PL"/>
              </w:rPr>
            </w:pPr>
            <w:r w:rsidRPr="00DC3AA0">
              <w:rPr>
                <w:rFonts w:ascii="Calibri" w:eastAsia="Times New Roman" w:hAnsi="Calibri" w:cs="Calibri"/>
                <w:b/>
                <w:bCs/>
                <w:color w:val="000000"/>
                <w:sz w:val="24"/>
                <w:szCs w:val="24"/>
                <w:lang w:val="en-GB" w:eastAsia="pl-PL"/>
              </w:rPr>
              <w:t> </w:t>
            </w:r>
          </w:p>
        </w:tc>
        <w:tc>
          <w:tcPr>
            <w:tcW w:w="2400" w:type="dxa"/>
            <w:gridSpan w:val="2"/>
            <w:tcBorders>
              <w:top w:val="single" w:sz="4" w:space="0" w:color="auto"/>
              <w:left w:val="nil"/>
              <w:bottom w:val="nil"/>
              <w:right w:val="nil"/>
            </w:tcBorders>
            <w:shd w:val="clear" w:color="000000" w:fill="D9D9D9"/>
            <w:noWrap/>
            <w:vAlign w:val="center"/>
            <w:hideMark/>
          </w:tcPr>
          <w:p w14:paraId="0CA445E8" w14:textId="77777777" w:rsidR="00236269" w:rsidRPr="00DC3AA0" w:rsidRDefault="00236269" w:rsidP="00236269">
            <w:pPr>
              <w:spacing w:after="0" w:line="240" w:lineRule="auto"/>
              <w:jc w:val="center"/>
              <w:rPr>
                <w:rFonts w:ascii="Calibri" w:eastAsia="Times New Roman" w:hAnsi="Calibri" w:cs="Calibri"/>
                <w:b/>
                <w:bCs/>
                <w:color w:val="000000"/>
                <w:sz w:val="24"/>
                <w:szCs w:val="24"/>
                <w:lang w:val="en-GB" w:eastAsia="pl-PL"/>
              </w:rPr>
            </w:pPr>
            <w:r w:rsidRPr="00DC3AA0">
              <w:rPr>
                <w:rFonts w:ascii="Calibri" w:eastAsia="Times New Roman" w:hAnsi="Calibri" w:cs="Calibri"/>
                <w:b/>
                <w:bCs/>
                <w:color w:val="000000"/>
                <w:sz w:val="24"/>
                <w:szCs w:val="24"/>
                <w:lang w:val="en-GB" w:eastAsia="pl-PL"/>
              </w:rPr>
              <w:t>Latency</w:t>
            </w:r>
          </w:p>
        </w:tc>
        <w:tc>
          <w:tcPr>
            <w:tcW w:w="2720" w:type="dxa"/>
            <w:gridSpan w:val="2"/>
            <w:tcBorders>
              <w:top w:val="single" w:sz="4" w:space="0" w:color="auto"/>
              <w:left w:val="nil"/>
              <w:bottom w:val="nil"/>
              <w:right w:val="nil"/>
            </w:tcBorders>
            <w:shd w:val="clear" w:color="000000" w:fill="D9D9D9"/>
            <w:noWrap/>
            <w:vAlign w:val="center"/>
            <w:hideMark/>
          </w:tcPr>
          <w:p w14:paraId="151A8E61" w14:textId="77777777" w:rsidR="00236269" w:rsidRPr="00DC3AA0" w:rsidRDefault="00236269" w:rsidP="00236269">
            <w:pPr>
              <w:spacing w:after="0" w:line="240" w:lineRule="auto"/>
              <w:jc w:val="center"/>
              <w:rPr>
                <w:rFonts w:ascii="Calibri" w:eastAsia="Times New Roman" w:hAnsi="Calibri" w:cs="Calibri"/>
                <w:b/>
                <w:bCs/>
                <w:color w:val="000000"/>
                <w:sz w:val="24"/>
                <w:szCs w:val="24"/>
                <w:lang w:val="en-GB" w:eastAsia="pl-PL"/>
              </w:rPr>
            </w:pPr>
            <w:r w:rsidRPr="00DC3AA0">
              <w:rPr>
                <w:rFonts w:ascii="Calibri" w:eastAsia="Times New Roman" w:hAnsi="Calibri" w:cs="Calibri"/>
                <w:b/>
                <w:bCs/>
                <w:color w:val="000000"/>
                <w:sz w:val="24"/>
                <w:szCs w:val="24"/>
                <w:lang w:val="en-GB" w:eastAsia="pl-PL"/>
              </w:rPr>
              <w:t>Nest attendance</w:t>
            </w:r>
          </w:p>
        </w:tc>
        <w:tc>
          <w:tcPr>
            <w:tcW w:w="2480" w:type="dxa"/>
            <w:gridSpan w:val="2"/>
            <w:tcBorders>
              <w:top w:val="single" w:sz="4" w:space="0" w:color="auto"/>
              <w:left w:val="nil"/>
              <w:bottom w:val="nil"/>
              <w:right w:val="nil"/>
            </w:tcBorders>
            <w:shd w:val="clear" w:color="000000" w:fill="D9D9D9"/>
            <w:noWrap/>
            <w:vAlign w:val="center"/>
            <w:hideMark/>
          </w:tcPr>
          <w:p w14:paraId="36D4E273" w14:textId="77777777" w:rsidR="00236269" w:rsidRPr="00DC3AA0" w:rsidRDefault="00236269" w:rsidP="00236269">
            <w:pPr>
              <w:spacing w:after="0" w:line="240" w:lineRule="auto"/>
              <w:jc w:val="center"/>
              <w:rPr>
                <w:rFonts w:ascii="Calibri" w:eastAsia="Times New Roman" w:hAnsi="Calibri" w:cs="Calibri"/>
                <w:b/>
                <w:bCs/>
                <w:color w:val="000000"/>
                <w:sz w:val="24"/>
                <w:szCs w:val="24"/>
                <w:lang w:val="en-GB" w:eastAsia="pl-PL"/>
              </w:rPr>
            </w:pPr>
            <w:r w:rsidRPr="00DC3AA0">
              <w:rPr>
                <w:rFonts w:ascii="Calibri" w:eastAsia="Times New Roman" w:hAnsi="Calibri" w:cs="Calibri"/>
                <w:b/>
                <w:bCs/>
                <w:color w:val="000000"/>
                <w:sz w:val="24"/>
                <w:szCs w:val="24"/>
                <w:lang w:val="en-GB" w:eastAsia="pl-PL"/>
              </w:rPr>
              <w:t>Colony attendance</w:t>
            </w:r>
          </w:p>
        </w:tc>
      </w:tr>
      <w:tr w:rsidR="00236269" w:rsidRPr="00236269" w14:paraId="0C5578CC" w14:textId="77777777" w:rsidTr="00236269">
        <w:trPr>
          <w:trHeight w:val="310"/>
        </w:trPr>
        <w:tc>
          <w:tcPr>
            <w:tcW w:w="3020" w:type="dxa"/>
            <w:vMerge/>
            <w:tcBorders>
              <w:top w:val="single" w:sz="4" w:space="0" w:color="auto"/>
              <w:left w:val="nil"/>
              <w:bottom w:val="single" w:sz="4" w:space="0" w:color="000000"/>
              <w:right w:val="nil"/>
            </w:tcBorders>
            <w:vAlign w:val="center"/>
            <w:hideMark/>
          </w:tcPr>
          <w:p w14:paraId="41CAF699" w14:textId="77777777" w:rsidR="00236269" w:rsidRPr="00DC3AA0" w:rsidRDefault="00236269" w:rsidP="00236269">
            <w:pPr>
              <w:spacing w:after="0" w:line="240" w:lineRule="auto"/>
              <w:rPr>
                <w:rFonts w:ascii="Calibri" w:eastAsia="Times New Roman" w:hAnsi="Calibri" w:cs="Calibri"/>
                <w:color w:val="000000"/>
                <w:sz w:val="24"/>
                <w:szCs w:val="24"/>
                <w:lang w:val="en-GB" w:eastAsia="pl-PL"/>
              </w:rPr>
            </w:pPr>
          </w:p>
        </w:tc>
        <w:tc>
          <w:tcPr>
            <w:tcW w:w="880" w:type="dxa"/>
            <w:vMerge/>
            <w:tcBorders>
              <w:top w:val="single" w:sz="4" w:space="0" w:color="auto"/>
              <w:left w:val="nil"/>
              <w:bottom w:val="single" w:sz="4" w:space="0" w:color="000000"/>
              <w:right w:val="nil"/>
            </w:tcBorders>
            <w:vAlign w:val="center"/>
            <w:hideMark/>
          </w:tcPr>
          <w:p w14:paraId="22631BC2" w14:textId="77777777" w:rsidR="00236269" w:rsidRPr="00DC3AA0" w:rsidRDefault="00236269" w:rsidP="00236269">
            <w:pPr>
              <w:spacing w:after="0" w:line="240" w:lineRule="auto"/>
              <w:rPr>
                <w:rFonts w:ascii="Calibri" w:eastAsia="Times New Roman" w:hAnsi="Calibri" w:cs="Calibri"/>
                <w:color w:val="000000"/>
                <w:sz w:val="24"/>
                <w:szCs w:val="24"/>
                <w:lang w:val="en-GB" w:eastAsia="pl-PL"/>
              </w:rPr>
            </w:pPr>
          </w:p>
        </w:tc>
        <w:tc>
          <w:tcPr>
            <w:tcW w:w="960" w:type="dxa"/>
            <w:tcBorders>
              <w:top w:val="nil"/>
              <w:left w:val="nil"/>
              <w:bottom w:val="single" w:sz="4" w:space="0" w:color="auto"/>
              <w:right w:val="nil"/>
            </w:tcBorders>
            <w:shd w:val="clear" w:color="000000" w:fill="D9D9D9"/>
            <w:noWrap/>
            <w:vAlign w:val="bottom"/>
            <w:hideMark/>
          </w:tcPr>
          <w:p w14:paraId="4F2CA297" w14:textId="77777777" w:rsidR="00236269" w:rsidRPr="00DC3AA0" w:rsidRDefault="00236269" w:rsidP="00236269">
            <w:pPr>
              <w:spacing w:after="0" w:line="240" w:lineRule="auto"/>
              <w:jc w:val="center"/>
              <w:rPr>
                <w:rFonts w:ascii="Calibri" w:eastAsia="Times New Roman" w:hAnsi="Calibri" w:cs="Calibri"/>
                <w:color w:val="000000"/>
                <w:sz w:val="24"/>
                <w:szCs w:val="24"/>
                <w:lang w:val="en-GB" w:eastAsia="pl-PL"/>
              </w:rPr>
            </w:pPr>
            <w:proofErr w:type="spellStart"/>
            <w:r w:rsidRPr="00DC3AA0">
              <w:rPr>
                <w:rFonts w:ascii="Calibri" w:eastAsia="Times New Roman" w:hAnsi="Calibri" w:cs="Calibri"/>
                <w:color w:val="000000"/>
                <w:sz w:val="24"/>
                <w:szCs w:val="24"/>
                <w:lang w:val="en-GB" w:eastAsia="pl-PL"/>
              </w:rPr>
              <w:t>Df</w:t>
            </w:r>
            <w:proofErr w:type="spellEnd"/>
            <w:r w:rsidRPr="00DC3AA0">
              <w:rPr>
                <w:rFonts w:ascii="Calibri" w:eastAsia="Times New Roman" w:hAnsi="Calibri" w:cs="Calibri"/>
                <w:color w:val="000000"/>
                <w:sz w:val="24"/>
                <w:szCs w:val="24"/>
                <w:lang w:val="en-GB" w:eastAsia="pl-PL"/>
              </w:rPr>
              <w:t xml:space="preserve"> </w:t>
            </w:r>
            <w:proofErr w:type="spellStart"/>
            <w:r w:rsidRPr="00DC3AA0">
              <w:rPr>
                <w:rFonts w:ascii="Calibri" w:eastAsia="Times New Roman" w:hAnsi="Calibri" w:cs="Calibri"/>
                <w:color w:val="000000"/>
                <w:sz w:val="24"/>
                <w:szCs w:val="24"/>
                <w:lang w:val="en-GB" w:eastAsia="pl-PL"/>
              </w:rPr>
              <w:t>Resid</w:t>
            </w:r>
            <w:proofErr w:type="spellEnd"/>
            <w:r w:rsidRPr="00DC3AA0">
              <w:rPr>
                <w:rFonts w:ascii="Calibri" w:eastAsia="Times New Roman" w:hAnsi="Calibri" w:cs="Calibri"/>
                <w:color w:val="000000"/>
                <w:sz w:val="24"/>
                <w:szCs w:val="24"/>
                <w:lang w:val="en-GB" w:eastAsia="pl-PL"/>
              </w:rPr>
              <w:t>.</w:t>
            </w:r>
          </w:p>
        </w:tc>
        <w:tc>
          <w:tcPr>
            <w:tcW w:w="1126" w:type="dxa"/>
            <w:tcBorders>
              <w:top w:val="nil"/>
              <w:left w:val="nil"/>
              <w:bottom w:val="single" w:sz="4" w:space="0" w:color="auto"/>
              <w:right w:val="nil"/>
            </w:tcBorders>
            <w:shd w:val="clear" w:color="000000" w:fill="D9D9D9"/>
            <w:noWrap/>
            <w:vAlign w:val="bottom"/>
            <w:hideMark/>
          </w:tcPr>
          <w:p w14:paraId="7E664EC6" w14:textId="77777777" w:rsidR="00236269" w:rsidRPr="00DC3AA0" w:rsidRDefault="00236269" w:rsidP="00236269">
            <w:pPr>
              <w:spacing w:after="0" w:line="240" w:lineRule="auto"/>
              <w:jc w:val="center"/>
              <w:rPr>
                <w:rFonts w:ascii="Calibri" w:eastAsia="Times New Roman" w:hAnsi="Calibri" w:cs="Calibri"/>
                <w:color w:val="000000"/>
                <w:lang w:val="en-GB" w:eastAsia="pl-PL"/>
              </w:rPr>
            </w:pPr>
            <w:r w:rsidRPr="00DC3AA0">
              <w:rPr>
                <w:rFonts w:ascii="Calibri" w:eastAsia="Times New Roman" w:hAnsi="Calibri" w:cs="Calibri"/>
                <w:color w:val="000000"/>
                <w:lang w:val="en-GB" w:eastAsia="pl-PL"/>
              </w:rPr>
              <w:t>Deviance</w:t>
            </w:r>
          </w:p>
        </w:tc>
        <w:tc>
          <w:tcPr>
            <w:tcW w:w="1274" w:type="dxa"/>
            <w:tcBorders>
              <w:top w:val="nil"/>
              <w:left w:val="nil"/>
              <w:bottom w:val="single" w:sz="4" w:space="0" w:color="auto"/>
              <w:right w:val="nil"/>
            </w:tcBorders>
            <w:shd w:val="clear" w:color="000000" w:fill="D9D9D9"/>
            <w:noWrap/>
            <w:vAlign w:val="bottom"/>
            <w:hideMark/>
          </w:tcPr>
          <w:p w14:paraId="35E8EC8E" w14:textId="77777777" w:rsidR="00236269" w:rsidRPr="00DC3AA0" w:rsidRDefault="00236269" w:rsidP="00236269">
            <w:pPr>
              <w:spacing w:after="0" w:line="240" w:lineRule="auto"/>
              <w:jc w:val="center"/>
              <w:rPr>
                <w:rFonts w:ascii="Calibri" w:eastAsia="Times New Roman" w:hAnsi="Calibri" w:cs="Calibri"/>
                <w:color w:val="000000"/>
                <w:lang w:val="en-GB" w:eastAsia="pl-PL"/>
              </w:rPr>
            </w:pPr>
            <w:proofErr w:type="spellStart"/>
            <w:r w:rsidRPr="00DC3AA0">
              <w:rPr>
                <w:rFonts w:ascii="Calibri" w:eastAsia="Times New Roman" w:hAnsi="Calibri" w:cs="Calibri"/>
                <w:color w:val="000000"/>
                <w:lang w:val="en-GB" w:eastAsia="pl-PL"/>
              </w:rPr>
              <w:t>Resid</w:t>
            </w:r>
            <w:proofErr w:type="spellEnd"/>
            <w:r w:rsidRPr="00DC3AA0">
              <w:rPr>
                <w:rFonts w:ascii="Calibri" w:eastAsia="Times New Roman" w:hAnsi="Calibri" w:cs="Calibri"/>
                <w:color w:val="000000"/>
                <w:lang w:val="en-GB" w:eastAsia="pl-PL"/>
              </w:rPr>
              <w:t>. Dev</w:t>
            </w:r>
          </w:p>
        </w:tc>
        <w:tc>
          <w:tcPr>
            <w:tcW w:w="1276" w:type="dxa"/>
            <w:tcBorders>
              <w:top w:val="nil"/>
              <w:left w:val="nil"/>
              <w:bottom w:val="single" w:sz="4" w:space="0" w:color="auto"/>
              <w:right w:val="nil"/>
            </w:tcBorders>
            <w:shd w:val="clear" w:color="000000" w:fill="D9D9D9"/>
            <w:noWrap/>
            <w:vAlign w:val="bottom"/>
            <w:hideMark/>
          </w:tcPr>
          <w:p w14:paraId="43C7C958" w14:textId="77777777" w:rsidR="00236269" w:rsidRPr="00DC3AA0" w:rsidRDefault="00236269" w:rsidP="00236269">
            <w:pPr>
              <w:spacing w:after="0" w:line="240" w:lineRule="auto"/>
              <w:jc w:val="center"/>
              <w:rPr>
                <w:rFonts w:ascii="Calibri" w:eastAsia="Times New Roman" w:hAnsi="Calibri" w:cs="Calibri"/>
                <w:color w:val="000000"/>
                <w:lang w:val="en-GB" w:eastAsia="pl-PL"/>
              </w:rPr>
            </w:pPr>
            <w:r w:rsidRPr="00DC3AA0">
              <w:rPr>
                <w:rFonts w:ascii="Calibri" w:eastAsia="Times New Roman" w:hAnsi="Calibri" w:cs="Calibri"/>
                <w:color w:val="000000"/>
                <w:lang w:val="en-GB" w:eastAsia="pl-PL"/>
              </w:rPr>
              <w:t>Deviance</w:t>
            </w:r>
          </w:p>
        </w:tc>
        <w:tc>
          <w:tcPr>
            <w:tcW w:w="1444" w:type="dxa"/>
            <w:tcBorders>
              <w:top w:val="nil"/>
              <w:left w:val="nil"/>
              <w:bottom w:val="single" w:sz="4" w:space="0" w:color="auto"/>
              <w:right w:val="nil"/>
            </w:tcBorders>
            <w:shd w:val="clear" w:color="000000" w:fill="D9D9D9"/>
            <w:noWrap/>
            <w:vAlign w:val="bottom"/>
            <w:hideMark/>
          </w:tcPr>
          <w:p w14:paraId="628412ED" w14:textId="77777777" w:rsidR="00236269" w:rsidRPr="00DC3AA0" w:rsidRDefault="00236269" w:rsidP="00236269">
            <w:pPr>
              <w:spacing w:after="0" w:line="240" w:lineRule="auto"/>
              <w:jc w:val="center"/>
              <w:rPr>
                <w:rFonts w:ascii="Calibri" w:eastAsia="Times New Roman" w:hAnsi="Calibri" w:cs="Calibri"/>
                <w:color w:val="000000"/>
                <w:lang w:val="en-GB" w:eastAsia="pl-PL"/>
              </w:rPr>
            </w:pPr>
            <w:proofErr w:type="spellStart"/>
            <w:r w:rsidRPr="00DC3AA0">
              <w:rPr>
                <w:rFonts w:ascii="Calibri" w:eastAsia="Times New Roman" w:hAnsi="Calibri" w:cs="Calibri"/>
                <w:color w:val="000000"/>
                <w:lang w:val="en-GB" w:eastAsia="pl-PL"/>
              </w:rPr>
              <w:t>Resid</w:t>
            </w:r>
            <w:proofErr w:type="spellEnd"/>
            <w:r w:rsidRPr="00DC3AA0">
              <w:rPr>
                <w:rFonts w:ascii="Calibri" w:eastAsia="Times New Roman" w:hAnsi="Calibri" w:cs="Calibri"/>
                <w:color w:val="000000"/>
                <w:lang w:val="en-GB" w:eastAsia="pl-PL"/>
              </w:rPr>
              <w:t>. Dev</w:t>
            </w:r>
          </w:p>
        </w:tc>
        <w:tc>
          <w:tcPr>
            <w:tcW w:w="1163" w:type="dxa"/>
            <w:tcBorders>
              <w:top w:val="nil"/>
              <w:left w:val="nil"/>
              <w:bottom w:val="single" w:sz="4" w:space="0" w:color="auto"/>
              <w:right w:val="nil"/>
            </w:tcBorders>
            <w:shd w:val="clear" w:color="000000" w:fill="D9D9D9"/>
            <w:noWrap/>
            <w:vAlign w:val="bottom"/>
            <w:hideMark/>
          </w:tcPr>
          <w:p w14:paraId="7FD705C1" w14:textId="77777777" w:rsidR="00236269" w:rsidRPr="00DC3AA0" w:rsidRDefault="00236269" w:rsidP="00236269">
            <w:pPr>
              <w:spacing w:after="0" w:line="240" w:lineRule="auto"/>
              <w:jc w:val="center"/>
              <w:rPr>
                <w:rFonts w:ascii="Calibri" w:eastAsia="Times New Roman" w:hAnsi="Calibri" w:cs="Calibri"/>
                <w:color w:val="000000"/>
                <w:lang w:val="en-GB" w:eastAsia="pl-PL"/>
              </w:rPr>
            </w:pPr>
            <w:r w:rsidRPr="00DC3AA0">
              <w:rPr>
                <w:rFonts w:ascii="Calibri" w:eastAsia="Times New Roman" w:hAnsi="Calibri" w:cs="Calibri"/>
                <w:color w:val="000000"/>
                <w:lang w:val="en-GB" w:eastAsia="pl-PL"/>
              </w:rPr>
              <w:t>Deviance</w:t>
            </w:r>
          </w:p>
        </w:tc>
        <w:tc>
          <w:tcPr>
            <w:tcW w:w="1317" w:type="dxa"/>
            <w:tcBorders>
              <w:top w:val="nil"/>
              <w:left w:val="nil"/>
              <w:bottom w:val="single" w:sz="4" w:space="0" w:color="auto"/>
              <w:right w:val="nil"/>
            </w:tcBorders>
            <w:shd w:val="clear" w:color="000000" w:fill="D9D9D9"/>
            <w:noWrap/>
            <w:vAlign w:val="bottom"/>
            <w:hideMark/>
          </w:tcPr>
          <w:p w14:paraId="7704C062" w14:textId="77777777" w:rsidR="00236269" w:rsidRPr="00236269" w:rsidRDefault="00236269" w:rsidP="00236269">
            <w:pPr>
              <w:spacing w:after="0" w:line="240" w:lineRule="auto"/>
              <w:jc w:val="center"/>
              <w:rPr>
                <w:rFonts w:ascii="Calibri" w:eastAsia="Times New Roman" w:hAnsi="Calibri" w:cs="Calibri"/>
                <w:color w:val="000000"/>
                <w:lang w:eastAsia="pl-PL"/>
              </w:rPr>
            </w:pPr>
            <w:proofErr w:type="spellStart"/>
            <w:r w:rsidRPr="00DC3AA0">
              <w:rPr>
                <w:rFonts w:ascii="Calibri" w:eastAsia="Times New Roman" w:hAnsi="Calibri" w:cs="Calibri"/>
                <w:color w:val="000000"/>
                <w:lang w:val="en-GB" w:eastAsia="pl-PL"/>
              </w:rPr>
              <w:t>Resid</w:t>
            </w:r>
            <w:proofErr w:type="spellEnd"/>
            <w:r w:rsidRPr="00DC3AA0">
              <w:rPr>
                <w:rFonts w:ascii="Calibri" w:eastAsia="Times New Roman" w:hAnsi="Calibri" w:cs="Calibri"/>
                <w:color w:val="000000"/>
                <w:lang w:val="en-GB" w:eastAsia="pl-PL"/>
              </w:rPr>
              <w:t xml:space="preserve">. </w:t>
            </w:r>
            <w:r w:rsidRPr="00236269">
              <w:rPr>
                <w:rFonts w:ascii="Calibri" w:eastAsia="Times New Roman" w:hAnsi="Calibri" w:cs="Calibri"/>
                <w:color w:val="000000"/>
                <w:lang w:eastAsia="pl-PL"/>
              </w:rPr>
              <w:t>Dev</w:t>
            </w:r>
          </w:p>
        </w:tc>
      </w:tr>
      <w:tr w:rsidR="00236269" w:rsidRPr="00236269" w14:paraId="307EADD7" w14:textId="77777777" w:rsidTr="00236269">
        <w:trPr>
          <w:trHeight w:val="310"/>
        </w:trPr>
        <w:tc>
          <w:tcPr>
            <w:tcW w:w="3020" w:type="dxa"/>
            <w:tcBorders>
              <w:top w:val="nil"/>
              <w:left w:val="nil"/>
              <w:bottom w:val="nil"/>
              <w:right w:val="nil"/>
            </w:tcBorders>
            <w:shd w:val="clear" w:color="auto" w:fill="auto"/>
            <w:noWrap/>
            <w:vAlign w:val="bottom"/>
            <w:hideMark/>
          </w:tcPr>
          <w:p w14:paraId="4607F410" w14:textId="77777777" w:rsidR="00236269" w:rsidRPr="00236269" w:rsidRDefault="00236269" w:rsidP="00236269">
            <w:pPr>
              <w:spacing w:after="0" w:line="240" w:lineRule="auto"/>
              <w:rPr>
                <w:rFonts w:ascii="Calibri" w:eastAsia="Times New Roman" w:hAnsi="Calibri" w:cs="Calibri"/>
                <w:color w:val="000000"/>
                <w:sz w:val="24"/>
                <w:szCs w:val="24"/>
                <w:lang w:eastAsia="pl-PL"/>
              </w:rPr>
            </w:pPr>
            <w:r w:rsidRPr="00236269">
              <w:rPr>
                <w:rFonts w:ascii="Calibri" w:eastAsia="Times New Roman" w:hAnsi="Calibri" w:cs="Calibri"/>
                <w:color w:val="000000"/>
                <w:sz w:val="24"/>
                <w:szCs w:val="24"/>
                <w:lang w:eastAsia="pl-PL"/>
              </w:rPr>
              <w:t>NULL</w:t>
            </w:r>
          </w:p>
        </w:tc>
        <w:tc>
          <w:tcPr>
            <w:tcW w:w="880" w:type="dxa"/>
            <w:tcBorders>
              <w:top w:val="nil"/>
              <w:left w:val="nil"/>
              <w:bottom w:val="nil"/>
              <w:right w:val="nil"/>
            </w:tcBorders>
            <w:shd w:val="clear" w:color="auto" w:fill="auto"/>
            <w:noWrap/>
            <w:vAlign w:val="bottom"/>
            <w:hideMark/>
          </w:tcPr>
          <w:p w14:paraId="3A2AEE5E" w14:textId="77777777" w:rsidR="00236269" w:rsidRPr="00236269" w:rsidRDefault="00236269" w:rsidP="00236269">
            <w:pPr>
              <w:spacing w:after="0" w:line="240" w:lineRule="auto"/>
              <w:rPr>
                <w:rFonts w:ascii="Calibri" w:eastAsia="Times New Roman" w:hAnsi="Calibri" w:cs="Calibri"/>
                <w:color w:val="000000"/>
                <w:sz w:val="24"/>
                <w:szCs w:val="24"/>
                <w:lang w:eastAsia="pl-PL"/>
              </w:rPr>
            </w:pPr>
          </w:p>
        </w:tc>
        <w:tc>
          <w:tcPr>
            <w:tcW w:w="960" w:type="dxa"/>
            <w:tcBorders>
              <w:top w:val="nil"/>
              <w:left w:val="nil"/>
              <w:bottom w:val="nil"/>
              <w:right w:val="nil"/>
            </w:tcBorders>
            <w:shd w:val="clear" w:color="auto" w:fill="auto"/>
            <w:noWrap/>
            <w:vAlign w:val="bottom"/>
            <w:hideMark/>
          </w:tcPr>
          <w:p w14:paraId="1C075CD9"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289</w:t>
            </w:r>
          </w:p>
        </w:tc>
        <w:tc>
          <w:tcPr>
            <w:tcW w:w="1126" w:type="dxa"/>
            <w:tcBorders>
              <w:top w:val="nil"/>
              <w:left w:val="nil"/>
              <w:bottom w:val="nil"/>
              <w:right w:val="nil"/>
            </w:tcBorders>
            <w:shd w:val="clear" w:color="auto" w:fill="auto"/>
            <w:noWrap/>
            <w:vAlign w:val="bottom"/>
            <w:hideMark/>
          </w:tcPr>
          <w:p w14:paraId="6181BC5C" w14:textId="77777777" w:rsidR="00236269" w:rsidRPr="00236269" w:rsidRDefault="00236269" w:rsidP="00236269">
            <w:pPr>
              <w:spacing w:after="0" w:line="240" w:lineRule="auto"/>
              <w:jc w:val="right"/>
              <w:rPr>
                <w:rFonts w:ascii="Calibri" w:eastAsia="Times New Roman" w:hAnsi="Calibri" w:cs="Calibri"/>
                <w:color w:val="000000"/>
                <w:lang w:eastAsia="pl-PL"/>
              </w:rPr>
            </w:pPr>
          </w:p>
        </w:tc>
        <w:tc>
          <w:tcPr>
            <w:tcW w:w="1274" w:type="dxa"/>
            <w:tcBorders>
              <w:top w:val="nil"/>
              <w:left w:val="nil"/>
              <w:bottom w:val="nil"/>
              <w:right w:val="nil"/>
            </w:tcBorders>
            <w:shd w:val="clear" w:color="auto" w:fill="auto"/>
            <w:noWrap/>
            <w:vAlign w:val="bottom"/>
            <w:hideMark/>
          </w:tcPr>
          <w:p w14:paraId="4923F2DB"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192.71</w:t>
            </w:r>
          </w:p>
        </w:tc>
        <w:tc>
          <w:tcPr>
            <w:tcW w:w="1276" w:type="dxa"/>
            <w:tcBorders>
              <w:top w:val="nil"/>
              <w:left w:val="nil"/>
              <w:bottom w:val="nil"/>
              <w:right w:val="nil"/>
            </w:tcBorders>
            <w:shd w:val="clear" w:color="auto" w:fill="auto"/>
            <w:noWrap/>
            <w:vAlign w:val="bottom"/>
            <w:hideMark/>
          </w:tcPr>
          <w:p w14:paraId="0328A8CF" w14:textId="77777777" w:rsidR="00236269" w:rsidRPr="00236269" w:rsidRDefault="00236269" w:rsidP="00236269">
            <w:pPr>
              <w:spacing w:after="0" w:line="240" w:lineRule="auto"/>
              <w:jc w:val="right"/>
              <w:rPr>
                <w:rFonts w:ascii="Calibri" w:eastAsia="Times New Roman" w:hAnsi="Calibri" w:cs="Calibri"/>
                <w:color w:val="000000"/>
                <w:lang w:eastAsia="pl-PL"/>
              </w:rPr>
            </w:pPr>
          </w:p>
        </w:tc>
        <w:tc>
          <w:tcPr>
            <w:tcW w:w="1444" w:type="dxa"/>
            <w:tcBorders>
              <w:top w:val="nil"/>
              <w:left w:val="nil"/>
              <w:bottom w:val="nil"/>
              <w:right w:val="nil"/>
            </w:tcBorders>
            <w:shd w:val="clear" w:color="auto" w:fill="auto"/>
            <w:noWrap/>
            <w:vAlign w:val="bottom"/>
            <w:hideMark/>
          </w:tcPr>
          <w:p w14:paraId="49E0BA3B"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340.45</w:t>
            </w:r>
          </w:p>
        </w:tc>
        <w:tc>
          <w:tcPr>
            <w:tcW w:w="1163" w:type="dxa"/>
            <w:tcBorders>
              <w:top w:val="nil"/>
              <w:left w:val="nil"/>
              <w:bottom w:val="nil"/>
              <w:right w:val="nil"/>
            </w:tcBorders>
            <w:shd w:val="clear" w:color="auto" w:fill="auto"/>
            <w:noWrap/>
            <w:vAlign w:val="bottom"/>
            <w:hideMark/>
          </w:tcPr>
          <w:p w14:paraId="4D5549A5" w14:textId="77777777" w:rsidR="00236269" w:rsidRPr="00236269" w:rsidRDefault="00236269" w:rsidP="00236269">
            <w:pPr>
              <w:spacing w:after="0" w:line="240" w:lineRule="auto"/>
              <w:jc w:val="right"/>
              <w:rPr>
                <w:rFonts w:ascii="Calibri" w:eastAsia="Times New Roman" w:hAnsi="Calibri" w:cs="Calibri"/>
                <w:color w:val="000000"/>
                <w:lang w:eastAsia="pl-PL"/>
              </w:rPr>
            </w:pPr>
          </w:p>
        </w:tc>
        <w:tc>
          <w:tcPr>
            <w:tcW w:w="1317" w:type="dxa"/>
            <w:tcBorders>
              <w:top w:val="nil"/>
              <w:left w:val="nil"/>
              <w:bottom w:val="nil"/>
              <w:right w:val="nil"/>
            </w:tcBorders>
            <w:shd w:val="clear" w:color="auto" w:fill="auto"/>
            <w:noWrap/>
            <w:vAlign w:val="bottom"/>
            <w:hideMark/>
          </w:tcPr>
          <w:p w14:paraId="5BF7121C"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332.91</w:t>
            </w:r>
          </w:p>
        </w:tc>
      </w:tr>
      <w:tr w:rsidR="00236269" w:rsidRPr="00236269" w14:paraId="2E110ECE" w14:textId="77777777" w:rsidTr="00236269">
        <w:trPr>
          <w:trHeight w:val="310"/>
        </w:trPr>
        <w:tc>
          <w:tcPr>
            <w:tcW w:w="3020" w:type="dxa"/>
            <w:tcBorders>
              <w:top w:val="nil"/>
              <w:left w:val="nil"/>
              <w:bottom w:val="nil"/>
              <w:right w:val="nil"/>
            </w:tcBorders>
            <w:shd w:val="clear" w:color="auto" w:fill="auto"/>
            <w:noWrap/>
            <w:vAlign w:val="center"/>
            <w:hideMark/>
          </w:tcPr>
          <w:p w14:paraId="06DFD9A4" w14:textId="77777777" w:rsidR="00236269" w:rsidRPr="00236269" w:rsidRDefault="00236269" w:rsidP="00236269">
            <w:pPr>
              <w:spacing w:after="0" w:line="240" w:lineRule="auto"/>
              <w:rPr>
                <w:rFonts w:ascii="Calibri" w:eastAsia="Times New Roman" w:hAnsi="Calibri" w:cs="Calibri"/>
                <w:color w:val="000000"/>
                <w:sz w:val="24"/>
                <w:szCs w:val="24"/>
                <w:lang w:eastAsia="pl-PL"/>
              </w:rPr>
            </w:pPr>
            <w:r w:rsidRPr="00236269">
              <w:rPr>
                <w:rFonts w:ascii="Calibri" w:eastAsia="Times New Roman" w:hAnsi="Calibri" w:cs="Calibri"/>
                <w:color w:val="000000"/>
                <w:sz w:val="24"/>
                <w:szCs w:val="24"/>
                <w:lang w:eastAsia="pl-PL"/>
              </w:rPr>
              <w:t>trip type</w:t>
            </w:r>
          </w:p>
        </w:tc>
        <w:tc>
          <w:tcPr>
            <w:tcW w:w="880" w:type="dxa"/>
            <w:tcBorders>
              <w:top w:val="nil"/>
              <w:left w:val="nil"/>
              <w:bottom w:val="nil"/>
              <w:right w:val="nil"/>
            </w:tcBorders>
            <w:shd w:val="clear" w:color="auto" w:fill="auto"/>
            <w:noWrap/>
            <w:vAlign w:val="bottom"/>
            <w:hideMark/>
          </w:tcPr>
          <w:p w14:paraId="54AD1576"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1</w:t>
            </w:r>
          </w:p>
        </w:tc>
        <w:tc>
          <w:tcPr>
            <w:tcW w:w="960" w:type="dxa"/>
            <w:tcBorders>
              <w:top w:val="nil"/>
              <w:left w:val="nil"/>
              <w:bottom w:val="nil"/>
              <w:right w:val="nil"/>
            </w:tcBorders>
            <w:shd w:val="clear" w:color="auto" w:fill="auto"/>
            <w:noWrap/>
            <w:vAlign w:val="bottom"/>
            <w:hideMark/>
          </w:tcPr>
          <w:p w14:paraId="0F1D2224"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288</w:t>
            </w:r>
          </w:p>
        </w:tc>
        <w:tc>
          <w:tcPr>
            <w:tcW w:w="1126" w:type="dxa"/>
            <w:tcBorders>
              <w:top w:val="nil"/>
              <w:left w:val="nil"/>
              <w:bottom w:val="nil"/>
              <w:right w:val="nil"/>
            </w:tcBorders>
            <w:shd w:val="clear" w:color="auto" w:fill="auto"/>
            <w:noWrap/>
            <w:vAlign w:val="bottom"/>
            <w:hideMark/>
          </w:tcPr>
          <w:p w14:paraId="6BB3837C"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1.00</w:t>
            </w:r>
          </w:p>
        </w:tc>
        <w:tc>
          <w:tcPr>
            <w:tcW w:w="1274" w:type="dxa"/>
            <w:tcBorders>
              <w:top w:val="nil"/>
              <w:left w:val="nil"/>
              <w:bottom w:val="nil"/>
              <w:right w:val="nil"/>
            </w:tcBorders>
            <w:shd w:val="clear" w:color="auto" w:fill="auto"/>
            <w:noWrap/>
            <w:vAlign w:val="bottom"/>
            <w:hideMark/>
          </w:tcPr>
          <w:p w14:paraId="60C82607"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191.70</w:t>
            </w:r>
          </w:p>
        </w:tc>
        <w:tc>
          <w:tcPr>
            <w:tcW w:w="1276" w:type="dxa"/>
            <w:tcBorders>
              <w:top w:val="nil"/>
              <w:left w:val="nil"/>
              <w:bottom w:val="nil"/>
              <w:right w:val="nil"/>
            </w:tcBorders>
            <w:shd w:val="clear" w:color="auto" w:fill="auto"/>
            <w:noWrap/>
            <w:vAlign w:val="bottom"/>
            <w:hideMark/>
          </w:tcPr>
          <w:p w14:paraId="7967CFA7"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4.38</w:t>
            </w:r>
          </w:p>
        </w:tc>
        <w:tc>
          <w:tcPr>
            <w:tcW w:w="1444" w:type="dxa"/>
            <w:tcBorders>
              <w:top w:val="nil"/>
              <w:left w:val="nil"/>
              <w:bottom w:val="nil"/>
              <w:right w:val="nil"/>
            </w:tcBorders>
            <w:shd w:val="clear" w:color="auto" w:fill="auto"/>
            <w:noWrap/>
            <w:vAlign w:val="bottom"/>
            <w:hideMark/>
          </w:tcPr>
          <w:p w14:paraId="1E963633"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336.07</w:t>
            </w:r>
          </w:p>
        </w:tc>
        <w:tc>
          <w:tcPr>
            <w:tcW w:w="1163" w:type="dxa"/>
            <w:tcBorders>
              <w:top w:val="nil"/>
              <w:left w:val="nil"/>
              <w:bottom w:val="nil"/>
              <w:right w:val="nil"/>
            </w:tcBorders>
            <w:shd w:val="clear" w:color="auto" w:fill="auto"/>
            <w:noWrap/>
            <w:vAlign w:val="bottom"/>
            <w:hideMark/>
          </w:tcPr>
          <w:p w14:paraId="03AA182D"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1.82</w:t>
            </w:r>
          </w:p>
        </w:tc>
        <w:tc>
          <w:tcPr>
            <w:tcW w:w="1317" w:type="dxa"/>
            <w:tcBorders>
              <w:top w:val="nil"/>
              <w:left w:val="nil"/>
              <w:bottom w:val="nil"/>
              <w:right w:val="nil"/>
            </w:tcBorders>
            <w:shd w:val="clear" w:color="auto" w:fill="auto"/>
            <w:noWrap/>
            <w:vAlign w:val="bottom"/>
            <w:hideMark/>
          </w:tcPr>
          <w:p w14:paraId="2F6E1B10"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331.08</w:t>
            </w:r>
          </w:p>
        </w:tc>
      </w:tr>
      <w:tr w:rsidR="00236269" w:rsidRPr="00236269" w14:paraId="276CEED3" w14:textId="77777777" w:rsidTr="00236269">
        <w:trPr>
          <w:trHeight w:val="310"/>
        </w:trPr>
        <w:tc>
          <w:tcPr>
            <w:tcW w:w="3020" w:type="dxa"/>
            <w:tcBorders>
              <w:top w:val="nil"/>
              <w:left w:val="nil"/>
              <w:bottom w:val="nil"/>
              <w:right w:val="nil"/>
            </w:tcBorders>
            <w:shd w:val="clear" w:color="auto" w:fill="auto"/>
            <w:noWrap/>
            <w:vAlign w:val="center"/>
            <w:hideMark/>
          </w:tcPr>
          <w:p w14:paraId="5F71AE14" w14:textId="2FB0207E" w:rsidR="00236269" w:rsidRPr="00236269" w:rsidRDefault="002877AE" w:rsidP="00236269">
            <w:pPr>
              <w:spacing w:after="0" w:line="240" w:lineRule="auto"/>
              <w:rPr>
                <w:rFonts w:ascii="Calibri" w:eastAsia="Times New Roman" w:hAnsi="Calibri" w:cs="Calibri"/>
                <w:color w:val="000000"/>
                <w:sz w:val="24"/>
                <w:szCs w:val="24"/>
                <w:lang w:eastAsia="pl-PL"/>
              </w:rPr>
            </w:pPr>
            <w:r>
              <w:rPr>
                <w:rFonts w:ascii="Calibri" w:eastAsia="Times New Roman" w:hAnsi="Calibri" w:cs="Calibri"/>
                <w:color w:val="000000"/>
                <w:sz w:val="24"/>
                <w:szCs w:val="24"/>
                <w:lang w:eastAsia="pl-PL"/>
              </w:rPr>
              <w:t>year</w:t>
            </w:r>
          </w:p>
        </w:tc>
        <w:tc>
          <w:tcPr>
            <w:tcW w:w="880" w:type="dxa"/>
            <w:tcBorders>
              <w:top w:val="nil"/>
              <w:left w:val="nil"/>
              <w:bottom w:val="nil"/>
              <w:right w:val="nil"/>
            </w:tcBorders>
            <w:shd w:val="clear" w:color="auto" w:fill="auto"/>
            <w:noWrap/>
            <w:vAlign w:val="bottom"/>
            <w:hideMark/>
          </w:tcPr>
          <w:p w14:paraId="27302CC7"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3</w:t>
            </w:r>
          </w:p>
        </w:tc>
        <w:tc>
          <w:tcPr>
            <w:tcW w:w="960" w:type="dxa"/>
            <w:tcBorders>
              <w:top w:val="nil"/>
              <w:left w:val="nil"/>
              <w:bottom w:val="nil"/>
              <w:right w:val="nil"/>
            </w:tcBorders>
            <w:shd w:val="clear" w:color="auto" w:fill="auto"/>
            <w:noWrap/>
            <w:vAlign w:val="bottom"/>
            <w:hideMark/>
          </w:tcPr>
          <w:p w14:paraId="7E329D44"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285</w:t>
            </w:r>
          </w:p>
        </w:tc>
        <w:tc>
          <w:tcPr>
            <w:tcW w:w="1126" w:type="dxa"/>
            <w:tcBorders>
              <w:top w:val="nil"/>
              <w:left w:val="nil"/>
              <w:bottom w:val="nil"/>
              <w:right w:val="nil"/>
            </w:tcBorders>
            <w:shd w:val="clear" w:color="auto" w:fill="auto"/>
            <w:noWrap/>
            <w:vAlign w:val="bottom"/>
            <w:hideMark/>
          </w:tcPr>
          <w:p w14:paraId="76C824C6"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24.12</w:t>
            </w:r>
          </w:p>
        </w:tc>
        <w:tc>
          <w:tcPr>
            <w:tcW w:w="1274" w:type="dxa"/>
            <w:tcBorders>
              <w:top w:val="nil"/>
              <w:left w:val="nil"/>
              <w:bottom w:val="nil"/>
              <w:right w:val="nil"/>
            </w:tcBorders>
            <w:shd w:val="clear" w:color="auto" w:fill="auto"/>
            <w:noWrap/>
            <w:vAlign w:val="bottom"/>
            <w:hideMark/>
          </w:tcPr>
          <w:p w14:paraId="7737AF7F"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167.59</w:t>
            </w:r>
          </w:p>
        </w:tc>
        <w:tc>
          <w:tcPr>
            <w:tcW w:w="1276" w:type="dxa"/>
            <w:tcBorders>
              <w:top w:val="nil"/>
              <w:left w:val="nil"/>
              <w:bottom w:val="nil"/>
              <w:right w:val="nil"/>
            </w:tcBorders>
            <w:shd w:val="clear" w:color="auto" w:fill="auto"/>
            <w:noWrap/>
            <w:vAlign w:val="bottom"/>
            <w:hideMark/>
          </w:tcPr>
          <w:p w14:paraId="2E5486CF"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37.02</w:t>
            </w:r>
          </w:p>
        </w:tc>
        <w:tc>
          <w:tcPr>
            <w:tcW w:w="1444" w:type="dxa"/>
            <w:tcBorders>
              <w:top w:val="nil"/>
              <w:left w:val="nil"/>
              <w:bottom w:val="nil"/>
              <w:right w:val="nil"/>
            </w:tcBorders>
            <w:shd w:val="clear" w:color="auto" w:fill="auto"/>
            <w:noWrap/>
            <w:vAlign w:val="bottom"/>
            <w:hideMark/>
          </w:tcPr>
          <w:p w14:paraId="7BC48DC9"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299.05</w:t>
            </w:r>
          </w:p>
        </w:tc>
        <w:tc>
          <w:tcPr>
            <w:tcW w:w="1163" w:type="dxa"/>
            <w:tcBorders>
              <w:top w:val="nil"/>
              <w:left w:val="nil"/>
              <w:bottom w:val="nil"/>
              <w:right w:val="nil"/>
            </w:tcBorders>
            <w:shd w:val="clear" w:color="auto" w:fill="auto"/>
            <w:noWrap/>
            <w:vAlign w:val="bottom"/>
            <w:hideMark/>
          </w:tcPr>
          <w:p w14:paraId="3E804903"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33.25</w:t>
            </w:r>
          </w:p>
        </w:tc>
        <w:tc>
          <w:tcPr>
            <w:tcW w:w="1317" w:type="dxa"/>
            <w:tcBorders>
              <w:top w:val="nil"/>
              <w:left w:val="nil"/>
              <w:bottom w:val="nil"/>
              <w:right w:val="nil"/>
            </w:tcBorders>
            <w:shd w:val="clear" w:color="auto" w:fill="auto"/>
            <w:noWrap/>
            <w:vAlign w:val="bottom"/>
            <w:hideMark/>
          </w:tcPr>
          <w:p w14:paraId="5A7DCEA1"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297.84</w:t>
            </w:r>
          </w:p>
        </w:tc>
      </w:tr>
      <w:tr w:rsidR="00236269" w:rsidRPr="00236269" w14:paraId="58A7B23F" w14:textId="77777777" w:rsidTr="00236269">
        <w:trPr>
          <w:trHeight w:val="310"/>
        </w:trPr>
        <w:tc>
          <w:tcPr>
            <w:tcW w:w="3020" w:type="dxa"/>
            <w:tcBorders>
              <w:top w:val="nil"/>
              <w:left w:val="nil"/>
              <w:bottom w:val="nil"/>
              <w:right w:val="nil"/>
            </w:tcBorders>
            <w:shd w:val="clear" w:color="auto" w:fill="auto"/>
            <w:noWrap/>
            <w:vAlign w:val="center"/>
            <w:hideMark/>
          </w:tcPr>
          <w:p w14:paraId="1912E38E" w14:textId="5FFEF95E" w:rsidR="00236269" w:rsidRPr="00236269" w:rsidRDefault="002877AE" w:rsidP="00236269">
            <w:pPr>
              <w:spacing w:after="0" w:line="240" w:lineRule="auto"/>
              <w:rPr>
                <w:rFonts w:ascii="Calibri" w:eastAsia="Times New Roman" w:hAnsi="Calibri" w:cs="Calibri"/>
                <w:color w:val="000000"/>
                <w:sz w:val="24"/>
                <w:szCs w:val="24"/>
                <w:lang w:eastAsia="pl-PL"/>
              </w:rPr>
            </w:pPr>
            <w:r>
              <w:rPr>
                <w:rFonts w:ascii="Calibri" w:eastAsia="Times New Roman" w:hAnsi="Calibri" w:cs="Calibri"/>
                <w:color w:val="000000"/>
                <w:sz w:val="24"/>
                <w:szCs w:val="24"/>
                <w:lang w:eastAsia="pl-PL"/>
              </w:rPr>
              <w:t>s</w:t>
            </w:r>
            <w:r w:rsidR="00236269" w:rsidRPr="00236269">
              <w:rPr>
                <w:rFonts w:ascii="Calibri" w:eastAsia="Times New Roman" w:hAnsi="Calibri" w:cs="Calibri"/>
                <w:color w:val="000000"/>
                <w:sz w:val="24"/>
                <w:szCs w:val="24"/>
                <w:lang w:eastAsia="pl-PL"/>
              </w:rPr>
              <w:t>ex</w:t>
            </w:r>
          </w:p>
        </w:tc>
        <w:tc>
          <w:tcPr>
            <w:tcW w:w="880" w:type="dxa"/>
            <w:tcBorders>
              <w:top w:val="nil"/>
              <w:left w:val="nil"/>
              <w:bottom w:val="nil"/>
              <w:right w:val="nil"/>
            </w:tcBorders>
            <w:shd w:val="clear" w:color="auto" w:fill="auto"/>
            <w:noWrap/>
            <w:vAlign w:val="bottom"/>
            <w:hideMark/>
          </w:tcPr>
          <w:p w14:paraId="04B07C55"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1</w:t>
            </w:r>
          </w:p>
        </w:tc>
        <w:tc>
          <w:tcPr>
            <w:tcW w:w="960" w:type="dxa"/>
            <w:tcBorders>
              <w:top w:val="nil"/>
              <w:left w:val="nil"/>
              <w:bottom w:val="nil"/>
              <w:right w:val="nil"/>
            </w:tcBorders>
            <w:shd w:val="clear" w:color="auto" w:fill="auto"/>
            <w:noWrap/>
            <w:vAlign w:val="bottom"/>
            <w:hideMark/>
          </w:tcPr>
          <w:p w14:paraId="019E6FC5"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284</w:t>
            </w:r>
          </w:p>
        </w:tc>
        <w:tc>
          <w:tcPr>
            <w:tcW w:w="1126" w:type="dxa"/>
            <w:tcBorders>
              <w:top w:val="nil"/>
              <w:left w:val="nil"/>
              <w:bottom w:val="nil"/>
              <w:right w:val="nil"/>
            </w:tcBorders>
            <w:shd w:val="clear" w:color="auto" w:fill="auto"/>
            <w:noWrap/>
            <w:vAlign w:val="bottom"/>
            <w:hideMark/>
          </w:tcPr>
          <w:p w14:paraId="36329675"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3.73</w:t>
            </w:r>
          </w:p>
        </w:tc>
        <w:tc>
          <w:tcPr>
            <w:tcW w:w="1274" w:type="dxa"/>
            <w:tcBorders>
              <w:top w:val="nil"/>
              <w:left w:val="nil"/>
              <w:bottom w:val="nil"/>
              <w:right w:val="nil"/>
            </w:tcBorders>
            <w:shd w:val="clear" w:color="auto" w:fill="auto"/>
            <w:noWrap/>
            <w:vAlign w:val="bottom"/>
            <w:hideMark/>
          </w:tcPr>
          <w:p w14:paraId="4DC2E1B1"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163.85</w:t>
            </w:r>
          </w:p>
        </w:tc>
        <w:tc>
          <w:tcPr>
            <w:tcW w:w="1276" w:type="dxa"/>
            <w:tcBorders>
              <w:top w:val="nil"/>
              <w:left w:val="nil"/>
              <w:bottom w:val="nil"/>
              <w:right w:val="nil"/>
            </w:tcBorders>
            <w:shd w:val="clear" w:color="auto" w:fill="auto"/>
            <w:noWrap/>
            <w:vAlign w:val="bottom"/>
            <w:hideMark/>
          </w:tcPr>
          <w:p w14:paraId="48592AC7"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1.47</w:t>
            </w:r>
          </w:p>
        </w:tc>
        <w:tc>
          <w:tcPr>
            <w:tcW w:w="1444" w:type="dxa"/>
            <w:tcBorders>
              <w:top w:val="nil"/>
              <w:left w:val="nil"/>
              <w:bottom w:val="nil"/>
              <w:right w:val="nil"/>
            </w:tcBorders>
            <w:shd w:val="clear" w:color="auto" w:fill="auto"/>
            <w:noWrap/>
            <w:vAlign w:val="bottom"/>
            <w:hideMark/>
          </w:tcPr>
          <w:p w14:paraId="1FCAE837"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297.57</w:t>
            </w:r>
          </w:p>
        </w:tc>
        <w:tc>
          <w:tcPr>
            <w:tcW w:w="1163" w:type="dxa"/>
            <w:tcBorders>
              <w:top w:val="nil"/>
              <w:left w:val="nil"/>
              <w:bottom w:val="nil"/>
              <w:right w:val="nil"/>
            </w:tcBorders>
            <w:shd w:val="clear" w:color="auto" w:fill="auto"/>
            <w:noWrap/>
            <w:vAlign w:val="bottom"/>
            <w:hideMark/>
          </w:tcPr>
          <w:p w14:paraId="463B4A3D"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2.81</w:t>
            </w:r>
          </w:p>
        </w:tc>
        <w:tc>
          <w:tcPr>
            <w:tcW w:w="1317" w:type="dxa"/>
            <w:tcBorders>
              <w:top w:val="nil"/>
              <w:left w:val="nil"/>
              <w:bottom w:val="nil"/>
              <w:right w:val="nil"/>
            </w:tcBorders>
            <w:shd w:val="clear" w:color="auto" w:fill="auto"/>
            <w:noWrap/>
            <w:vAlign w:val="bottom"/>
            <w:hideMark/>
          </w:tcPr>
          <w:p w14:paraId="6B9BF234"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295.02</w:t>
            </w:r>
          </w:p>
        </w:tc>
      </w:tr>
      <w:tr w:rsidR="00236269" w:rsidRPr="00236269" w14:paraId="73255ED0" w14:textId="77777777" w:rsidTr="00236269">
        <w:trPr>
          <w:trHeight w:val="310"/>
        </w:trPr>
        <w:tc>
          <w:tcPr>
            <w:tcW w:w="3020" w:type="dxa"/>
            <w:tcBorders>
              <w:top w:val="nil"/>
              <w:left w:val="nil"/>
              <w:bottom w:val="nil"/>
              <w:right w:val="nil"/>
            </w:tcBorders>
            <w:shd w:val="clear" w:color="auto" w:fill="auto"/>
            <w:noWrap/>
            <w:vAlign w:val="center"/>
            <w:hideMark/>
          </w:tcPr>
          <w:p w14:paraId="346DF062" w14:textId="53A0D87B" w:rsidR="00236269" w:rsidRPr="00236269" w:rsidRDefault="00236269" w:rsidP="002877AE">
            <w:pPr>
              <w:spacing w:after="0" w:line="240" w:lineRule="auto"/>
              <w:rPr>
                <w:rFonts w:ascii="Calibri" w:eastAsia="Times New Roman" w:hAnsi="Calibri" w:cs="Calibri"/>
                <w:color w:val="000000"/>
                <w:sz w:val="24"/>
                <w:szCs w:val="24"/>
                <w:lang w:eastAsia="pl-PL"/>
              </w:rPr>
            </w:pPr>
            <w:r w:rsidRPr="00236269">
              <w:rPr>
                <w:rFonts w:ascii="Calibri" w:eastAsia="Times New Roman" w:hAnsi="Calibri" w:cs="Calibri"/>
                <w:color w:val="000000"/>
                <w:sz w:val="24"/>
                <w:szCs w:val="24"/>
                <w:lang w:eastAsia="pl-PL"/>
              </w:rPr>
              <w:t xml:space="preserve">trip type x </w:t>
            </w:r>
            <w:r w:rsidR="002877AE">
              <w:rPr>
                <w:rFonts w:ascii="Calibri" w:eastAsia="Times New Roman" w:hAnsi="Calibri" w:cs="Calibri"/>
                <w:color w:val="000000"/>
                <w:sz w:val="24"/>
                <w:szCs w:val="24"/>
                <w:lang w:eastAsia="pl-PL"/>
              </w:rPr>
              <w:t>year</w:t>
            </w:r>
          </w:p>
        </w:tc>
        <w:tc>
          <w:tcPr>
            <w:tcW w:w="880" w:type="dxa"/>
            <w:tcBorders>
              <w:top w:val="nil"/>
              <w:left w:val="nil"/>
              <w:bottom w:val="nil"/>
              <w:right w:val="nil"/>
            </w:tcBorders>
            <w:shd w:val="clear" w:color="auto" w:fill="auto"/>
            <w:noWrap/>
            <w:vAlign w:val="bottom"/>
            <w:hideMark/>
          </w:tcPr>
          <w:p w14:paraId="78AB9CBD"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3</w:t>
            </w:r>
          </w:p>
        </w:tc>
        <w:tc>
          <w:tcPr>
            <w:tcW w:w="960" w:type="dxa"/>
            <w:tcBorders>
              <w:top w:val="nil"/>
              <w:left w:val="nil"/>
              <w:bottom w:val="nil"/>
              <w:right w:val="nil"/>
            </w:tcBorders>
            <w:shd w:val="clear" w:color="auto" w:fill="auto"/>
            <w:noWrap/>
            <w:vAlign w:val="bottom"/>
            <w:hideMark/>
          </w:tcPr>
          <w:p w14:paraId="6AA90741"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281</w:t>
            </w:r>
          </w:p>
        </w:tc>
        <w:tc>
          <w:tcPr>
            <w:tcW w:w="1126" w:type="dxa"/>
            <w:tcBorders>
              <w:top w:val="nil"/>
              <w:left w:val="nil"/>
              <w:bottom w:val="nil"/>
              <w:right w:val="nil"/>
            </w:tcBorders>
            <w:shd w:val="clear" w:color="auto" w:fill="auto"/>
            <w:noWrap/>
            <w:vAlign w:val="bottom"/>
            <w:hideMark/>
          </w:tcPr>
          <w:p w14:paraId="7188278B"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12.99</w:t>
            </w:r>
          </w:p>
        </w:tc>
        <w:tc>
          <w:tcPr>
            <w:tcW w:w="1274" w:type="dxa"/>
            <w:tcBorders>
              <w:top w:val="nil"/>
              <w:left w:val="nil"/>
              <w:bottom w:val="nil"/>
              <w:right w:val="nil"/>
            </w:tcBorders>
            <w:shd w:val="clear" w:color="auto" w:fill="auto"/>
            <w:noWrap/>
            <w:vAlign w:val="bottom"/>
            <w:hideMark/>
          </w:tcPr>
          <w:p w14:paraId="0F620506"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150.86</w:t>
            </w:r>
          </w:p>
        </w:tc>
        <w:tc>
          <w:tcPr>
            <w:tcW w:w="1276" w:type="dxa"/>
            <w:tcBorders>
              <w:top w:val="nil"/>
              <w:left w:val="nil"/>
              <w:bottom w:val="nil"/>
              <w:right w:val="nil"/>
            </w:tcBorders>
            <w:shd w:val="clear" w:color="auto" w:fill="auto"/>
            <w:noWrap/>
            <w:vAlign w:val="bottom"/>
            <w:hideMark/>
          </w:tcPr>
          <w:p w14:paraId="3E675EAB"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1.61</w:t>
            </w:r>
          </w:p>
        </w:tc>
        <w:tc>
          <w:tcPr>
            <w:tcW w:w="1444" w:type="dxa"/>
            <w:tcBorders>
              <w:top w:val="nil"/>
              <w:left w:val="nil"/>
              <w:bottom w:val="nil"/>
              <w:right w:val="nil"/>
            </w:tcBorders>
            <w:shd w:val="clear" w:color="auto" w:fill="auto"/>
            <w:noWrap/>
            <w:vAlign w:val="bottom"/>
            <w:hideMark/>
          </w:tcPr>
          <w:p w14:paraId="1EA79566"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295.96</w:t>
            </w:r>
          </w:p>
        </w:tc>
        <w:tc>
          <w:tcPr>
            <w:tcW w:w="1163" w:type="dxa"/>
            <w:tcBorders>
              <w:top w:val="nil"/>
              <w:left w:val="nil"/>
              <w:bottom w:val="nil"/>
              <w:right w:val="nil"/>
            </w:tcBorders>
            <w:shd w:val="clear" w:color="auto" w:fill="auto"/>
            <w:noWrap/>
            <w:vAlign w:val="bottom"/>
            <w:hideMark/>
          </w:tcPr>
          <w:p w14:paraId="1E1B2447"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4.45</w:t>
            </w:r>
          </w:p>
        </w:tc>
        <w:tc>
          <w:tcPr>
            <w:tcW w:w="1317" w:type="dxa"/>
            <w:tcBorders>
              <w:top w:val="nil"/>
              <w:left w:val="nil"/>
              <w:bottom w:val="nil"/>
              <w:right w:val="nil"/>
            </w:tcBorders>
            <w:shd w:val="clear" w:color="auto" w:fill="auto"/>
            <w:noWrap/>
            <w:vAlign w:val="bottom"/>
            <w:hideMark/>
          </w:tcPr>
          <w:p w14:paraId="124B7071"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290.58</w:t>
            </w:r>
          </w:p>
        </w:tc>
      </w:tr>
      <w:tr w:rsidR="00236269" w:rsidRPr="00236269" w14:paraId="24BF9E1B" w14:textId="77777777" w:rsidTr="00236269">
        <w:trPr>
          <w:trHeight w:val="310"/>
        </w:trPr>
        <w:tc>
          <w:tcPr>
            <w:tcW w:w="3020" w:type="dxa"/>
            <w:tcBorders>
              <w:top w:val="nil"/>
              <w:left w:val="nil"/>
              <w:bottom w:val="nil"/>
              <w:right w:val="nil"/>
            </w:tcBorders>
            <w:shd w:val="clear" w:color="auto" w:fill="auto"/>
            <w:noWrap/>
            <w:vAlign w:val="center"/>
            <w:hideMark/>
          </w:tcPr>
          <w:p w14:paraId="7BB34181" w14:textId="77777777" w:rsidR="00236269" w:rsidRPr="00236269" w:rsidRDefault="00236269" w:rsidP="00236269">
            <w:pPr>
              <w:spacing w:after="0" w:line="240" w:lineRule="auto"/>
              <w:rPr>
                <w:rFonts w:ascii="Calibri" w:eastAsia="Times New Roman" w:hAnsi="Calibri" w:cs="Calibri"/>
                <w:color w:val="000000"/>
                <w:sz w:val="24"/>
                <w:szCs w:val="24"/>
                <w:lang w:eastAsia="pl-PL"/>
              </w:rPr>
            </w:pPr>
            <w:r w:rsidRPr="00236269">
              <w:rPr>
                <w:rFonts w:ascii="Calibri" w:eastAsia="Times New Roman" w:hAnsi="Calibri" w:cs="Calibri"/>
                <w:color w:val="000000"/>
                <w:sz w:val="24"/>
                <w:szCs w:val="24"/>
                <w:lang w:eastAsia="pl-PL"/>
              </w:rPr>
              <w:t>trip type x sex</w:t>
            </w:r>
          </w:p>
        </w:tc>
        <w:tc>
          <w:tcPr>
            <w:tcW w:w="880" w:type="dxa"/>
            <w:tcBorders>
              <w:top w:val="nil"/>
              <w:left w:val="nil"/>
              <w:bottom w:val="nil"/>
              <w:right w:val="nil"/>
            </w:tcBorders>
            <w:shd w:val="clear" w:color="auto" w:fill="auto"/>
            <w:noWrap/>
            <w:vAlign w:val="bottom"/>
            <w:hideMark/>
          </w:tcPr>
          <w:p w14:paraId="26E4DA17"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1</w:t>
            </w:r>
          </w:p>
        </w:tc>
        <w:tc>
          <w:tcPr>
            <w:tcW w:w="960" w:type="dxa"/>
            <w:tcBorders>
              <w:top w:val="nil"/>
              <w:left w:val="nil"/>
              <w:bottom w:val="nil"/>
              <w:right w:val="nil"/>
            </w:tcBorders>
            <w:shd w:val="clear" w:color="auto" w:fill="auto"/>
            <w:noWrap/>
            <w:vAlign w:val="bottom"/>
            <w:hideMark/>
          </w:tcPr>
          <w:p w14:paraId="348F714F"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280</w:t>
            </w:r>
          </w:p>
        </w:tc>
        <w:tc>
          <w:tcPr>
            <w:tcW w:w="1126" w:type="dxa"/>
            <w:tcBorders>
              <w:top w:val="nil"/>
              <w:left w:val="nil"/>
              <w:bottom w:val="nil"/>
              <w:right w:val="nil"/>
            </w:tcBorders>
            <w:shd w:val="clear" w:color="auto" w:fill="auto"/>
            <w:noWrap/>
            <w:vAlign w:val="bottom"/>
            <w:hideMark/>
          </w:tcPr>
          <w:p w14:paraId="7DFAAC14"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0.24</w:t>
            </w:r>
          </w:p>
        </w:tc>
        <w:tc>
          <w:tcPr>
            <w:tcW w:w="1274" w:type="dxa"/>
            <w:tcBorders>
              <w:top w:val="nil"/>
              <w:left w:val="nil"/>
              <w:bottom w:val="nil"/>
              <w:right w:val="nil"/>
            </w:tcBorders>
            <w:shd w:val="clear" w:color="auto" w:fill="auto"/>
            <w:noWrap/>
            <w:vAlign w:val="bottom"/>
            <w:hideMark/>
          </w:tcPr>
          <w:p w14:paraId="14A866F1"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150.61</w:t>
            </w:r>
          </w:p>
        </w:tc>
        <w:tc>
          <w:tcPr>
            <w:tcW w:w="1276" w:type="dxa"/>
            <w:tcBorders>
              <w:top w:val="nil"/>
              <w:left w:val="nil"/>
              <w:bottom w:val="nil"/>
              <w:right w:val="nil"/>
            </w:tcBorders>
            <w:shd w:val="clear" w:color="auto" w:fill="auto"/>
            <w:noWrap/>
            <w:vAlign w:val="bottom"/>
            <w:hideMark/>
          </w:tcPr>
          <w:p w14:paraId="1B81DFC7"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0.34</w:t>
            </w:r>
          </w:p>
        </w:tc>
        <w:tc>
          <w:tcPr>
            <w:tcW w:w="1444" w:type="dxa"/>
            <w:tcBorders>
              <w:top w:val="nil"/>
              <w:left w:val="nil"/>
              <w:bottom w:val="nil"/>
              <w:right w:val="nil"/>
            </w:tcBorders>
            <w:shd w:val="clear" w:color="auto" w:fill="auto"/>
            <w:noWrap/>
            <w:vAlign w:val="bottom"/>
            <w:hideMark/>
          </w:tcPr>
          <w:p w14:paraId="60729FEB"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295.62</w:t>
            </w:r>
          </w:p>
        </w:tc>
        <w:tc>
          <w:tcPr>
            <w:tcW w:w="1163" w:type="dxa"/>
            <w:tcBorders>
              <w:top w:val="nil"/>
              <w:left w:val="nil"/>
              <w:bottom w:val="nil"/>
              <w:right w:val="nil"/>
            </w:tcBorders>
            <w:shd w:val="clear" w:color="auto" w:fill="auto"/>
            <w:noWrap/>
            <w:vAlign w:val="bottom"/>
            <w:hideMark/>
          </w:tcPr>
          <w:p w14:paraId="286DF747"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0.22</w:t>
            </w:r>
          </w:p>
        </w:tc>
        <w:tc>
          <w:tcPr>
            <w:tcW w:w="1317" w:type="dxa"/>
            <w:tcBorders>
              <w:top w:val="nil"/>
              <w:left w:val="nil"/>
              <w:bottom w:val="nil"/>
              <w:right w:val="nil"/>
            </w:tcBorders>
            <w:shd w:val="clear" w:color="auto" w:fill="auto"/>
            <w:noWrap/>
            <w:vAlign w:val="bottom"/>
            <w:hideMark/>
          </w:tcPr>
          <w:p w14:paraId="1DB430C4"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290.36</w:t>
            </w:r>
          </w:p>
        </w:tc>
      </w:tr>
      <w:tr w:rsidR="00236269" w:rsidRPr="00236269" w14:paraId="3CF72E66" w14:textId="77777777" w:rsidTr="00236269">
        <w:trPr>
          <w:trHeight w:val="310"/>
        </w:trPr>
        <w:tc>
          <w:tcPr>
            <w:tcW w:w="3020" w:type="dxa"/>
            <w:tcBorders>
              <w:top w:val="nil"/>
              <w:left w:val="nil"/>
              <w:bottom w:val="nil"/>
              <w:right w:val="nil"/>
            </w:tcBorders>
            <w:shd w:val="clear" w:color="auto" w:fill="auto"/>
            <w:noWrap/>
            <w:vAlign w:val="center"/>
            <w:hideMark/>
          </w:tcPr>
          <w:p w14:paraId="66212F8C" w14:textId="28354D80" w:rsidR="00236269" w:rsidRPr="00236269" w:rsidRDefault="002877AE" w:rsidP="00236269">
            <w:pPr>
              <w:spacing w:after="0" w:line="240" w:lineRule="auto"/>
              <w:rPr>
                <w:rFonts w:ascii="Calibri" w:eastAsia="Times New Roman" w:hAnsi="Calibri" w:cs="Calibri"/>
                <w:color w:val="000000"/>
                <w:sz w:val="24"/>
                <w:szCs w:val="24"/>
                <w:lang w:eastAsia="pl-PL"/>
              </w:rPr>
            </w:pPr>
            <w:r>
              <w:rPr>
                <w:rFonts w:ascii="Calibri" w:eastAsia="Times New Roman" w:hAnsi="Calibri" w:cs="Calibri"/>
                <w:color w:val="000000"/>
                <w:sz w:val="24"/>
                <w:szCs w:val="24"/>
                <w:lang w:eastAsia="pl-PL"/>
              </w:rPr>
              <w:t>year</w:t>
            </w:r>
            <w:r w:rsidR="00236269" w:rsidRPr="00236269">
              <w:rPr>
                <w:rFonts w:ascii="Calibri" w:eastAsia="Times New Roman" w:hAnsi="Calibri" w:cs="Calibri"/>
                <w:color w:val="000000"/>
                <w:sz w:val="24"/>
                <w:szCs w:val="24"/>
                <w:lang w:eastAsia="pl-PL"/>
              </w:rPr>
              <w:t xml:space="preserve"> x sex</w:t>
            </w:r>
          </w:p>
        </w:tc>
        <w:tc>
          <w:tcPr>
            <w:tcW w:w="880" w:type="dxa"/>
            <w:tcBorders>
              <w:top w:val="nil"/>
              <w:left w:val="nil"/>
              <w:bottom w:val="nil"/>
              <w:right w:val="nil"/>
            </w:tcBorders>
            <w:shd w:val="clear" w:color="auto" w:fill="auto"/>
            <w:noWrap/>
            <w:vAlign w:val="bottom"/>
            <w:hideMark/>
          </w:tcPr>
          <w:p w14:paraId="222A017A"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3</w:t>
            </w:r>
          </w:p>
        </w:tc>
        <w:tc>
          <w:tcPr>
            <w:tcW w:w="960" w:type="dxa"/>
            <w:tcBorders>
              <w:top w:val="nil"/>
              <w:left w:val="nil"/>
              <w:bottom w:val="nil"/>
              <w:right w:val="nil"/>
            </w:tcBorders>
            <w:shd w:val="clear" w:color="auto" w:fill="auto"/>
            <w:noWrap/>
            <w:vAlign w:val="bottom"/>
            <w:hideMark/>
          </w:tcPr>
          <w:p w14:paraId="40876336"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277</w:t>
            </w:r>
          </w:p>
        </w:tc>
        <w:tc>
          <w:tcPr>
            <w:tcW w:w="1126" w:type="dxa"/>
            <w:tcBorders>
              <w:top w:val="nil"/>
              <w:left w:val="nil"/>
              <w:bottom w:val="nil"/>
              <w:right w:val="nil"/>
            </w:tcBorders>
            <w:shd w:val="clear" w:color="auto" w:fill="auto"/>
            <w:noWrap/>
            <w:vAlign w:val="bottom"/>
            <w:hideMark/>
          </w:tcPr>
          <w:p w14:paraId="24F5E9CF"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0.62</w:t>
            </w:r>
          </w:p>
        </w:tc>
        <w:tc>
          <w:tcPr>
            <w:tcW w:w="1274" w:type="dxa"/>
            <w:tcBorders>
              <w:top w:val="nil"/>
              <w:left w:val="nil"/>
              <w:bottom w:val="nil"/>
              <w:right w:val="nil"/>
            </w:tcBorders>
            <w:shd w:val="clear" w:color="auto" w:fill="auto"/>
            <w:noWrap/>
            <w:vAlign w:val="bottom"/>
            <w:hideMark/>
          </w:tcPr>
          <w:p w14:paraId="09175FDA"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149.99</w:t>
            </w:r>
          </w:p>
        </w:tc>
        <w:tc>
          <w:tcPr>
            <w:tcW w:w="1276" w:type="dxa"/>
            <w:tcBorders>
              <w:top w:val="nil"/>
              <w:left w:val="nil"/>
              <w:bottom w:val="nil"/>
              <w:right w:val="nil"/>
            </w:tcBorders>
            <w:shd w:val="clear" w:color="auto" w:fill="auto"/>
            <w:noWrap/>
            <w:vAlign w:val="bottom"/>
            <w:hideMark/>
          </w:tcPr>
          <w:p w14:paraId="60C4E3C4"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5.94</w:t>
            </w:r>
          </w:p>
        </w:tc>
        <w:tc>
          <w:tcPr>
            <w:tcW w:w="1444" w:type="dxa"/>
            <w:tcBorders>
              <w:top w:val="nil"/>
              <w:left w:val="nil"/>
              <w:bottom w:val="nil"/>
              <w:right w:val="nil"/>
            </w:tcBorders>
            <w:shd w:val="clear" w:color="auto" w:fill="auto"/>
            <w:noWrap/>
            <w:vAlign w:val="bottom"/>
            <w:hideMark/>
          </w:tcPr>
          <w:p w14:paraId="7C62D188"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289.69</w:t>
            </w:r>
          </w:p>
        </w:tc>
        <w:tc>
          <w:tcPr>
            <w:tcW w:w="1163" w:type="dxa"/>
            <w:tcBorders>
              <w:top w:val="nil"/>
              <w:left w:val="nil"/>
              <w:bottom w:val="nil"/>
              <w:right w:val="nil"/>
            </w:tcBorders>
            <w:shd w:val="clear" w:color="auto" w:fill="auto"/>
            <w:noWrap/>
            <w:vAlign w:val="bottom"/>
            <w:hideMark/>
          </w:tcPr>
          <w:p w14:paraId="760D4DDB"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1.10</w:t>
            </w:r>
          </w:p>
        </w:tc>
        <w:tc>
          <w:tcPr>
            <w:tcW w:w="1317" w:type="dxa"/>
            <w:tcBorders>
              <w:top w:val="nil"/>
              <w:left w:val="nil"/>
              <w:bottom w:val="nil"/>
              <w:right w:val="nil"/>
            </w:tcBorders>
            <w:shd w:val="clear" w:color="auto" w:fill="auto"/>
            <w:noWrap/>
            <w:vAlign w:val="bottom"/>
            <w:hideMark/>
          </w:tcPr>
          <w:p w14:paraId="7770C9B5"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289.26</w:t>
            </w:r>
          </w:p>
        </w:tc>
      </w:tr>
      <w:tr w:rsidR="00236269" w:rsidRPr="00236269" w14:paraId="79AF9D92" w14:textId="77777777" w:rsidTr="00236269">
        <w:trPr>
          <w:trHeight w:val="310"/>
        </w:trPr>
        <w:tc>
          <w:tcPr>
            <w:tcW w:w="3020" w:type="dxa"/>
            <w:tcBorders>
              <w:top w:val="nil"/>
              <w:left w:val="nil"/>
              <w:bottom w:val="single" w:sz="4" w:space="0" w:color="auto"/>
              <w:right w:val="nil"/>
            </w:tcBorders>
            <w:shd w:val="clear" w:color="auto" w:fill="auto"/>
            <w:noWrap/>
            <w:vAlign w:val="center"/>
            <w:hideMark/>
          </w:tcPr>
          <w:p w14:paraId="71BBCC74" w14:textId="7822F5AB" w:rsidR="00236269" w:rsidRPr="00236269" w:rsidRDefault="00236269" w:rsidP="002877AE">
            <w:pPr>
              <w:spacing w:after="0" w:line="240" w:lineRule="auto"/>
              <w:rPr>
                <w:rFonts w:ascii="Calibri" w:eastAsia="Times New Roman" w:hAnsi="Calibri" w:cs="Calibri"/>
                <w:color w:val="000000"/>
                <w:sz w:val="24"/>
                <w:szCs w:val="24"/>
                <w:lang w:val="en-GB" w:eastAsia="pl-PL"/>
              </w:rPr>
            </w:pPr>
            <w:r w:rsidRPr="00236269">
              <w:rPr>
                <w:rFonts w:ascii="Calibri" w:eastAsia="Times New Roman" w:hAnsi="Calibri" w:cs="Calibri"/>
                <w:color w:val="000000"/>
                <w:sz w:val="24"/>
                <w:szCs w:val="24"/>
                <w:lang w:val="en-GB" w:eastAsia="pl-PL"/>
              </w:rPr>
              <w:t xml:space="preserve">trip type x </w:t>
            </w:r>
            <w:r w:rsidR="002877AE">
              <w:rPr>
                <w:rFonts w:ascii="Calibri" w:eastAsia="Times New Roman" w:hAnsi="Calibri" w:cs="Calibri"/>
                <w:color w:val="000000"/>
                <w:sz w:val="24"/>
                <w:szCs w:val="24"/>
                <w:lang w:val="en-GB" w:eastAsia="pl-PL"/>
              </w:rPr>
              <w:t xml:space="preserve">year </w:t>
            </w:r>
            <w:r w:rsidRPr="00236269">
              <w:rPr>
                <w:rFonts w:ascii="Calibri" w:eastAsia="Times New Roman" w:hAnsi="Calibri" w:cs="Calibri"/>
                <w:color w:val="000000"/>
                <w:sz w:val="24"/>
                <w:szCs w:val="24"/>
                <w:lang w:val="en-GB" w:eastAsia="pl-PL"/>
              </w:rPr>
              <w:t>x sex</w:t>
            </w:r>
          </w:p>
        </w:tc>
        <w:tc>
          <w:tcPr>
            <w:tcW w:w="880" w:type="dxa"/>
            <w:tcBorders>
              <w:top w:val="nil"/>
              <w:left w:val="nil"/>
              <w:bottom w:val="single" w:sz="4" w:space="0" w:color="auto"/>
              <w:right w:val="nil"/>
            </w:tcBorders>
            <w:shd w:val="clear" w:color="auto" w:fill="auto"/>
            <w:noWrap/>
            <w:vAlign w:val="bottom"/>
            <w:hideMark/>
          </w:tcPr>
          <w:p w14:paraId="4C9F7055"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3</w:t>
            </w:r>
          </w:p>
        </w:tc>
        <w:tc>
          <w:tcPr>
            <w:tcW w:w="960" w:type="dxa"/>
            <w:tcBorders>
              <w:top w:val="nil"/>
              <w:left w:val="nil"/>
              <w:bottom w:val="single" w:sz="4" w:space="0" w:color="auto"/>
              <w:right w:val="nil"/>
            </w:tcBorders>
            <w:shd w:val="clear" w:color="auto" w:fill="auto"/>
            <w:noWrap/>
            <w:vAlign w:val="bottom"/>
            <w:hideMark/>
          </w:tcPr>
          <w:p w14:paraId="1BA53FD4"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274</w:t>
            </w:r>
          </w:p>
        </w:tc>
        <w:tc>
          <w:tcPr>
            <w:tcW w:w="1126" w:type="dxa"/>
            <w:tcBorders>
              <w:top w:val="nil"/>
              <w:left w:val="nil"/>
              <w:bottom w:val="single" w:sz="4" w:space="0" w:color="auto"/>
              <w:right w:val="nil"/>
            </w:tcBorders>
            <w:shd w:val="clear" w:color="auto" w:fill="auto"/>
            <w:noWrap/>
            <w:vAlign w:val="bottom"/>
            <w:hideMark/>
          </w:tcPr>
          <w:p w14:paraId="2D8E5E6A"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0.33</w:t>
            </w:r>
          </w:p>
        </w:tc>
        <w:tc>
          <w:tcPr>
            <w:tcW w:w="1274" w:type="dxa"/>
            <w:tcBorders>
              <w:top w:val="nil"/>
              <w:left w:val="nil"/>
              <w:bottom w:val="single" w:sz="4" w:space="0" w:color="auto"/>
              <w:right w:val="nil"/>
            </w:tcBorders>
            <w:shd w:val="clear" w:color="auto" w:fill="auto"/>
            <w:noWrap/>
            <w:vAlign w:val="bottom"/>
            <w:hideMark/>
          </w:tcPr>
          <w:p w14:paraId="49C8DD67"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149.66</w:t>
            </w:r>
          </w:p>
        </w:tc>
        <w:tc>
          <w:tcPr>
            <w:tcW w:w="1276" w:type="dxa"/>
            <w:tcBorders>
              <w:top w:val="nil"/>
              <w:left w:val="nil"/>
              <w:bottom w:val="single" w:sz="4" w:space="0" w:color="auto"/>
              <w:right w:val="nil"/>
            </w:tcBorders>
            <w:shd w:val="clear" w:color="auto" w:fill="auto"/>
            <w:noWrap/>
            <w:vAlign w:val="bottom"/>
            <w:hideMark/>
          </w:tcPr>
          <w:p w14:paraId="39E28A8A"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7.78</w:t>
            </w:r>
          </w:p>
        </w:tc>
        <w:tc>
          <w:tcPr>
            <w:tcW w:w="1444" w:type="dxa"/>
            <w:tcBorders>
              <w:top w:val="nil"/>
              <w:left w:val="nil"/>
              <w:bottom w:val="single" w:sz="4" w:space="0" w:color="auto"/>
              <w:right w:val="nil"/>
            </w:tcBorders>
            <w:shd w:val="clear" w:color="auto" w:fill="auto"/>
            <w:noWrap/>
            <w:vAlign w:val="bottom"/>
            <w:hideMark/>
          </w:tcPr>
          <w:p w14:paraId="42E9ACF8"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281.91</w:t>
            </w:r>
          </w:p>
        </w:tc>
        <w:tc>
          <w:tcPr>
            <w:tcW w:w="1163" w:type="dxa"/>
            <w:tcBorders>
              <w:top w:val="nil"/>
              <w:left w:val="nil"/>
              <w:bottom w:val="single" w:sz="4" w:space="0" w:color="auto"/>
              <w:right w:val="nil"/>
            </w:tcBorders>
            <w:shd w:val="clear" w:color="auto" w:fill="auto"/>
            <w:noWrap/>
            <w:vAlign w:val="bottom"/>
            <w:hideMark/>
          </w:tcPr>
          <w:p w14:paraId="199D81F5"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2.68</w:t>
            </w:r>
          </w:p>
        </w:tc>
        <w:tc>
          <w:tcPr>
            <w:tcW w:w="1317" w:type="dxa"/>
            <w:tcBorders>
              <w:top w:val="nil"/>
              <w:left w:val="nil"/>
              <w:bottom w:val="single" w:sz="4" w:space="0" w:color="auto"/>
              <w:right w:val="nil"/>
            </w:tcBorders>
            <w:shd w:val="clear" w:color="auto" w:fill="auto"/>
            <w:noWrap/>
            <w:vAlign w:val="bottom"/>
            <w:hideMark/>
          </w:tcPr>
          <w:p w14:paraId="4A8F6201" w14:textId="77777777" w:rsidR="00236269" w:rsidRPr="00236269" w:rsidRDefault="00236269" w:rsidP="00236269">
            <w:pPr>
              <w:spacing w:after="0" w:line="240" w:lineRule="auto"/>
              <w:jc w:val="right"/>
              <w:rPr>
                <w:rFonts w:ascii="Calibri" w:eastAsia="Times New Roman" w:hAnsi="Calibri" w:cs="Calibri"/>
                <w:color w:val="000000"/>
                <w:lang w:eastAsia="pl-PL"/>
              </w:rPr>
            </w:pPr>
            <w:r w:rsidRPr="00236269">
              <w:rPr>
                <w:rFonts w:ascii="Calibri" w:eastAsia="Times New Roman" w:hAnsi="Calibri" w:cs="Calibri"/>
                <w:color w:val="000000"/>
                <w:lang w:eastAsia="pl-PL"/>
              </w:rPr>
              <w:t>286.58</w:t>
            </w:r>
          </w:p>
        </w:tc>
      </w:tr>
    </w:tbl>
    <w:p w14:paraId="12BC3051" w14:textId="77777777" w:rsidR="00236269" w:rsidRDefault="00236269" w:rsidP="004F3849">
      <w:pPr>
        <w:jc w:val="both"/>
        <w:rPr>
          <w:lang w:val="en-GB"/>
        </w:rPr>
      </w:pPr>
    </w:p>
    <w:p w14:paraId="3C3BCD52" w14:textId="011F0A2A" w:rsidR="00AE0BED" w:rsidRDefault="00AE0BED" w:rsidP="00B103CB">
      <w:pPr>
        <w:jc w:val="both"/>
        <w:rPr>
          <w:lang w:val="en-GB"/>
        </w:rPr>
      </w:pPr>
    </w:p>
    <w:p w14:paraId="0FEE5EE2" w14:textId="77777777" w:rsidR="00AE0BED" w:rsidRDefault="00AE0BED" w:rsidP="00B103CB">
      <w:pPr>
        <w:jc w:val="both"/>
        <w:rPr>
          <w:lang w:val="en-GB"/>
        </w:rPr>
      </w:pPr>
    </w:p>
    <w:p w14:paraId="7273E361" w14:textId="77777777" w:rsidR="004F3849" w:rsidRDefault="004F3849">
      <w:pPr>
        <w:rPr>
          <w:b/>
          <w:lang w:val="en-US"/>
        </w:rPr>
        <w:sectPr w:rsidR="004F3849" w:rsidSect="004F3849">
          <w:pgSz w:w="16838" w:h="11906" w:orient="landscape"/>
          <w:pgMar w:top="1417" w:right="1417" w:bottom="1417" w:left="1417" w:header="708" w:footer="708" w:gutter="0"/>
          <w:cols w:space="708"/>
          <w:docGrid w:linePitch="360"/>
        </w:sectPr>
      </w:pPr>
    </w:p>
    <w:p w14:paraId="722DCECF" w14:textId="0341129E" w:rsidR="00996C6C" w:rsidRPr="000B4D6F" w:rsidRDefault="00996C6C">
      <w:pPr>
        <w:rPr>
          <w:b/>
          <w:lang w:val="en-GB"/>
        </w:rPr>
      </w:pPr>
      <w:r w:rsidRPr="00810D7D">
        <w:rPr>
          <w:b/>
          <w:lang w:val="en-US"/>
        </w:rPr>
        <w:lastRenderedPageBreak/>
        <w:t>References</w:t>
      </w:r>
    </w:p>
    <w:p w14:paraId="0444BA0A" w14:textId="2CF9381B" w:rsidR="00AE0BED" w:rsidRPr="003B0E98" w:rsidRDefault="00996C6C" w:rsidP="00AE0BED">
      <w:pPr>
        <w:widowControl w:val="0"/>
        <w:autoSpaceDE w:val="0"/>
        <w:autoSpaceDN w:val="0"/>
        <w:adjustRightInd w:val="0"/>
        <w:spacing w:line="240" w:lineRule="auto"/>
        <w:ind w:left="480" w:hanging="480"/>
        <w:rPr>
          <w:rFonts w:ascii="Calibri" w:hAnsi="Calibri" w:cs="Calibri"/>
          <w:noProof/>
          <w:szCs w:val="24"/>
          <w:lang w:val="en-GB"/>
        </w:rPr>
      </w:pPr>
      <w:r>
        <w:rPr>
          <w:lang w:val="en-US"/>
        </w:rPr>
        <w:fldChar w:fldCharType="begin" w:fldLock="1"/>
      </w:r>
      <w:r w:rsidRPr="001F4866">
        <w:rPr>
          <w:lang w:val="en-GB"/>
        </w:rPr>
        <w:instrText xml:space="preserve">ADDIN Mendeley Bibliography CSL_BIBLIOGRAPHY </w:instrText>
      </w:r>
      <w:r>
        <w:rPr>
          <w:lang w:val="en-US"/>
        </w:rPr>
        <w:fldChar w:fldCharType="separate"/>
      </w:r>
      <w:r w:rsidR="00AE0BED" w:rsidRPr="003B0E98">
        <w:rPr>
          <w:rFonts w:ascii="Calibri" w:hAnsi="Calibri" w:cs="Calibri"/>
          <w:noProof/>
          <w:szCs w:val="24"/>
          <w:lang w:val="en-GB"/>
        </w:rPr>
        <w:t xml:space="preserve">Carstensen J, Weydmann A, Olszewska A, Kwaśniewski S (2012) Effects of environmental conditions on the biomass of </w:t>
      </w:r>
      <w:r w:rsidR="00AE0BED" w:rsidRPr="003B0E98">
        <w:rPr>
          <w:rFonts w:ascii="Calibri" w:hAnsi="Calibri" w:cs="Calibri"/>
          <w:i/>
          <w:iCs/>
          <w:noProof/>
          <w:szCs w:val="24"/>
          <w:lang w:val="en-GB"/>
        </w:rPr>
        <w:t>Calanus</w:t>
      </w:r>
      <w:r w:rsidR="00AE0BED" w:rsidRPr="003B0E98">
        <w:rPr>
          <w:rFonts w:ascii="Calibri" w:hAnsi="Calibri" w:cs="Calibri"/>
          <w:noProof/>
          <w:szCs w:val="24"/>
          <w:lang w:val="en-GB"/>
        </w:rPr>
        <w:t xml:space="preserve"> spp. in the Nordic Seas. J Plankton Res 34:951–966. doi: 10.1093/plankt/fbs059</w:t>
      </w:r>
    </w:p>
    <w:p w14:paraId="5BA1B7D8" w14:textId="77777777" w:rsidR="00AE0BED" w:rsidRPr="003B0E98" w:rsidRDefault="00AE0BED" w:rsidP="00AE0BED">
      <w:pPr>
        <w:widowControl w:val="0"/>
        <w:autoSpaceDE w:val="0"/>
        <w:autoSpaceDN w:val="0"/>
        <w:adjustRightInd w:val="0"/>
        <w:spacing w:line="240" w:lineRule="auto"/>
        <w:ind w:left="480" w:hanging="480"/>
        <w:rPr>
          <w:rFonts w:ascii="Calibri" w:hAnsi="Calibri" w:cs="Calibri"/>
          <w:noProof/>
          <w:szCs w:val="24"/>
          <w:lang w:val="en-GB"/>
        </w:rPr>
      </w:pPr>
      <w:r w:rsidRPr="003B0E98">
        <w:rPr>
          <w:rFonts w:ascii="Calibri" w:hAnsi="Calibri" w:cs="Calibri"/>
          <w:noProof/>
          <w:szCs w:val="24"/>
          <w:lang w:val="en-GB"/>
        </w:rPr>
        <w:t>Jakubas D, Wojczulanis-Jakubas K, Iliszko LM, et al (2020) Flexibility of little auks foraging in various oceanographic features in a changing Arctic. Sci Rep 10:8238. doi: 10.1038/s41598-020-65210-x</w:t>
      </w:r>
    </w:p>
    <w:p w14:paraId="6616CBBB" w14:textId="77777777" w:rsidR="00AE0BED" w:rsidRPr="003B0E98" w:rsidRDefault="00AE0BED" w:rsidP="00AE0BED">
      <w:pPr>
        <w:widowControl w:val="0"/>
        <w:autoSpaceDE w:val="0"/>
        <w:autoSpaceDN w:val="0"/>
        <w:adjustRightInd w:val="0"/>
        <w:spacing w:line="240" w:lineRule="auto"/>
        <w:ind w:left="480" w:hanging="480"/>
        <w:rPr>
          <w:rFonts w:ascii="Calibri" w:hAnsi="Calibri" w:cs="Calibri"/>
          <w:noProof/>
          <w:szCs w:val="24"/>
          <w:lang w:val="en-GB"/>
        </w:rPr>
      </w:pPr>
      <w:r w:rsidRPr="003B0E98">
        <w:rPr>
          <w:rFonts w:ascii="Calibri" w:hAnsi="Calibri" w:cs="Calibri"/>
          <w:noProof/>
          <w:szCs w:val="24"/>
          <w:lang w:val="en-GB"/>
        </w:rPr>
        <w:t>Kassambara A (2018) ggpubr: ‘ggplot2’ Based Publication Ready Plots. R package version 0.2.</w:t>
      </w:r>
    </w:p>
    <w:p w14:paraId="1392C537" w14:textId="77777777" w:rsidR="00AE0BED" w:rsidRPr="003B0E98" w:rsidRDefault="00AE0BED" w:rsidP="00AE0BED">
      <w:pPr>
        <w:widowControl w:val="0"/>
        <w:autoSpaceDE w:val="0"/>
        <w:autoSpaceDN w:val="0"/>
        <w:adjustRightInd w:val="0"/>
        <w:spacing w:line="240" w:lineRule="auto"/>
        <w:ind w:left="480" w:hanging="480"/>
        <w:rPr>
          <w:rFonts w:ascii="Calibri" w:hAnsi="Calibri" w:cs="Calibri"/>
          <w:noProof/>
          <w:szCs w:val="24"/>
          <w:lang w:val="en-GB"/>
        </w:rPr>
      </w:pPr>
      <w:r w:rsidRPr="003B0E98">
        <w:rPr>
          <w:rFonts w:ascii="Calibri" w:hAnsi="Calibri" w:cs="Calibri"/>
          <w:noProof/>
          <w:szCs w:val="24"/>
          <w:lang w:val="en-GB"/>
        </w:rPr>
        <w:t>Kuznetsova A, Brockhoff PB, Christensen RHB (2017) lmerTest Package: Tests in Linear Mixed Effects Models. J Stat Softw 82:1–26. doi: 10.18637/jss.v082.i13</w:t>
      </w:r>
    </w:p>
    <w:p w14:paraId="00A48143" w14:textId="77777777" w:rsidR="00AE0BED" w:rsidRPr="003B0E98" w:rsidRDefault="00AE0BED" w:rsidP="00AE0BED">
      <w:pPr>
        <w:widowControl w:val="0"/>
        <w:autoSpaceDE w:val="0"/>
        <w:autoSpaceDN w:val="0"/>
        <w:adjustRightInd w:val="0"/>
        <w:spacing w:line="240" w:lineRule="auto"/>
        <w:ind w:left="480" w:hanging="480"/>
        <w:rPr>
          <w:rFonts w:ascii="Calibri" w:hAnsi="Calibri" w:cs="Calibri"/>
          <w:noProof/>
          <w:szCs w:val="24"/>
          <w:lang w:val="en-GB"/>
        </w:rPr>
      </w:pPr>
      <w:r w:rsidRPr="003B0E98">
        <w:rPr>
          <w:rFonts w:ascii="Calibri" w:hAnsi="Calibri" w:cs="Calibri"/>
          <w:noProof/>
          <w:szCs w:val="24"/>
          <w:lang w:val="en-GB"/>
        </w:rPr>
        <w:t>Kwasniewski S, Gluchowska M, Walkusz W, et al (2012) Interannual changes in zooplankton on the West Spitsbergen Shelf in relation to hydrography and their consequences for the diet of planktivorous seabirds. ICES J Mar Sci 69:890–901. doi: 10.1093/icesjms/fss076</w:t>
      </w:r>
    </w:p>
    <w:p w14:paraId="41FF963F" w14:textId="77777777" w:rsidR="00AE0BED" w:rsidRPr="003B0E98" w:rsidRDefault="00AE0BED" w:rsidP="00AE0BED">
      <w:pPr>
        <w:widowControl w:val="0"/>
        <w:autoSpaceDE w:val="0"/>
        <w:autoSpaceDN w:val="0"/>
        <w:adjustRightInd w:val="0"/>
        <w:spacing w:line="240" w:lineRule="auto"/>
        <w:ind w:left="480" w:hanging="480"/>
        <w:rPr>
          <w:rFonts w:ascii="Calibri" w:hAnsi="Calibri" w:cs="Calibri"/>
          <w:noProof/>
          <w:szCs w:val="24"/>
          <w:lang w:val="en-GB"/>
        </w:rPr>
      </w:pPr>
      <w:r w:rsidRPr="003B0E98">
        <w:rPr>
          <w:rFonts w:ascii="Calibri" w:hAnsi="Calibri" w:cs="Calibri"/>
          <w:noProof/>
          <w:szCs w:val="24"/>
          <w:lang w:val="en-GB"/>
        </w:rPr>
        <w:t>R Core Team (2018) R: A Language and Environment for Statistical Computing. R Foundation for Statistical Computing, Vienna, Austria.</w:t>
      </w:r>
    </w:p>
    <w:p w14:paraId="0533BD7E" w14:textId="77777777" w:rsidR="00AE0BED" w:rsidRPr="00AE0BED" w:rsidRDefault="00AE0BED" w:rsidP="00AE0BED">
      <w:pPr>
        <w:widowControl w:val="0"/>
        <w:autoSpaceDE w:val="0"/>
        <w:autoSpaceDN w:val="0"/>
        <w:adjustRightInd w:val="0"/>
        <w:spacing w:line="240" w:lineRule="auto"/>
        <w:ind w:left="480" w:hanging="480"/>
        <w:rPr>
          <w:rFonts w:ascii="Calibri" w:hAnsi="Calibri" w:cs="Calibri"/>
          <w:noProof/>
        </w:rPr>
      </w:pPr>
      <w:r w:rsidRPr="003B0E98">
        <w:rPr>
          <w:rFonts w:ascii="Calibri" w:hAnsi="Calibri" w:cs="Calibri"/>
          <w:noProof/>
          <w:szCs w:val="24"/>
          <w:lang w:val="en-GB"/>
        </w:rPr>
        <w:t xml:space="preserve">Welcker J, Harding AMA, Karnovsky NJ, et al (2009) Flexibility in the bimodal foraging strategy of a high Arctic alcid, the little auk Alle alle. </w:t>
      </w:r>
      <w:r w:rsidRPr="00AE0BED">
        <w:rPr>
          <w:rFonts w:ascii="Calibri" w:hAnsi="Calibri" w:cs="Calibri"/>
          <w:noProof/>
          <w:szCs w:val="24"/>
        </w:rPr>
        <w:t>J Avian Biol 40:388–399. doi: 10.1111/j.1600-048X.2008.04620.x</w:t>
      </w:r>
    </w:p>
    <w:p w14:paraId="256139A7" w14:textId="01726988" w:rsidR="003D4C05" w:rsidRDefault="00996C6C">
      <w:pPr>
        <w:rPr>
          <w:lang w:val="en-US"/>
        </w:rPr>
      </w:pPr>
      <w:r>
        <w:rPr>
          <w:lang w:val="en-US"/>
        </w:rPr>
        <w:fldChar w:fldCharType="end"/>
      </w:r>
    </w:p>
    <w:sectPr w:rsidR="003D4C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804"/>
    <w:rsid w:val="00030CC3"/>
    <w:rsid w:val="000937AA"/>
    <w:rsid w:val="000B4488"/>
    <w:rsid w:val="000B4D6F"/>
    <w:rsid w:val="000D5EFB"/>
    <w:rsid w:val="000F5AE9"/>
    <w:rsid w:val="00104EB4"/>
    <w:rsid w:val="00174CB0"/>
    <w:rsid w:val="001C4ED0"/>
    <w:rsid w:val="001E262D"/>
    <w:rsid w:val="001F4866"/>
    <w:rsid w:val="00232BF0"/>
    <w:rsid w:val="00236269"/>
    <w:rsid w:val="002426D7"/>
    <w:rsid w:val="00284DD9"/>
    <w:rsid w:val="002877AE"/>
    <w:rsid w:val="002E4E02"/>
    <w:rsid w:val="003B0E98"/>
    <w:rsid w:val="003C78B8"/>
    <w:rsid w:val="003D4C05"/>
    <w:rsid w:val="004F3849"/>
    <w:rsid w:val="00544F4F"/>
    <w:rsid w:val="00573525"/>
    <w:rsid w:val="005A2746"/>
    <w:rsid w:val="00691399"/>
    <w:rsid w:val="006C31FE"/>
    <w:rsid w:val="00711D7E"/>
    <w:rsid w:val="00796E68"/>
    <w:rsid w:val="007A161E"/>
    <w:rsid w:val="007B5E4E"/>
    <w:rsid w:val="007E3FAC"/>
    <w:rsid w:val="007E6F4F"/>
    <w:rsid w:val="00810349"/>
    <w:rsid w:val="00810D7D"/>
    <w:rsid w:val="008333BD"/>
    <w:rsid w:val="00836D8F"/>
    <w:rsid w:val="00840527"/>
    <w:rsid w:val="00841E00"/>
    <w:rsid w:val="008D7553"/>
    <w:rsid w:val="009223CB"/>
    <w:rsid w:val="00922D9C"/>
    <w:rsid w:val="00985092"/>
    <w:rsid w:val="00996C6C"/>
    <w:rsid w:val="00997070"/>
    <w:rsid w:val="0099787B"/>
    <w:rsid w:val="009A0510"/>
    <w:rsid w:val="00A27DB9"/>
    <w:rsid w:val="00AE0BED"/>
    <w:rsid w:val="00B103CB"/>
    <w:rsid w:val="00B64BFE"/>
    <w:rsid w:val="00BC1036"/>
    <w:rsid w:val="00BF320D"/>
    <w:rsid w:val="00C41DA8"/>
    <w:rsid w:val="00C52BB1"/>
    <w:rsid w:val="00C7288F"/>
    <w:rsid w:val="00C75438"/>
    <w:rsid w:val="00CF4E1A"/>
    <w:rsid w:val="00D65F6E"/>
    <w:rsid w:val="00D87EE2"/>
    <w:rsid w:val="00D94A34"/>
    <w:rsid w:val="00DC3AA0"/>
    <w:rsid w:val="00DD1B5C"/>
    <w:rsid w:val="00DE39AB"/>
    <w:rsid w:val="00DF0F4B"/>
    <w:rsid w:val="00DF4331"/>
    <w:rsid w:val="00E16278"/>
    <w:rsid w:val="00EA52A2"/>
    <w:rsid w:val="00F12804"/>
    <w:rsid w:val="00F41149"/>
    <w:rsid w:val="00F963FF"/>
    <w:rsid w:val="00FA5812"/>
    <w:rsid w:val="00FB205C"/>
    <w:rsid w:val="00FD00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79E7"/>
  <w15:chartTrackingRefBased/>
  <w15:docId w15:val="{D1D8B4B5-563D-4BBA-808E-B0B326B12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7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7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787B"/>
    <w:rPr>
      <w:sz w:val="16"/>
      <w:szCs w:val="16"/>
    </w:rPr>
  </w:style>
  <w:style w:type="paragraph" w:styleId="CommentText">
    <w:name w:val="annotation text"/>
    <w:basedOn w:val="Normal"/>
    <w:link w:val="CommentTextChar"/>
    <w:uiPriority w:val="99"/>
    <w:semiHidden/>
    <w:unhideWhenUsed/>
    <w:rsid w:val="0099787B"/>
    <w:pPr>
      <w:spacing w:line="240" w:lineRule="auto"/>
    </w:pPr>
    <w:rPr>
      <w:sz w:val="20"/>
      <w:szCs w:val="20"/>
    </w:rPr>
  </w:style>
  <w:style w:type="character" w:customStyle="1" w:styleId="CommentTextChar">
    <w:name w:val="Comment Text Char"/>
    <w:basedOn w:val="DefaultParagraphFont"/>
    <w:link w:val="CommentText"/>
    <w:uiPriority w:val="99"/>
    <w:semiHidden/>
    <w:rsid w:val="0099787B"/>
    <w:rPr>
      <w:sz w:val="20"/>
      <w:szCs w:val="20"/>
    </w:rPr>
  </w:style>
  <w:style w:type="paragraph" w:styleId="CommentSubject">
    <w:name w:val="annotation subject"/>
    <w:basedOn w:val="CommentText"/>
    <w:next w:val="CommentText"/>
    <w:link w:val="CommentSubjectChar"/>
    <w:uiPriority w:val="99"/>
    <w:semiHidden/>
    <w:unhideWhenUsed/>
    <w:rsid w:val="0099787B"/>
    <w:rPr>
      <w:b/>
      <w:bCs/>
    </w:rPr>
  </w:style>
  <w:style w:type="character" w:customStyle="1" w:styleId="CommentSubjectChar">
    <w:name w:val="Comment Subject Char"/>
    <w:basedOn w:val="CommentTextChar"/>
    <w:link w:val="CommentSubject"/>
    <w:uiPriority w:val="99"/>
    <w:semiHidden/>
    <w:rsid w:val="0099787B"/>
    <w:rPr>
      <w:b/>
      <w:bCs/>
      <w:sz w:val="20"/>
      <w:szCs w:val="20"/>
    </w:rPr>
  </w:style>
  <w:style w:type="paragraph" w:styleId="BalloonText">
    <w:name w:val="Balloon Text"/>
    <w:basedOn w:val="Normal"/>
    <w:link w:val="BalloonTextChar"/>
    <w:uiPriority w:val="99"/>
    <w:semiHidden/>
    <w:unhideWhenUsed/>
    <w:rsid w:val="00997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87B"/>
    <w:rPr>
      <w:rFonts w:ascii="Segoe UI" w:hAnsi="Segoe UI" w:cs="Segoe UI"/>
      <w:sz w:val="18"/>
      <w:szCs w:val="18"/>
    </w:rPr>
  </w:style>
  <w:style w:type="paragraph" w:styleId="Revision">
    <w:name w:val="Revision"/>
    <w:hidden/>
    <w:uiPriority w:val="99"/>
    <w:semiHidden/>
    <w:rsid w:val="00EA52A2"/>
    <w:pPr>
      <w:spacing w:after="0" w:line="240" w:lineRule="auto"/>
    </w:pPr>
  </w:style>
  <w:style w:type="character" w:styleId="Hyperlink">
    <w:name w:val="Hyperlink"/>
    <w:basedOn w:val="DefaultParagraphFont"/>
    <w:uiPriority w:val="99"/>
    <w:unhideWhenUsed/>
    <w:rsid w:val="00C75438"/>
    <w:rPr>
      <w:color w:val="0563C1" w:themeColor="hyperlink"/>
      <w:u w:val="single"/>
    </w:rPr>
  </w:style>
  <w:style w:type="character" w:styleId="HTMLCode">
    <w:name w:val="HTML Code"/>
    <w:basedOn w:val="DefaultParagraphFont"/>
    <w:uiPriority w:val="99"/>
    <w:semiHidden/>
    <w:unhideWhenUsed/>
    <w:rsid w:val="00284DD9"/>
    <w:rPr>
      <w:rFonts w:ascii="Courier New" w:eastAsia="Times New Roman" w:hAnsi="Courier New" w:cs="Courier New"/>
      <w:sz w:val="20"/>
      <w:szCs w:val="20"/>
    </w:rPr>
  </w:style>
  <w:style w:type="paragraph" w:styleId="HTMLPreformatted">
    <w:name w:val="HTML Preformatted"/>
    <w:basedOn w:val="Normal"/>
    <w:link w:val="HTMLPreformattedChar"/>
    <w:uiPriority w:val="99"/>
    <w:unhideWhenUsed/>
    <w:rsid w:val="00284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PreformattedChar">
    <w:name w:val="HTML Preformatted Char"/>
    <w:basedOn w:val="DefaultParagraphFont"/>
    <w:link w:val="HTMLPreformatted"/>
    <w:uiPriority w:val="99"/>
    <w:rsid w:val="00284DD9"/>
    <w:rPr>
      <w:rFonts w:ascii="Courier New" w:eastAsia="Times New Roman" w:hAnsi="Courier New" w:cs="Courier New"/>
      <w:sz w:val="20"/>
      <w:szCs w:val="20"/>
      <w:lang w:eastAsia="pl-PL"/>
    </w:rPr>
  </w:style>
  <w:style w:type="character" w:customStyle="1" w:styleId="gnkrckgcgsb">
    <w:name w:val="gnkrckgcgsb"/>
    <w:basedOn w:val="DefaultParagraphFont"/>
    <w:rsid w:val="00284D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89907">
      <w:bodyDiv w:val="1"/>
      <w:marLeft w:val="0"/>
      <w:marRight w:val="0"/>
      <w:marTop w:val="0"/>
      <w:marBottom w:val="0"/>
      <w:divBdr>
        <w:top w:val="none" w:sz="0" w:space="0" w:color="auto"/>
        <w:left w:val="none" w:sz="0" w:space="0" w:color="auto"/>
        <w:bottom w:val="none" w:sz="0" w:space="0" w:color="auto"/>
        <w:right w:val="none" w:sz="0" w:space="0" w:color="auto"/>
      </w:divBdr>
    </w:div>
    <w:div w:id="103548324">
      <w:bodyDiv w:val="1"/>
      <w:marLeft w:val="0"/>
      <w:marRight w:val="0"/>
      <w:marTop w:val="0"/>
      <w:marBottom w:val="0"/>
      <w:divBdr>
        <w:top w:val="none" w:sz="0" w:space="0" w:color="auto"/>
        <w:left w:val="none" w:sz="0" w:space="0" w:color="auto"/>
        <w:bottom w:val="none" w:sz="0" w:space="0" w:color="auto"/>
        <w:right w:val="none" w:sz="0" w:space="0" w:color="auto"/>
      </w:divBdr>
    </w:div>
    <w:div w:id="218052524">
      <w:bodyDiv w:val="1"/>
      <w:marLeft w:val="0"/>
      <w:marRight w:val="0"/>
      <w:marTop w:val="0"/>
      <w:marBottom w:val="0"/>
      <w:divBdr>
        <w:top w:val="none" w:sz="0" w:space="0" w:color="auto"/>
        <w:left w:val="none" w:sz="0" w:space="0" w:color="auto"/>
        <w:bottom w:val="none" w:sz="0" w:space="0" w:color="auto"/>
        <w:right w:val="none" w:sz="0" w:space="0" w:color="auto"/>
      </w:divBdr>
    </w:div>
    <w:div w:id="253560524">
      <w:bodyDiv w:val="1"/>
      <w:marLeft w:val="0"/>
      <w:marRight w:val="0"/>
      <w:marTop w:val="0"/>
      <w:marBottom w:val="0"/>
      <w:divBdr>
        <w:top w:val="none" w:sz="0" w:space="0" w:color="auto"/>
        <w:left w:val="none" w:sz="0" w:space="0" w:color="auto"/>
        <w:bottom w:val="none" w:sz="0" w:space="0" w:color="auto"/>
        <w:right w:val="none" w:sz="0" w:space="0" w:color="auto"/>
      </w:divBdr>
    </w:div>
    <w:div w:id="781262831">
      <w:bodyDiv w:val="1"/>
      <w:marLeft w:val="0"/>
      <w:marRight w:val="0"/>
      <w:marTop w:val="0"/>
      <w:marBottom w:val="0"/>
      <w:divBdr>
        <w:top w:val="none" w:sz="0" w:space="0" w:color="auto"/>
        <w:left w:val="none" w:sz="0" w:space="0" w:color="auto"/>
        <w:bottom w:val="none" w:sz="0" w:space="0" w:color="auto"/>
        <w:right w:val="none" w:sz="0" w:space="0" w:color="auto"/>
      </w:divBdr>
    </w:div>
    <w:div w:id="793644775">
      <w:bodyDiv w:val="1"/>
      <w:marLeft w:val="0"/>
      <w:marRight w:val="0"/>
      <w:marTop w:val="0"/>
      <w:marBottom w:val="0"/>
      <w:divBdr>
        <w:top w:val="none" w:sz="0" w:space="0" w:color="auto"/>
        <w:left w:val="none" w:sz="0" w:space="0" w:color="auto"/>
        <w:bottom w:val="none" w:sz="0" w:space="0" w:color="auto"/>
        <w:right w:val="none" w:sz="0" w:space="0" w:color="auto"/>
      </w:divBdr>
    </w:div>
    <w:div w:id="907496040">
      <w:bodyDiv w:val="1"/>
      <w:marLeft w:val="0"/>
      <w:marRight w:val="0"/>
      <w:marTop w:val="0"/>
      <w:marBottom w:val="0"/>
      <w:divBdr>
        <w:top w:val="none" w:sz="0" w:space="0" w:color="auto"/>
        <w:left w:val="none" w:sz="0" w:space="0" w:color="auto"/>
        <w:bottom w:val="none" w:sz="0" w:space="0" w:color="auto"/>
        <w:right w:val="none" w:sz="0" w:space="0" w:color="auto"/>
      </w:divBdr>
    </w:div>
    <w:div w:id="920680367">
      <w:bodyDiv w:val="1"/>
      <w:marLeft w:val="0"/>
      <w:marRight w:val="0"/>
      <w:marTop w:val="0"/>
      <w:marBottom w:val="0"/>
      <w:divBdr>
        <w:top w:val="none" w:sz="0" w:space="0" w:color="auto"/>
        <w:left w:val="none" w:sz="0" w:space="0" w:color="auto"/>
        <w:bottom w:val="none" w:sz="0" w:space="0" w:color="auto"/>
        <w:right w:val="none" w:sz="0" w:space="0" w:color="auto"/>
      </w:divBdr>
    </w:div>
    <w:div w:id="1032878413">
      <w:bodyDiv w:val="1"/>
      <w:marLeft w:val="0"/>
      <w:marRight w:val="0"/>
      <w:marTop w:val="0"/>
      <w:marBottom w:val="0"/>
      <w:divBdr>
        <w:top w:val="none" w:sz="0" w:space="0" w:color="auto"/>
        <w:left w:val="none" w:sz="0" w:space="0" w:color="auto"/>
        <w:bottom w:val="none" w:sz="0" w:space="0" w:color="auto"/>
        <w:right w:val="none" w:sz="0" w:space="0" w:color="auto"/>
      </w:divBdr>
    </w:div>
    <w:div w:id="1072851256">
      <w:bodyDiv w:val="1"/>
      <w:marLeft w:val="0"/>
      <w:marRight w:val="0"/>
      <w:marTop w:val="0"/>
      <w:marBottom w:val="0"/>
      <w:divBdr>
        <w:top w:val="none" w:sz="0" w:space="0" w:color="auto"/>
        <w:left w:val="none" w:sz="0" w:space="0" w:color="auto"/>
        <w:bottom w:val="none" w:sz="0" w:space="0" w:color="auto"/>
        <w:right w:val="none" w:sz="0" w:space="0" w:color="auto"/>
      </w:divBdr>
    </w:div>
    <w:div w:id="1086343313">
      <w:bodyDiv w:val="1"/>
      <w:marLeft w:val="0"/>
      <w:marRight w:val="0"/>
      <w:marTop w:val="0"/>
      <w:marBottom w:val="0"/>
      <w:divBdr>
        <w:top w:val="none" w:sz="0" w:space="0" w:color="auto"/>
        <w:left w:val="none" w:sz="0" w:space="0" w:color="auto"/>
        <w:bottom w:val="none" w:sz="0" w:space="0" w:color="auto"/>
        <w:right w:val="none" w:sz="0" w:space="0" w:color="auto"/>
      </w:divBdr>
    </w:div>
    <w:div w:id="114905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BDF9B-7647-4CA7-A7EC-6B818C33D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5004</Words>
  <Characters>28528</Characters>
  <Application>Microsoft Office Word</Application>
  <DocSecurity>0</DocSecurity>
  <Lines>237</Lines>
  <Paragraphs>66</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33466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dc:creator>
  <cp:keywords/>
  <dc:description/>
  <cp:lastModifiedBy>Dewika Lachman</cp:lastModifiedBy>
  <cp:revision>2</cp:revision>
  <dcterms:created xsi:type="dcterms:W3CDTF">2022-08-18T14:13:00Z</dcterms:created>
  <dcterms:modified xsi:type="dcterms:W3CDTF">2022-08-18T14:13:00Z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http://www.zotero.org/styles/behavioral-ecology-and-sociobiology</vt:lpwstr>
  </property>
  <property fmtid="{D5CDD505-2E9C-101B-9397-08002B2CF9AE}" pid="3" name="Mendeley Recent Style Name 0_1">
    <vt:lpwstr>Behavioral Ecology and Sociobiology</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http://www.zotero.org/styles/elsevier-vancouver-author-date</vt:lpwstr>
  </property>
  <property fmtid="{D5CDD505-2E9C-101B-9397-08002B2CF9AE}" pid="7" name="Mendeley Recent Style Name 2_1">
    <vt:lpwstr>Elsevier - Vancouver (author-date)</vt:lpwstr>
  </property>
  <property fmtid="{D5CDD505-2E9C-101B-9397-08002B2CF9AE}" pid="8" name="Mendeley Recent Style Id 3_1">
    <vt:lpwstr>http://www.zotero.org/styles/frontiers-in-ecology-and-evolution</vt:lpwstr>
  </property>
  <property fmtid="{D5CDD505-2E9C-101B-9397-08002B2CF9AE}" pid="9" name="Mendeley Recent Style Name 3_1">
    <vt:lpwstr>Frontiers in Ecology and Evolution</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http://www.zotero.org/styles/polar-science</vt:lpwstr>
  </property>
  <property fmtid="{D5CDD505-2E9C-101B-9397-08002B2CF9AE}" pid="15" name="Mendeley Recent Style Name 6_1">
    <vt:lpwstr>Polar Science</vt:lpwstr>
  </property>
  <property fmtid="{D5CDD505-2E9C-101B-9397-08002B2CF9AE}" pid="16" name="Mendeley Recent Style Id 7_1">
    <vt:lpwstr>http://www.zotero.org/styles/taylor-and-francis-harvard-v</vt:lpwstr>
  </property>
  <property fmtid="{D5CDD505-2E9C-101B-9397-08002B2CF9AE}" pid="17" name="Mendeley Recent Style Name 7_1">
    <vt:lpwstr>Taylor &amp; Francis - Harvard V</vt:lpwstr>
  </property>
  <property fmtid="{D5CDD505-2E9C-101B-9397-08002B2CF9AE}" pid="18" name="Mendeley Recent Style Id 8_1">
    <vt:lpwstr>http://www.zotero.org/styles/zoological-journal-of-the-linnean-society</vt:lpwstr>
  </property>
  <property fmtid="{D5CDD505-2E9C-101B-9397-08002B2CF9AE}" pid="19" name="Mendeley Recent Style Name 8_1">
    <vt:lpwstr>Zoological Journal of the Linnean Society</vt:lpwstr>
  </property>
  <property fmtid="{D5CDD505-2E9C-101B-9397-08002B2CF9AE}" pid="20" name="Mendeley Recent Style Id 9_1">
    <vt:lpwstr>http://www.zotero.org/styles/elife</vt:lpwstr>
  </property>
  <property fmtid="{D5CDD505-2E9C-101B-9397-08002B2CF9AE}" pid="21" name="Mendeley Recent Style Name 9_1">
    <vt:lpwstr>eLife</vt:lpwstr>
  </property>
  <property fmtid="{D5CDD505-2E9C-101B-9397-08002B2CF9AE}" pid="22" name="Mendeley Document_1">
    <vt:lpwstr>True</vt:lpwstr>
  </property>
  <property fmtid="{D5CDD505-2E9C-101B-9397-08002B2CF9AE}" pid="23" name="Mendeley Unique User Id_1">
    <vt:lpwstr>318543f5-356a-3da6-a836-263648243536</vt:lpwstr>
  </property>
  <property fmtid="{D5CDD505-2E9C-101B-9397-08002B2CF9AE}" pid="24" name="Mendeley Citation Style_1">
    <vt:lpwstr>http://www.zotero.org/styles/behavioral-ecology-and-sociobiology</vt:lpwstr>
  </property>
</Properties>
</file>