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160" w:line="480" w:lineRule="auto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SUPPLEMENTARY MATERIALS</w:t>
      </w:r>
    </w:p>
    <w:p w:rsidR="00000000" w:rsidDel="00000000" w:rsidP="00000000" w:rsidRDefault="00000000" w:rsidRPr="00000000" w14:paraId="00000002">
      <w:pPr>
        <w:spacing w:after="160" w:line="480" w:lineRule="auto"/>
        <w:rPr>
          <w:rFonts w:ascii="Helvetica Neue" w:cs="Helvetica Neue" w:eastAsia="Helvetica Neue" w:hAnsi="Helvetica Neue"/>
          <w:sz w:val="24"/>
          <w:szCs w:val="24"/>
        </w:rPr>
      </w:pPr>
      <w:bookmarkStart w:colFirst="0" w:colLast="0" w:name="_2et92p0" w:id="0"/>
      <w:bookmarkEnd w:id="0"/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w:drawing>
          <wp:inline distB="114300" distT="114300" distL="114300" distR="114300">
            <wp:extent cx="2380488" cy="256298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58690" t="20858"/>
                    <a:stretch>
                      <a:fillRect/>
                    </a:stretch>
                  </pic:blipFill>
                  <pic:spPr>
                    <a:xfrm>
                      <a:off x="0" y="0"/>
                      <a:ext cx="2380488" cy="25629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4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Supplementary Figure 1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: Constitutive sGFP production in absence of clinical samples is diminished by the addition of commercial enzyme inhibitors (mammalian protease inhibitor, bacterial protease inhibitor, and RNase inhibitor). Cell-free reactions were run at 37°C in a sealed 384-well plate for 120 minutes in the presence or absence of RNAse inhibitor, mammalian protease inhibitor, or bacterial protease inhibitor. Data were normalized to a control with no inhibitor and are the mean of three experiments performed on three different days.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Error bars correspond to ±SD.</w:t>
      </w:r>
    </w:p>
    <w:p w:rsidR="00000000" w:rsidDel="00000000" w:rsidP="00000000" w:rsidRDefault="00000000" w:rsidRPr="00000000" w14:paraId="00000004">
      <w:pPr>
        <w:spacing w:after="160" w:line="24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4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</w:rPr>
        <w:drawing>
          <wp:inline distB="114300" distT="114300" distL="114300" distR="114300">
            <wp:extent cx="5767776" cy="43307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7776" cy="433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4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Supplementary Figure 2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: sfGFP expression vs. constitutive DNA concentrations (0-10 nM) for the positive control (standard cell-free reaction mix) and in the presence of RNase inhibitor or equivalent buffer concentration without purified protein (50 mM KCl, 20 mM HEPES, 8 mM DTT, 50% glycerol). Data are the mean of three experiments performed on three different days.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Shaded areas correspond to ±SD.</w:t>
      </w:r>
    </w:p>
    <w:p w:rsidR="00000000" w:rsidDel="00000000" w:rsidP="00000000" w:rsidRDefault="00000000" w:rsidRPr="00000000" w14:paraId="00000007">
      <w:pPr>
        <w:spacing w:after="160" w:line="24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4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</w:rPr>
        <w:drawing>
          <wp:inline distB="114300" distT="114300" distL="114300" distR="114300">
            <wp:extent cx="5767776" cy="43688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7776" cy="436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40" w:lineRule="auto"/>
        <w:jc w:val="both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Supplementary Figure 3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: Absolute sfGFP fluorescence (in FITC units) in standard extract (BL21 Star), standard extract with commercial RNase inhibitor (BL21 Star + Purified mRI), and extract induced to produce RNase inhibitor during cell growth (BL21 Star + Doped mRI Extract) when challenged with an RNaseA concentration gradient. Data are the mean of three experiments performed on three different days.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Shaded areas correspond to ±SD.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7.6000000000001" w:top="2131.2" w:left="1137.6000000000001" w:right="1137.6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