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677"/>
      </w:tblGrid>
      <w:tr w:rsidR="00CB1F2F" w14:paraId="620E6DA4" w14:textId="77777777" w:rsidTr="00CA50EC">
        <w:tc>
          <w:tcPr>
            <w:tcW w:w="9360" w:type="dxa"/>
            <w:gridSpan w:val="2"/>
            <w:tcBorders>
              <w:top w:val="single" w:sz="2" w:space="0" w:color="auto"/>
              <w:bottom w:val="single" w:sz="18" w:space="0" w:color="auto"/>
            </w:tcBorders>
          </w:tcPr>
          <w:p w14:paraId="2966A681" w14:textId="77777777" w:rsidR="00CB1F2F" w:rsidRPr="009C40DF" w:rsidRDefault="00CB1F2F" w:rsidP="00CA50EC">
            <w:pPr>
              <w:rPr>
                <w:b/>
              </w:rPr>
            </w:pPr>
            <w:r>
              <w:rPr>
                <w:b/>
              </w:rPr>
              <w:t xml:space="preserve">Supplemental Table 1: Detailed definitions and technical information for 2020 County Health Rankings (CHR) community characteristics used in study analysis. All variables are county-level proportions. </w:t>
            </w:r>
          </w:p>
        </w:tc>
      </w:tr>
      <w:tr w:rsidR="00CB1F2F" w14:paraId="3353525C" w14:textId="77777777" w:rsidTr="00CA50EC">
        <w:tc>
          <w:tcPr>
            <w:tcW w:w="4683" w:type="dxa"/>
            <w:tcBorders>
              <w:top w:val="single" w:sz="18" w:space="0" w:color="auto"/>
            </w:tcBorders>
          </w:tcPr>
          <w:p w14:paraId="5E91110E" w14:textId="77777777" w:rsidR="00CB1F2F" w:rsidRDefault="00CB1F2F" w:rsidP="00CA50EC"/>
        </w:tc>
        <w:tc>
          <w:tcPr>
            <w:tcW w:w="4677" w:type="dxa"/>
            <w:tcBorders>
              <w:top w:val="single" w:sz="18" w:space="0" w:color="auto"/>
            </w:tcBorders>
          </w:tcPr>
          <w:p w14:paraId="7E48362D" w14:textId="77777777" w:rsidR="00CB1F2F" w:rsidRDefault="00CB1F2F" w:rsidP="00CA50EC"/>
        </w:tc>
      </w:tr>
      <w:tr w:rsidR="00CB1F2F" w14:paraId="090F00AC" w14:textId="77777777" w:rsidTr="00CA50EC">
        <w:tc>
          <w:tcPr>
            <w:tcW w:w="4683" w:type="dxa"/>
            <w:tcBorders>
              <w:bottom w:val="single" w:sz="18" w:space="0" w:color="auto"/>
            </w:tcBorders>
            <w:vAlign w:val="center"/>
          </w:tcPr>
          <w:p w14:paraId="1E8B708F" w14:textId="77777777" w:rsidR="00CB1F2F" w:rsidRPr="009C40DF" w:rsidRDefault="00CB1F2F" w:rsidP="00CA50EC">
            <w:pPr>
              <w:jc w:val="center"/>
              <w:rPr>
                <w:b/>
              </w:rPr>
            </w:pPr>
            <w:r w:rsidRPr="009C40DF">
              <w:rPr>
                <w:b/>
              </w:rPr>
              <w:t>Community Characteristic</w:t>
            </w:r>
          </w:p>
        </w:tc>
        <w:tc>
          <w:tcPr>
            <w:tcW w:w="4677" w:type="dxa"/>
            <w:tcBorders>
              <w:bottom w:val="single" w:sz="18" w:space="0" w:color="auto"/>
            </w:tcBorders>
            <w:vAlign w:val="center"/>
          </w:tcPr>
          <w:p w14:paraId="6669EF52" w14:textId="77777777" w:rsidR="00CB1F2F" w:rsidRPr="009C40DF" w:rsidRDefault="00CB1F2F" w:rsidP="00CA50EC">
            <w:pPr>
              <w:jc w:val="center"/>
              <w:rPr>
                <w:b/>
              </w:rPr>
            </w:pPr>
            <w:r w:rsidRPr="009C40DF">
              <w:rPr>
                <w:b/>
              </w:rPr>
              <w:t>Definition and/or Technical Information</w:t>
            </w:r>
          </w:p>
        </w:tc>
      </w:tr>
      <w:tr w:rsidR="00CB1F2F" w14:paraId="40CACFEA" w14:textId="77777777" w:rsidTr="00CA50EC">
        <w:tc>
          <w:tcPr>
            <w:tcW w:w="4683" w:type="dxa"/>
            <w:tcBorders>
              <w:top w:val="single" w:sz="18" w:space="0" w:color="auto"/>
              <w:bottom w:val="single" w:sz="2" w:space="0" w:color="auto"/>
            </w:tcBorders>
          </w:tcPr>
          <w:p w14:paraId="1F997ED5" w14:textId="77777777" w:rsidR="00CB1F2F" w:rsidRDefault="00CB1F2F" w:rsidP="00CA50EC"/>
        </w:tc>
        <w:tc>
          <w:tcPr>
            <w:tcW w:w="4677" w:type="dxa"/>
            <w:tcBorders>
              <w:top w:val="single" w:sz="18" w:space="0" w:color="auto"/>
              <w:bottom w:val="single" w:sz="2" w:space="0" w:color="auto"/>
            </w:tcBorders>
          </w:tcPr>
          <w:p w14:paraId="5EA37BA2" w14:textId="77777777" w:rsidR="00CB1F2F" w:rsidRDefault="00CB1F2F" w:rsidP="00CA50EC"/>
        </w:tc>
      </w:tr>
      <w:tr w:rsidR="00CB1F2F" w14:paraId="112D82AB" w14:textId="77777777" w:rsidTr="00CA50EC">
        <w:tc>
          <w:tcPr>
            <w:tcW w:w="4683" w:type="dxa"/>
            <w:tcBorders>
              <w:top w:val="single" w:sz="2" w:space="0" w:color="auto"/>
              <w:bottom w:val="single" w:sz="2" w:space="0" w:color="auto"/>
            </w:tcBorders>
          </w:tcPr>
          <w:p w14:paraId="3F972A96" w14:textId="77777777" w:rsidR="00CB1F2F" w:rsidRDefault="00CB1F2F" w:rsidP="00CA50EC">
            <w:r>
              <w:t>Non-Hispanic White population</w:t>
            </w:r>
          </w:p>
        </w:tc>
        <w:tc>
          <w:tcPr>
            <w:tcW w:w="4677" w:type="dxa"/>
            <w:tcBorders>
              <w:top w:val="single" w:sz="2" w:space="0" w:color="auto"/>
              <w:bottom w:val="single" w:sz="2" w:space="0" w:color="auto"/>
            </w:tcBorders>
          </w:tcPr>
          <w:p w14:paraId="25498985" w14:textId="77777777" w:rsidR="00CB1F2F" w:rsidRDefault="00CB1F2F" w:rsidP="00CA50EC">
            <w:r>
              <w:t xml:space="preserve">The proportion of the population that are non-Hispanic White. Data are originally from 2018 US Census population estimates via 2020 CHR. </w:t>
            </w:r>
          </w:p>
        </w:tc>
      </w:tr>
      <w:tr w:rsidR="00CB1F2F" w14:paraId="2C9460FF" w14:textId="77777777" w:rsidTr="00CA50EC">
        <w:tc>
          <w:tcPr>
            <w:tcW w:w="4683" w:type="dxa"/>
            <w:tcBorders>
              <w:top w:val="single" w:sz="2" w:space="0" w:color="auto"/>
              <w:bottom w:val="single" w:sz="2" w:space="0" w:color="auto"/>
            </w:tcBorders>
          </w:tcPr>
          <w:p w14:paraId="19FA9B50" w14:textId="77777777" w:rsidR="00CB1F2F" w:rsidRDefault="00CB1F2F" w:rsidP="00CA50EC">
            <w:r>
              <w:t>Non-Hispanic Black or African American population</w:t>
            </w:r>
          </w:p>
        </w:tc>
        <w:tc>
          <w:tcPr>
            <w:tcW w:w="4677" w:type="dxa"/>
            <w:tcBorders>
              <w:top w:val="single" w:sz="2" w:space="0" w:color="auto"/>
              <w:bottom w:val="single" w:sz="2" w:space="0" w:color="auto"/>
            </w:tcBorders>
          </w:tcPr>
          <w:p w14:paraId="3E250096" w14:textId="77777777" w:rsidR="00CB1F2F" w:rsidRDefault="00CB1F2F" w:rsidP="00CA50EC">
            <w:r>
              <w:t xml:space="preserve">The proportion of the population that are African American. Data are originally from 2018 US Census population estimates via 2020 CHR. </w:t>
            </w:r>
          </w:p>
        </w:tc>
      </w:tr>
      <w:tr w:rsidR="00CB1F2F" w14:paraId="42653B87" w14:textId="77777777" w:rsidTr="00CA50EC">
        <w:tc>
          <w:tcPr>
            <w:tcW w:w="4683" w:type="dxa"/>
            <w:tcBorders>
              <w:top w:val="single" w:sz="2" w:space="0" w:color="auto"/>
              <w:bottom w:val="single" w:sz="2" w:space="0" w:color="auto"/>
            </w:tcBorders>
          </w:tcPr>
          <w:p w14:paraId="5359DCB2" w14:textId="77777777" w:rsidR="00CB1F2F" w:rsidRDefault="00CB1F2F" w:rsidP="00CA50EC">
            <w:r>
              <w:t>Hispanic population</w:t>
            </w:r>
          </w:p>
        </w:tc>
        <w:tc>
          <w:tcPr>
            <w:tcW w:w="4677" w:type="dxa"/>
            <w:tcBorders>
              <w:top w:val="single" w:sz="2" w:space="0" w:color="auto"/>
              <w:bottom w:val="single" w:sz="2" w:space="0" w:color="auto"/>
            </w:tcBorders>
          </w:tcPr>
          <w:p w14:paraId="39746C23" w14:textId="77777777" w:rsidR="00CB1F2F" w:rsidRDefault="00CB1F2F" w:rsidP="00CA50EC">
            <w:r>
              <w:t xml:space="preserve">The proportion of the population that are Hispanic. </w:t>
            </w:r>
            <w:r w:rsidRPr="00A62318">
              <w:t>Hispanic population consisted of those that identified as having Hispanic, Latino, or Spanish origins including but not limited to; Mexican American, Chicano, Puerto Rican, Cuban, Argentinean, Colombian, Dominican, Nicaraguan, Salvadoran, and Spaniard</w:t>
            </w:r>
            <w:r>
              <w:t xml:space="preserve"> Data are originally from 2018 US Census population estimates via 2020 CHR. </w:t>
            </w:r>
          </w:p>
        </w:tc>
      </w:tr>
      <w:tr w:rsidR="00CB1F2F" w14:paraId="57B02EA6" w14:textId="77777777" w:rsidTr="00CA50EC">
        <w:tc>
          <w:tcPr>
            <w:tcW w:w="4683" w:type="dxa"/>
            <w:tcBorders>
              <w:top w:val="single" w:sz="2" w:space="0" w:color="auto"/>
              <w:bottom w:val="single" w:sz="2" w:space="0" w:color="auto"/>
            </w:tcBorders>
          </w:tcPr>
          <w:p w14:paraId="40A98874" w14:textId="77777777" w:rsidR="00CB1F2F" w:rsidRDefault="00CB1F2F" w:rsidP="00CA50EC">
            <w:r>
              <w:t>Asian population</w:t>
            </w:r>
          </w:p>
        </w:tc>
        <w:tc>
          <w:tcPr>
            <w:tcW w:w="4677" w:type="dxa"/>
            <w:tcBorders>
              <w:top w:val="single" w:sz="2" w:space="0" w:color="auto"/>
              <w:bottom w:val="single" w:sz="2" w:space="0" w:color="auto"/>
            </w:tcBorders>
          </w:tcPr>
          <w:p w14:paraId="42E49EE2" w14:textId="77777777" w:rsidR="00CB1F2F" w:rsidRDefault="00CB1F2F" w:rsidP="00CA50EC">
            <w:r>
              <w:t>The proportion of the population that are Asian. Data are originally from 2018 US Census population estimates via 2020 CHR.</w:t>
            </w:r>
          </w:p>
        </w:tc>
      </w:tr>
      <w:tr w:rsidR="00CB1F2F" w14:paraId="7D1EF685" w14:textId="77777777" w:rsidTr="00CA50EC">
        <w:tc>
          <w:tcPr>
            <w:tcW w:w="4683" w:type="dxa"/>
            <w:tcBorders>
              <w:top w:val="single" w:sz="2" w:space="0" w:color="auto"/>
              <w:bottom w:val="single" w:sz="2" w:space="0" w:color="auto"/>
            </w:tcBorders>
          </w:tcPr>
          <w:p w14:paraId="1CFA7B63" w14:textId="77777777" w:rsidR="00CB1F2F" w:rsidRDefault="00CB1F2F" w:rsidP="00CA50EC">
            <w:r>
              <w:t>Below 18 years of age</w:t>
            </w:r>
          </w:p>
        </w:tc>
        <w:tc>
          <w:tcPr>
            <w:tcW w:w="4677" w:type="dxa"/>
            <w:tcBorders>
              <w:top w:val="single" w:sz="2" w:space="0" w:color="auto"/>
              <w:bottom w:val="single" w:sz="2" w:space="0" w:color="auto"/>
            </w:tcBorders>
          </w:tcPr>
          <w:p w14:paraId="505C39B7" w14:textId="77777777" w:rsidR="00CB1F2F" w:rsidRDefault="00CB1F2F" w:rsidP="00CA50EC">
            <w:r>
              <w:t>The proportion of the population that are under 18 years. Data are originally from 2018 US Census population estimates via 2020 CHR.</w:t>
            </w:r>
          </w:p>
        </w:tc>
      </w:tr>
      <w:tr w:rsidR="00CB1F2F" w14:paraId="25A7E6F8" w14:textId="77777777" w:rsidTr="00CA50EC">
        <w:tc>
          <w:tcPr>
            <w:tcW w:w="4683" w:type="dxa"/>
            <w:tcBorders>
              <w:top w:val="single" w:sz="2" w:space="0" w:color="auto"/>
              <w:bottom w:val="single" w:sz="2" w:space="0" w:color="auto"/>
            </w:tcBorders>
          </w:tcPr>
          <w:p w14:paraId="27E452BD" w14:textId="77777777" w:rsidR="00CB1F2F" w:rsidRDefault="00CB1F2F" w:rsidP="00CA50EC">
            <w:r>
              <w:t>65 years of age and older</w:t>
            </w:r>
          </w:p>
        </w:tc>
        <w:tc>
          <w:tcPr>
            <w:tcW w:w="4677" w:type="dxa"/>
            <w:tcBorders>
              <w:top w:val="single" w:sz="2" w:space="0" w:color="auto"/>
              <w:bottom w:val="single" w:sz="2" w:space="0" w:color="auto"/>
            </w:tcBorders>
          </w:tcPr>
          <w:p w14:paraId="7D46F167" w14:textId="77777777" w:rsidR="00CB1F2F" w:rsidRDefault="00CB1F2F" w:rsidP="00CA50EC">
            <w:r>
              <w:t>The proportion of the population that are 65 years of age and older. Data are originally from 2018 US Census population estimates via 2020 CHR.</w:t>
            </w:r>
          </w:p>
        </w:tc>
      </w:tr>
      <w:tr w:rsidR="00CB1F2F" w14:paraId="1E44ABE4" w14:textId="77777777" w:rsidTr="002F72DE">
        <w:trPr>
          <w:trHeight w:val="796"/>
        </w:trPr>
        <w:tc>
          <w:tcPr>
            <w:tcW w:w="4683" w:type="dxa"/>
            <w:tcBorders>
              <w:top w:val="single" w:sz="2" w:space="0" w:color="auto"/>
              <w:bottom w:val="single" w:sz="2" w:space="0" w:color="auto"/>
            </w:tcBorders>
          </w:tcPr>
          <w:p w14:paraId="355476F6" w14:textId="77777777" w:rsidR="00CB1F2F" w:rsidRDefault="00CB1F2F" w:rsidP="00CA50EC">
            <w:r>
              <w:t>Adult obesity</w:t>
            </w:r>
          </w:p>
        </w:tc>
        <w:tc>
          <w:tcPr>
            <w:tcW w:w="4677" w:type="dxa"/>
            <w:tcBorders>
              <w:top w:val="single" w:sz="2" w:space="0" w:color="auto"/>
              <w:bottom w:val="single" w:sz="2" w:space="0" w:color="auto"/>
            </w:tcBorders>
          </w:tcPr>
          <w:p w14:paraId="04647E0F" w14:textId="394C0431" w:rsidR="00CB1F2F" w:rsidRDefault="00CB1F2F" w:rsidP="00CA50EC">
            <w:r>
              <w:t>T</w:t>
            </w:r>
            <w:r w:rsidRPr="009C40DF">
              <w:t xml:space="preserve">he </w:t>
            </w:r>
            <w:r>
              <w:t>proportion</w:t>
            </w:r>
            <w:r w:rsidRPr="009C40DF">
              <w:t xml:space="preserve"> of the adult population (age 20 and older) that reports a body mass index (BMI) greater than or equal to 30 kg/m</w:t>
            </w:r>
            <w:r w:rsidRPr="009C40DF">
              <w:rPr>
                <w:vertAlign w:val="superscript"/>
              </w:rPr>
              <w:t>2</w:t>
            </w:r>
            <w:r w:rsidRPr="009C40DF">
              <w:t>.</w:t>
            </w:r>
            <w:r>
              <w:t xml:space="preserve"> </w:t>
            </w:r>
          </w:p>
        </w:tc>
      </w:tr>
      <w:tr w:rsidR="00CB1F2F" w14:paraId="67767CF2" w14:textId="77777777" w:rsidTr="00CA50EC">
        <w:tc>
          <w:tcPr>
            <w:tcW w:w="4683" w:type="dxa"/>
            <w:tcBorders>
              <w:top w:val="single" w:sz="2" w:space="0" w:color="auto"/>
              <w:bottom w:val="single" w:sz="2" w:space="0" w:color="auto"/>
            </w:tcBorders>
          </w:tcPr>
          <w:p w14:paraId="4B830446" w14:textId="77777777" w:rsidR="00CB1F2F" w:rsidRPr="009C40DF" w:rsidRDefault="00CB1F2F" w:rsidP="00CA50EC">
            <w:r w:rsidRPr="009C40DF">
              <w:t>Adult smoking</w:t>
            </w:r>
          </w:p>
        </w:tc>
        <w:tc>
          <w:tcPr>
            <w:tcW w:w="4677" w:type="dxa"/>
            <w:tcBorders>
              <w:top w:val="single" w:sz="2" w:space="0" w:color="auto"/>
              <w:bottom w:val="single" w:sz="2" w:space="0" w:color="auto"/>
            </w:tcBorders>
          </w:tcPr>
          <w:p w14:paraId="7C47BEFA" w14:textId="77777777" w:rsidR="00CB1F2F" w:rsidRDefault="00CB1F2F" w:rsidP="00CA50EC">
            <w:r>
              <w:t>The proportion</w:t>
            </w:r>
            <w:r w:rsidRPr="005B1105">
              <w:t xml:space="preserve"> of the adult population that currently smokes every day or most days and has smoked at least 100 cigarettes in their lifetime.</w:t>
            </w:r>
          </w:p>
        </w:tc>
      </w:tr>
      <w:tr w:rsidR="00CB1F2F" w14:paraId="1A5CE04C" w14:textId="77777777" w:rsidTr="00CA50EC">
        <w:tc>
          <w:tcPr>
            <w:tcW w:w="4683" w:type="dxa"/>
            <w:tcBorders>
              <w:top w:val="single" w:sz="2" w:space="0" w:color="auto"/>
              <w:bottom w:val="single" w:sz="2" w:space="0" w:color="auto"/>
            </w:tcBorders>
          </w:tcPr>
          <w:p w14:paraId="47A44121" w14:textId="7326702B" w:rsidR="00CB1F2F" w:rsidRPr="00574BC0" w:rsidRDefault="00B74825" w:rsidP="00CA50EC">
            <w:r w:rsidRPr="00574BC0">
              <w:lastRenderedPageBreak/>
              <w:t>Some college education</w:t>
            </w:r>
          </w:p>
        </w:tc>
        <w:tc>
          <w:tcPr>
            <w:tcW w:w="4677" w:type="dxa"/>
            <w:tcBorders>
              <w:top w:val="single" w:sz="2" w:space="0" w:color="auto"/>
              <w:bottom w:val="single" w:sz="2" w:space="0" w:color="auto"/>
            </w:tcBorders>
          </w:tcPr>
          <w:p w14:paraId="03637A71" w14:textId="2E2B2A0A" w:rsidR="00CB1F2F" w:rsidRPr="00574BC0" w:rsidRDefault="00CB1F2F" w:rsidP="00CA50EC">
            <w:r w:rsidRPr="00574BC0">
              <w:t xml:space="preserve">Proportion of </w:t>
            </w:r>
            <w:r w:rsidR="00470A95" w:rsidRPr="00574BC0">
              <w:t xml:space="preserve">adult </w:t>
            </w:r>
            <w:r w:rsidRPr="00574BC0">
              <w:t xml:space="preserve">population with </w:t>
            </w:r>
            <w:r w:rsidR="00470A95" w:rsidRPr="00574BC0">
              <w:t>some</w:t>
            </w:r>
            <w:r w:rsidRPr="00574BC0">
              <w:t xml:space="preserve"> college </w:t>
            </w:r>
            <w:r w:rsidR="00470A95" w:rsidRPr="00574BC0">
              <w:t>education</w:t>
            </w:r>
            <w:r w:rsidR="00B74825" w:rsidRPr="00574BC0">
              <w:t xml:space="preserve">, those that </w:t>
            </w:r>
            <w:proofErr w:type="spellStart"/>
            <w:r w:rsidR="00B74825" w:rsidRPr="00574BC0">
              <w:t>attende</w:t>
            </w:r>
            <w:proofErr w:type="spellEnd"/>
            <w:r w:rsidRPr="00574BC0">
              <w:t xml:space="preserve">. Data are originally taken from the </w:t>
            </w:r>
            <w:r w:rsidR="00FB29C2" w:rsidRPr="00574BC0">
              <w:t>2018</w:t>
            </w:r>
            <w:r w:rsidRPr="00574BC0">
              <w:t xml:space="preserve"> American Community Survey via</w:t>
            </w:r>
            <w:r w:rsidR="00FB29C2" w:rsidRPr="00574BC0">
              <w:t xml:space="preserve"> the 2020 CHR</w:t>
            </w:r>
            <w:r w:rsidRPr="00574BC0">
              <w:t xml:space="preserve">. The 5-Year Summary File provides estimates of average characteristics from </w:t>
            </w:r>
            <w:r w:rsidR="00FB29C2" w:rsidRPr="00574BC0">
              <w:t>2014</w:t>
            </w:r>
            <w:r w:rsidRPr="00574BC0">
              <w:t xml:space="preserve"> through </w:t>
            </w:r>
            <w:r w:rsidR="00FB29C2" w:rsidRPr="00574BC0">
              <w:t>2018</w:t>
            </w:r>
            <w:r w:rsidRPr="00574BC0">
              <w:t>.</w:t>
            </w:r>
          </w:p>
        </w:tc>
      </w:tr>
      <w:tr w:rsidR="00CB1F2F" w14:paraId="5DCFE390" w14:textId="77777777" w:rsidTr="00CA50EC">
        <w:tc>
          <w:tcPr>
            <w:tcW w:w="4683" w:type="dxa"/>
            <w:tcBorders>
              <w:top w:val="single" w:sz="2" w:space="0" w:color="auto"/>
              <w:bottom w:val="single" w:sz="2" w:space="0" w:color="auto"/>
            </w:tcBorders>
          </w:tcPr>
          <w:p w14:paraId="781593A1" w14:textId="356DE423" w:rsidR="00CB1F2F" w:rsidRPr="00574BC0" w:rsidRDefault="00FB29C2" w:rsidP="00CA50EC">
            <w:r w:rsidRPr="00574BC0">
              <w:t>Median household income</w:t>
            </w:r>
          </w:p>
        </w:tc>
        <w:tc>
          <w:tcPr>
            <w:tcW w:w="4677" w:type="dxa"/>
            <w:tcBorders>
              <w:top w:val="single" w:sz="2" w:space="0" w:color="auto"/>
              <w:bottom w:val="single" w:sz="2" w:space="0" w:color="auto"/>
            </w:tcBorders>
          </w:tcPr>
          <w:p w14:paraId="6ECD8763" w14:textId="3121DC49" w:rsidR="00CB1F2F" w:rsidRPr="00574BC0" w:rsidRDefault="00FB29C2" w:rsidP="00CA50EC">
            <w:r w:rsidRPr="00574BC0">
              <w:t>Median household income</w:t>
            </w:r>
            <w:r w:rsidR="00CB1F2F" w:rsidRPr="00574BC0">
              <w:t xml:space="preserve">. Data are originally taken from </w:t>
            </w:r>
            <w:r w:rsidRPr="00574BC0">
              <w:t>Small Area Income and Poverty Estimates via the 2020 CHR</w:t>
            </w:r>
            <w:r w:rsidR="00CB1F2F" w:rsidRPr="00574BC0">
              <w:t>.</w:t>
            </w:r>
          </w:p>
        </w:tc>
      </w:tr>
      <w:tr w:rsidR="00CB1F2F" w14:paraId="0567A9D3" w14:textId="77777777" w:rsidTr="00CA50EC">
        <w:tc>
          <w:tcPr>
            <w:tcW w:w="4683" w:type="dxa"/>
            <w:tcBorders>
              <w:top w:val="single" w:sz="2" w:space="0" w:color="auto"/>
              <w:bottom w:val="single" w:sz="2" w:space="0" w:color="auto"/>
            </w:tcBorders>
          </w:tcPr>
          <w:p w14:paraId="0B59FC3C" w14:textId="77777777" w:rsidR="00CB1F2F" w:rsidRPr="009C40DF" w:rsidRDefault="00CB1F2F" w:rsidP="00CA50EC">
            <w:r w:rsidRPr="009C40DF">
              <w:t>Limited access to healthy foods</w:t>
            </w:r>
          </w:p>
        </w:tc>
        <w:tc>
          <w:tcPr>
            <w:tcW w:w="4677" w:type="dxa"/>
            <w:tcBorders>
              <w:top w:val="single" w:sz="2" w:space="0" w:color="auto"/>
              <w:bottom w:val="single" w:sz="2" w:space="0" w:color="auto"/>
            </w:tcBorders>
          </w:tcPr>
          <w:p w14:paraId="162E3303" w14:textId="765EAFF1" w:rsidR="00CB1F2F" w:rsidRDefault="00CB1F2F" w:rsidP="00CA50EC">
            <w:r>
              <w:t>The</w:t>
            </w:r>
            <w:r w:rsidRPr="00413361">
              <w:t xml:space="preserve"> </w:t>
            </w:r>
            <w:r>
              <w:t>proportion</w:t>
            </w:r>
            <w:r w:rsidRPr="00413361">
              <w:t xml:space="preserve"> of the population that is low income and does not live close to a grocery store. Living close to a grocery store is defined differently in rural and non</w:t>
            </w:r>
            <w:r>
              <w:t>-</w:t>
            </w:r>
            <w:r w:rsidRPr="00413361">
              <w:t>rural areas; in rural areas, it means living less than ten miles from a grocery store; in non</w:t>
            </w:r>
            <w:r>
              <w:t>-</w:t>
            </w:r>
            <w:r w:rsidRPr="00413361">
              <w:t>rural areas, less than one mile. "Low income" is defined as having an annual family income of less than or equal to 200 percent of the federal poverty threshold for the family size.</w:t>
            </w:r>
            <w:r w:rsidR="002A64A3">
              <w:t xml:space="preserve"> Data are from 2015 United States Department of Agriculture (USDA) via 2020 CHR. </w:t>
            </w:r>
          </w:p>
        </w:tc>
      </w:tr>
      <w:tr w:rsidR="00CB1F2F" w14:paraId="26683D5F" w14:textId="77777777" w:rsidTr="00CA50EC">
        <w:tc>
          <w:tcPr>
            <w:tcW w:w="4683" w:type="dxa"/>
            <w:tcBorders>
              <w:top w:val="single" w:sz="2" w:space="0" w:color="auto"/>
              <w:bottom w:val="single" w:sz="18" w:space="0" w:color="auto"/>
            </w:tcBorders>
          </w:tcPr>
          <w:p w14:paraId="74EAABD0" w14:textId="77777777" w:rsidR="00CB1F2F" w:rsidRPr="009C40DF" w:rsidRDefault="00CB1F2F" w:rsidP="00CA50EC">
            <w:r w:rsidRPr="009C40DF">
              <w:t>PCP per 10,000 persons</w:t>
            </w:r>
          </w:p>
        </w:tc>
        <w:tc>
          <w:tcPr>
            <w:tcW w:w="4677" w:type="dxa"/>
            <w:tcBorders>
              <w:top w:val="single" w:sz="2" w:space="0" w:color="auto"/>
              <w:bottom w:val="single" w:sz="18" w:space="0" w:color="auto"/>
            </w:tcBorders>
          </w:tcPr>
          <w:p w14:paraId="69CE3230" w14:textId="2F312D36" w:rsidR="00CB1F2F" w:rsidRDefault="00CB1F2F" w:rsidP="00CA50EC">
            <w:r>
              <w:t>The</w:t>
            </w:r>
            <w:r w:rsidRPr="0060232E">
              <w:t xml:space="preserve"> ratio of the population to total primary care physicians. Primary care physicians include non-federal, practicing physicians (M.D.'s and D.O.'s) under age 75 specializing in general practice medicine, family medicine, internal medicine, and pediatrics.</w:t>
            </w:r>
            <w:r w:rsidR="002A64A3">
              <w:t xml:space="preserve"> Data are from 20</w:t>
            </w:r>
            <w:r w:rsidR="008F1BDC">
              <w:t xml:space="preserve">17 Area Health Resource File/ American Medical Association via 2020 CHR. </w:t>
            </w:r>
          </w:p>
        </w:tc>
      </w:tr>
    </w:tbl>
    <w:p w14:paraId="08072880" w14:textId="77777777" w:rsidR="00CB1F2F" w:rsidRDefault="00CB1F2F" w:rsidP="00CB1F2F">
      <w:pPr>
        <w:rPr>
          <w:rFonts w:ascii="Calibri" w:eastAsia="Calibri" w:hAnsi="Calibri" w:cs="Calibri"/>
          <w:sz w:val="24"/>
          <w:szCs w:val="24"/>
        </w:rPr>
      </w:pPr>
    </w:p>
    <w:p w14:paraId="15A978D0" w14:textId="77777777" w:rsidR="00CB1F2F" w:rsidRDefault="00CB1F2F" w:rsidP="00CB1F2F">
      <w:pPr>
        <w:rPr>
          <w:rFonts w:ascii="Calibri" w:eastAsia="Calibri" w:hAnsi="Calibri" w:cs="Calibri"/>
          <w:sz w:val="24"/>
          <w:szCs w:val="24"/>
        </w:rPr>
      </w:pPr>
    </w:p>
    <w:p w14:paraId="218C93E3" w14:textId="77777777" w:rsidR="00CB1F2F" w:rsidRPr="00ED1634" w:rsidRDefault="00CB1F2F" w:rsidP="00CB1F2F">
      <w:pPr>
        <w:rPr>
          <w:rFonts w:ascii="Calibri" w:eastAsia="Calibri" w:hAnsi="Calibri" w:cs="Calibri"/>
          <w:sz w:val="24"/>
          <w:szCs w:val="24"/>
        </w:rPr>
      </w:pPr>
    </w:p>
    <w:p w14:paraId="7E8D49B6" w14:textId="77777777" w:rsidR="00393CDF" w:rsidRDefault="00393CDF"/>
    <w:sectPr w:rsidR="00393CDF" w:rsidSect="000E3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F2F"/>
    <w:rsid w:val="00027BD4"/>
    <w:rsid w:val="00034000"/>
    <w:rsid w:val="00064C30"/>
    <w:rsid w:val="000748EE"/>
    <w:rsid w:val="0009252A"/>
    <w:rsid w:val="000B1CC9"/>
    <w:rsid w:val="000C6431"/>
    <w:rsid w:val="000D5147"/>
    <w:rsid w:val="000E3AC3"/>
    <w:rsid w:val="00111728"/>
    <w:rsid w:val="00127173"/>
    <w:rsid w:val="00170417"/>
    <w:rsid w:val="001806A8"/>
    <w:rsid w:val="001F5875"/>
    <w:rsid w:val="00225C47"/>
    <w:rsid w:val="00227E35"/>
    <w:rsid w:val="00270889"/>
    <w:rsid w:val="002A64A3"/>
    <w:rsid w:val="002C1607"/>
    <w:rsid w:val="002F72DE"/>
    <w:rsid w:val="00313B35"/>
    <w:rsid w:val="003238FA"/>
    <w:rsid w:val="00346AB7"/>
    <w:rsid w:val="003705CC"/>
    <w:rsid w:val="00393CDF"/>
    <w:rsid w:val="003D7A7F"/>
    <w:rsid w:val="003E033C"/>
    <w:rsid w:val="003E4631"/>
    <w:rsid w:val="003F61D9"/>
    <w:rsid w:val="0041739A"/>
    <w:rsid w:val="00426427"/>
    <w:rsid w:val="00431DB4"/>
    <w:rsid w:val="00470A95"/>
    <w:rsid w:val="00475E5C"/>
    <w:rsid w:val="004C31DE"/>
    <w:rsid w:val="004E0AC6"/>
    <w:rsid w:val="00515876"/>
    <w:rsid w:val="00526C39"/>
    <w:rsid w:val="0054711A"/>
    <w:rsid w:val="005472BF"/>
    <w:rsid w:val="00570AD6"/>
    <w:rsid w:val="00574BC0"/>
    <w:rsid w:val="005979D4"/>
    <w:rsid w:val="005C70D9"/>
    <w:rsid w:val="005C7BFD"/>
    <w:rsid w:val="006166B5"/>
    <w:rsid w:val="00623D17"/>
    <w:rsid w:val="006937A5"/>
    <w:rsid w:val="006A7226"/>
    <w:rsid w:val="006D51E5"/>
    <w:rsid w:val="006F16EA"/>
    <w:rsid w:val="007014F9"/>
    <w:rsid w:val="00710B83"/>
    <w:rsid w:val="00731BEA"/>
    <w:rsid w:val="00776B25"/>
    <w:rsid w:val="00782CA2"/>
    <w:rsid w:val="007872A9"/>
    <w:rsid w:val="007B6CA0"/>
    <w:rsid w:val="007C285E"/>
    <w:rsid w:val="007F3318"/>
    <w:rsid w:val="00820102"/>
    <w:rsid w:val="008A4FF8"/>
    <w:rsid w:val="008D26AC"/>
    <w:rsid w:val="008F1BDC"/>
    <w:rsid w:val="009247F8"/>
    <w:rsid w:val="0094408E"/>
    <w:rsid w:val="009834FD"/>
    <w:rsid w:val="009C4179"/>
    <w:rsid w:val="009F6CEB"/>
    <w:rsid w:val="00A044B1"/>
    <w:rsid w:val="00A06AB2"/>
    <w:rsid w:val="00A211DE"/>
    <w:rsid w:val="00A52D88"/>
    <w:rsid w:val="00A63791"/>
    <w:rsid w:val="00A70DED"/>
    <w:rsid w:val="00AE681F"/>
    <w:rsid w:val="00B001C1"/>
    <w:rsid w:val="00B0312A"/>
    <w:rsid w:val="00B04C6C"/>
    <w:rsid w:val="00B22E41"/>
    <w:rsid w:val="00B32AC4"/>
    <w:rsid w:val="00B530D9"/>
    <w:rsid w:val="00B53B0B"/>
    <w:rsid w:val="00B54A32"/>
    <w:rsid w:val="00B5610C"/>
    <w:rsid w:val="00B74825"/>
    <w:rsid w:val="00B74CAA"/>
    <w:rsid w:val="00BE0AB7"/>
    <w:rsid w:val="00BE11B3"/>
    <w:rsid w:val="00BF05C5"/>
    <w:rsid w:val="00C07091"/>
    <w:rsid w:val="00C118A1"/>
    <w:rsid w:val="00C24AFD"/>
    <w:rsid w:val="00C42F42"/>
    <w:rsid w:val="00C854E1"/>
    <w:rsid w:val="00C86132"/>
    <w:rsid w:val="00C874BC"/>
    <w:rsid w:val="00CB1F2F"/>
    <w:rsid w:val="00CB536C"/>
    <w:rsid w:val="00CF4AD8"/>
    <w:rsid w:val="00D33634"/>
    <w:rsid w:val="00DC2D82"/>
    <w:rsid w:val="00DF5774"/>
    <w:rsid w:val="00E04A11"/>
    <w:rsid w:val="00E168B3"/>
    <w:rsid w:val="00E213C0"/>
    <w:rsid w:val="00E27F76"/>
    <w:rsid w:val="00E62CD6"/>
    <w:rsid w:val="00E73E81"/>
    <w:rsid w:val="00E8686A"/>
    <w:rsid w:val="00EA4BC8"/>
    <w:rsid w:val="00EC6654"/>
    <w:rsid w:val="00EF1F54"/>
    <w:rsid w:val="00F074B6"/>
    <w:rsid w:val="00F53477"/>
    <w:rsid w:val="00F62DDD"/>
    <w:rsid w:val="00FB29C2"/>
    <w:rsid w:val="00FD0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764006"/>
  <w15:chartTrackingRefBased/>
  <w15:docId w15:val="{C4B22F18-DF81-3C42-9D5F-29FA8FBA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F2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B1F2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F72DE"/>
    <w:rPr>
      <w:sz w:val="16"/>
      <w:szCs w:val="16"/>
    </w:rPr>
  </w:style>
  <w:style w:type="paragraph" w:styleId="CommentText">
    <w:name w:val="annotation text"/>
    <w:basedOn w:val="Normal"/>
    <w:link w:val="CommentTextChar"/>
    <w:uiPriority w:val="99"/>
    <w:semiHidden/>
    <w:unhideWhenUsed/>
    <w:rsid w:val="002F72DE"/>
    <w:pPr>
      <w:spacing w:line="240" w:lineRule="auto"/>
    </w:pPr>
    <w:rPr>
      <w:sz w:val="20"/>
      <w:szCs w:val="20"/>
    </w:rPr>
  </w:style>
  <w:style w:type="character" w:customStyle="1" w:styleId="CommentTextChar">
    <w:name w:val="Comment Text Char"/>
    <w:basedOn w:val="DefaultParagraphFont"/>
    <w:link w:val="CommentText"/>
    <w:uiPriority w:val="99"/>
    <w:semiHidden/>
    <w:rsid w:val="002F72DE"/>
    <w:rPr>
      <w:sz w:val="20"/>
      <w:szCs w:val="20"/>
    </w:rPr>
  </w:style>
  <w:style w:type="paragraph" w:styleId="CommentSubject">
    <w:name w:val="annotation subject"/>
    <w:basedOn w:val="CommentText"/>
    <w:next w:val="CommentText"/>
    <w:link w:val="CommentSubjectChar"/>
    <w:uiPriority w:val="99"/>
    <w:semiHidden/>
    <w:unhideWhenUsed/>
    <w:rsid w:val="002F72DE"/>
    <w:rPr>
      <w:b/>
      <w:bCs/>
    </w:rPr>
  </w:style>
  <w:style w:type="character" w:customStyle="1" w:styleId="CommentSubjectChar">
    <w:name w:val="Comment Subject Char"/>
    <w:basedOn w:val="CommentTextChar"/>
    <w:link w:val="CommentSubject"/>
    <w:uiPriority w:val="99"/>
    <w:semiHidden/>
    <w:rsid w:val="002F72DE"/>
    <w:rPr>
      <w:b/>
      <w:bCs/>
      <w:sz w:val="20"/>
      <w:szCs w:val="20"/>
    </w:rPr>
  </w:style>
  <w:style w:type="paragraph" w:styleId="Revision">
    <w:name w:val="Revision"/>
    <w:hidden/>
    <w:uiPriority w:val="99"/>
    <w:semiHidden/>
    <w:rsid w:val="00FB29C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Justin</dc:creator>
  <cp:keywords/>
  <dc:description/>
  <cp:lastModifiedBy>Moore, Justin</cp:lastModifiedBy>
  <cp:revision>2</cp:revision>
  <dcterms:created xsi:type="dcterms:W3CDTF">2022-06-24T13:56:00Z</dcterms:created>
  <dcterms:modified xsi:type="dcterms:W3CDTF">2022-06-24T13:56:00Z</dcterms:modified>
</cp:coreProperties>
</file>