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CB686" w14:textId="77777777" w:rsidR="004512CB" w:rsidRDefault="004512CB" w:rsidP="0075228D">
      <w:pPr>
        <w:rPr>
          <w:b/>
          <w:bCs/>
          <w:sz w:val="28"/>
          <w:szCs w:val="28"/>
        </w:rPr>
      </w:pPr>
      <w:r>
        <w:rPr>
          <w:b/>
          <w:bCs/>
          <w:sz w:val="28"/>
          <w:szCs w:val="28"/>
        </w:rPr>
        <w:t>Supplementary Material</w:t>
      </w:r>
    </w:p>
    <w:p w14:paraId="43E4B353" w14:textId="77777777" w:rsidR="004512CB" w:rsidRDefault="004512CB" w:rsidP="0075228D">
      <w:pPr>
        <w:rPr>
          <w:b/>
          <w:bCs/>
          <w:sz w:val="28"/>
          <w:szCs w:val="28"/>
        </w:rPr>
      </w:pPr>
    </w:p>
    <w:p w14:paraId="65F11307" w14:textId="69B30085" w:rsidR="004512CB" w:rsidRPr="004512CB" w:rsidRDefault="004512CB" w:rsidP="0075228D">
      <w:pPr>
        <w:rPr>
          <w:b/>
          <w:bCs/>
        </w:rPr>
      </w:pPr>
      <w:r w:rsidRPr="004512CB">
        <w:rPr>
          <w:b/>
          <w:bCs/>
        </w:rPr>
        <w:t>Title: Basin-scale analysis of injection data and seismicity shows that, in western Canada, runaway induced earthquakes do not recur within a multi-year timescale on the same fault</w:t>
      </w:r>
    </w:p>
    <w:p w14:paraId="252EB7B9" w14:textId="77777777" w:rsidR="004512CB" w:rsidRDefault="004512CB" w:rsidP="0075228D"/>
    <w:p w14:paraId="30A13682" w14:textId="72F474D8" w:rsidR="004512CB" w:rsidRPr="005C6288" w:rsidRDefault="004512CB" w:rsidP="0075228D">
      <w:r w:rsidRPr="005C6288">
        <w:t>Germán Rodríguez-</w:t>
      </w:r>
      <w:proofErr w:type="spellStart"/>
      <w:r w:rsidRPr="005C6288">
        <w:t>Pradilla</w:t>
      </w:r>
      <w:proofErr w:type="spellEnd"/>
      <w:r w:rsidR="00025FBB">
        <w:t xml:space="preserve"> </w:t>
      </w:r>
      <w:r w:rsidRPr="005C6288">
        <w:rPr>
          <w:vertAlign w:val="superscript"/>
        </w:rPr>
        <w:t>a</w:t>
      </w:r>
      <w:r w:rsidRPr="005C6288">
        <w:t>, David W. Eaton</w:t>
      </w:r>
      <w:r w:rsidR="00025FBB">
        <w:t xml:space="preserve"> </w:t>
      </w:r>
      <w:r w:rsidRPr="005C6288">
        <w:rPr>
          <w:vertAlign w:val="superscript"/>
        </w:rPr>
        <w:t xml:space="preserve">b </w:t>
      </w:r>
      <w:r w:rsidRPr="005C6288">
        <w:t xml:space="preserve">and James </w:t>
      </w:r>
      <w:r>
        <w:t>Verdon</w:t>
      </w:r>
      <w:r w:rsidR="00025FBB">
        <w:t xml:space="preserve"> </w:t>
      </w:r>
      <w:r>
        <w:rPr>
          <w:vertAlign w:val="superscript"/>
        </w:rPr>
        <w:t>c</w:t>
      </w:r>
    </w:p>
    <w:p w14:paraId="145809D8" w14:textId="77777777" w:rsidR="004512CB" w:rsidRDefault="004512CB" w:rsidP="0075228D">
      <w:pPr>
        <w:rPr>
          <w:vertAlign w:val="superscript"/>
          <w:lang w:val="en-US"/>
        </w:rPr>
      </w:pPr>
    </w:p>
    <w:p w14:paraId="33B4D47F" w14:textId="3E350D9D" w:rsidR="004512CB" w:rsidRPr="008148E5" w:rsidRDefault="004512CB" w:rsidP="0075228D">
      <w:pPr>
        <w:rPr>
          <w:lang w:val="en-US"/>
        </w:rPr>
      </w:pPr>
      <w:r>
        <w:rPr>
          <w:vertAlign w:val="superscript"/>
          <w:lang w:val="en-US"/>
        </w:rPr>
        <w:t xml:space="preserve">a </w:t>
      </w:r>
      <w:r>
        <w:rPr>
          <w:lang w:val="en-US"/>
        </w:rPr>
        <w:t>Formerly at D</w:t>
      </w:r>
      <w:r w:rsidRPr="002F6E94">
        <w:rPr>
          <w:lang w:val="en-US"/>
        </w:rPr>
        <w:t>epartment of Geoscience</w:t>
      </w:r>
      <w:r>
        <w:rPr>
          <w:lang w:val="en-US"/>
        </w:rPr>
        <w:t xml:space="preserve">, </w:t>
      </w:r>
      <w:r w:rsidRPr="002F6E94">
        <w:rPr>
          <w:lang w:val="en-US"/>
        </w:rPr>
        <w:t>University of Calgary</w:t>
      </w:r>
      <w:r>
        <w:rPr>
          <w:lang w:val="en-US"/>
        </w:rPr>
        <w:t xml:space="preserve">. </w:t>
      </w:r>
      <w:r w:rsidRPr="002F6E94">
        <w:rPr>
          <w:lang w:val="en-US"/>
        </w:rPr>
        <w:t>Calgary, Alberta, Canada</w:t>
      </w:r>
      <w:r>
        <w:rPr>
          <w:lang w:val="en-US"/>
        </w:rPr>
        <w:t>. Now at School of Earth Sciences, University of Bristol. Bristol, United Kingdom</w:t>
      </w:r>
    </w:p>
    <w:p w14:paraId="3B48D99D" w14:textId="77777777" w:rsidR="004512CB" w:rsidRDefault="004512CB" w:rsidP="0075228D">
      <w:pPr>
        <w:rPr>
          <w:lang w:val="en-US"/>
        </w:rPr>
      </w:pPr>
      <w:r w:rsidRPr="005C6288">
        <w:rPr>
          <w:vertAlign w:val="superscript"/>
          <w:lang w:val="en-US"/>
        </w:rPr>
        <w:t>b</w:t>
      </w:r>
      <w:r>
        <w:rPr>
          <w:vertAlign w:val="superscript"/>
          <w:lang w:val="en-US"/>
        </w:rPr>
        <w:t xml:space="preserve"> </w:t>
      </w:r>
      <w:r w:rsidRPr="002F6E94">
        <w:rPr>
          <w:lang w:val="en-US"/>
        </w:rPr>
        <w:t>Department of Geoscience</w:t>
      </w:r>
      <w:r>
        <w:rPr>
          <w:lang w:val="en-US"/>
        </w:rPr>
        <w:t xml:space="preserve">, </w:t>
      </w:r>
      <w:r w:rsidRPr="002F6E94">
        <w:rPr>
          <w:lang w:val="en-US"/>
        </w:rPr>
        <w:t>University of Calgary</w:t>
      </w:r>
      <w:r>
        <w:rPr>
          <w:lang w:val="en-US"/>
        </w:rPr>
        <w:t xml:space="preserve">. </w:t>
      </w:r>
      <w:r w:rsidRPr="002F6E94">
        <w:rPr>
          <w:lang w:val="en-US"/>
        </w:rPr>
        <w:t>Calgary, Alberta, Canada</w:t>
      </w:r>
    </w:p>
    <w:p w14:paraId="74D12ED4" w14:textId="77777777" w:rsidR="004512CB" w:rsidRDefault="004512CB" w:rsidP="0075228D">
      <w:pPr>
        <w:rPr>
          <w:vertAlign w:val="superscript"/>
          <w:lang w:val="en-US"/>
        </w:rPr>
      </w:pPr>
      <w:r>
        <w:rPr>
          <w:vertAlign w:val="superscript"/>
          <w:lang w:val="en-US"/>
        </w:rPr>
        <w:t xml:space="preserve">c </w:t>
      </w:r>
      <w:r>
        <w:rPr>
          <w:lang w:val="en-US"/>
        </w:rPr>
        <w:t>School of Earth Sciences, University of Bristol. Bristol, United Kingdom</w:t>
      </w:r>
    </w:p>
    <w:p w14:paraId="5DF831CB" w14:textId="107E53BA" w:rsidR="00B74F01" w:rsidRDefault="00B74F01" w:rsidP="0075228D"/>
    <w:p w14:paraId="584C0A33" w14:textId="54853751" w:rsidR="0025142C" w:rsidRDefault="0025142C" w:rsidP="0025142C">
      <w:r>
        <w:t xml:space="preserve">This supplementary material </w:t>
      </w:r>
      <w:proofErr w:type="gramStart"/>
      <w:r>
        <w:t>provides:</w:t>
      </w:r>
      <w:proofErr w:type="gramEnd"/>
      <w:r>
        <w:t xml:space="preserve"> animations showing the temporal evolution of hydraulic fracturing and induced seismicity in the WCSB; data tables of the variables computed for each grid block in our analysis; a sensitivity analysis of the effect of the grid origin and dimensions; and further details of the 14 grid blocks where high S</w:t>
      </w:r>
      <w:r>
        <w:rPr>
          <w:vertAlign w:val="subscript"/>
        </w:rPr>
        <w:t>EFF</w:t>
      </w:r>
      <w:r>
        <w:t xml:space="preserve"> values have been observed. </w:t>
      </w:r>
    </w:p>
    <w:p w14:paraId="6AC39765" w14:textId="77777777" w:rsidR="0025142C" w:rsidRDefault="0025142C" w:rsidP="0075228D"/>
    <w:p w14:paraId="70E5979A" w14:textId="77777777" w:rsidR="0025142C" w:rsidRPr="003A3C8F" w:rsidRDefault="0025142C" w:rsidP="0025142C">
      <w:r>
        <w:rPr>
          <w:b/>
          <w:bCs/>
        </w:rPr>
        <w:t>Animations and Data for each grid block</w:t>
      </w:r>
      <w:r>
        <w:t xml:space="preserve"> </w:t>
      </w:r>
    </w:p>
    <w:p w14:paraId="32F5F0DF" w14:textId="5520D0B0" w:rsidR="0025142C" w:rsidRDefault="0025142C" w:rsidP="0025142C">
      <w:pPr>
        <w:pStyle w:val="Caption"/>
        <w:jc w:val="both"/>
      </w:pPr>
      <w:r w:rsidRPr="0025142C">
        <w:rPr>
          <w:b/>
          <w:bCs/>
        </w:rPr>
        <w:t>Video S1</w:t>
      </w:r>
      <w:r>
        <w:t xml:space="preserve"> shows the </w:t>
      </w:r>
      <w:r>
        <w:rPr>
          <w:lang w:val="en-US"/>
        </w:rPr>
        <w:t xml:space="preserve">temporal variation of the seismic and hydraulic fracturing activity in western Canada between 2000 and 2020, </w:t>
      </w:r>
      <w:r>
        <w:t xml:space="preserve">as described in Figures 1 and 2 of the main manuscript. </w:t>
      </w:r>
      <w:r w:rsidRPr="001D783D">
        <w:t xml:space="preserve">All </w:t>
      </w:r>
      <w:proofErr w:type="spellStart"/>
      <w:r w:rsidRPr="001D783D">
        <w:t>geoLOGIC</w:t>
      </w:r>
      <w:proofErr w:type="spellEnd"/>
      <w:r w:rsidRPr="001D783D">
        <w:t xml:space="preserve"> systems ltd. data and software is copyright 2022.</w:t>
      </w:r>
    </w:p>
    <w:p w14:paraId="7E2FA2EF" w14:textId="4FBA537F" w:rsidR="0025142C" w:rsidRPr="00C37173" w:rsidRDefault="0025142C" w:rsidP="0025142C">
      <w:pPr>
        <w:pStyle w:val="Caption"/>
        <w:jc w:val="both"/>
        <w:rPr>
          <w:lang w:val="en-GB"/>
        </w:rPr>
      </w:pPr>
      <w:r w:rsidRPr="000F4A7C">
        <w:rPr>
          <w:b/>
          <w:bCs/>
        </w:rPr>
        <w:t>Video S2</w:t>
      </w:r>
      <w:r>
        <w:t xml:space="preserve"> shows </w:t>
      </w:r>
      <w:r w:rsidRPr="0055628F">
        <w:t>S</w:t>
      </w:r>
      <w:r w:rsidRPr="00EC4DDF">
        <w:rPr>
          <w:vertAlign w:val="subscript"/>
        </w:rPr>
        <w:t>EFF</w:t>
      </w:r>
      <w:r>
        <w:t xml:space="preserve"> calculated for each unit area of 0.2</w:t>
      </w:r>
      <w:r w:rsidRPr="00101837">
        <w:t>°</w:t>
      </w:r>
      <w:r>
        <w:t xml:space="preserve"> longitude by 0.1</w:t>
      </w:r>
      <w:r w:rsidRPr="00101837">
        <w:t>°</w:t>
      </w:r>
      <w:r>
        <w:t xml:space="preserve"> latitude in the WCSB, as described in Figures 4 and 5 of the main manuscript. </w:t>
      </w:r>
      <w:r w:rsidRPr="001D783D">
        <w:t xml:space="preserve">All </w:t>
      </w:r>
      <w:proofErr w:type="spellStart"/>
      <w:r w:rsidRPr="001D783D">
        <w:t>geoLOGIC</w:t>
      </w:r>
      <w:proofErr w:type="spellEnd"/>
      <w:r w:rsidRPr="001D783D">
        <w:t xml:space="preserve"> systems ltd. data and software is copyright 2022.</w:t>
      </w:r>
    </w:p>
    <w:p w14:paraId="048A9FCB" w14:textId="4535C51A" w:rsidR="0025142C" w:rsidRPr="001D783D" w:rsidRDefault="0025142C" w:rsidP="0025142C">
      <w:pPr>
        <w:pStyle w:val="Caption"/>
        <w:jc w:val="both"/>
      </w:pPr>
      <w:r w:rsidRPr="00C37173">
        <w:rPr>
          <w:b/>
          <w:bCs/>
        </w:rPr>
        <w:t>Table S1</w:t>
      </w:r>
      <w:r>
        <w:t xml:space="preserve"> provides the </w:t>
      </w:r>
      <w:r w:rsidR="00C37173">
        <w:t>computed variables</w:t>
      </w:r>
      <w:r>
        <w:t xml:space="preserve"> for seismic activity and hydraulic fracturing for each grid block (0.2</w:t>
      </w:r>
      <w:r w:rsidRPr="00101837">
        <w:t>°</w:t>
      </w:r>
      <w:r>
        <w:t xml:space="preserve"> longitude by 0.1</w:t>
      </w:r>
      <w:r w:rsidRPr="00101837">
        <w:t>°</w:t>
      </w:r>
      <w:r>
        <w:t xml:space="preserve"> latitude). These parameters are used to calculate the Seismic Efficiency Ratio (S</w:t>
      </w:r>
      <w:r w:rsidRPr="003A3C8F">
        <w:rPr>
          <w:vertAlign w:val="subscript"/>
        </w:rPr>
        <w:t>EFF</w:t>
      </w:r>
      <w:r>
        <w:t xml:space="preserve">). Column headers are: </w:t>
      </w:r>
      <w:r w:rsidRPr="004170B4">
        <w:rPr>
          <w:b/>
          <w:bCs/>
        </w:rPr>
        <w:t>Lon</w:t>
      </w:r>
      <w:r w:rsidRPr="00101837">
        <w:t>,</w:t>
      </w:r>
      <w:r>
        <w:t xml:space="preserve"> </w:t>
      </w:r>
      <w:r w:rsidRPr="004170B4">
        <w:rPr>
          <w:b/>
          <w:bCs/>
        </w:rPr>
        <w:t>Lat</w:t>
      </w:r>
      <w:r>
        <w:t xml:space="preserve"> (central coordinates of each grid block), </w:t>
      </w:r>
      <w:proofErr w:type="spellStart"/>
      <w:r w:rsidRPr="004170B4">
        <w:rPr>
          <w:b/>
          <w:bCs/>
        </w:rPr>
        <w:t>NumEQs</w:t>
      </w:r>
      <w:proofErr w:type="spellEnd"/>
      <w:r>
        <w:t xml:space="preserve"> (number of earthquakes)</w:t>
      </w:r>
      <w:r w:rsidRPr="00101837">
        <w:t>,</w:t>
      </w:r>
      <w:r>
        <w:t xml:space="preserve"> </w:t>
      </w:r>
      <w:r w:rsidRPr="004170B4">
        <w:rPr>
          <w:b/>
          <w:bCs/>
        </w:rPr>
        <w:t>CumM0_Nm</w:t>
      </w:r>
      <w:r>
        <w:t xml:space="preserve"> (Cumulative seismic moment, </w:t>
      </w:r>
      <m:oMath>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0</m:t>
                </m:r>
              </m:sub>
            </m:sSub>
          </m:e>
        </m:nary>
      </m:oMath>
      <w:r>
        <w:t xml:space="preserve"> , in Nm)</w:t>
      </w:r>
      <w:r w:rsidRPr="00101837">
        <w:t>,</w:t>
      </w:r>
      <w:r>
        <w:t xml:space="preserve"> </w:t>
      </w:r>
      <w:proofErr w:type="spellStart"/>
      <w:r w:rsidRPr="004170B4">
        <w:rPr>
          <w:b/>
          <w:bCs/>
        </w:rPr>
        <w:t>MaxMw</w:t>
      </w:r>
      <w:proofErr w:type="spellEnd"/>
      <w:r>
        <w:t xml:space="preserve">, </w:t>
      </w:r>
      <w:proofErr w:type="spellStart"/>
      <w:r w:rsidRPr="004170B4">
        <w:rPr>
          <w:b/>
          <w:bCs/>
        </w:rPr>
        <w:t>MinMw</w:t>
      </w:r>
      <w:proofErr w:type="spellEnd"/>
      <w:r>
        <w:t xml:space="preserve"> (maximum and minimum observed moment magnitudes)</w:t>
      </w:r>
      <w:r w:rsidRPr="00101837">
        <w:t>,</w:t>
      </w:r>
      <w:r>
        <w:t xml:space="preserve"> </w:t>
      </w:r>
      <w:proofErr w:type="spellStart"/>
      <w:r w:rsidR="00767D79">
        <w:rPr>
          <w:b/>
          <w:bCs/>
        </w:rPr>
        <w:t>a_value_MLE</w:t>
      </w:r>
      <w:proofErr w:type="spellEnd"/>
      <w:r w:rsidR="00767D79">
        <w:t xml:space="preserve">, </w:t>
      </w:r>
      <w:r w:rsidRPr="004170B4">
        <w:rPr>
          <w:b/>
          <w:bCs/>
          <w:i/>
          <w:iCs w:val="0"/>
        </w:rPr>
        <w:t>b</w:t>
      </w:r>
      <w:r w:rsidRPr="004170B4">
        <w:rPr>
          <w:b/>
          <w:bCs/>
        </w:rPr>
        <w:t>-</w:t>
      </w:r>
      <w:proofErr w:type="spellStart"/>
      <w:r w:rsidRPr="004170B4">
        <w:rPr>
          <w:b/>
          <w:bCs/>
        </w:rPr>
        <w:t>value</w:t>
      </w:r>
      <w:r w:rsidR="00767D79">
        <w:rPr>
          <w:b/>
          <w:bCs/>
        </w:rPr>
        <w:t>_MLE</w:t>
      </w:r>
      <w:proofErr w:type="spellEnd"/>
      <w:r w:rsidR="00767D79">
        <w:rPr>
          <w:b/>
          <w:bCs/>
        </w:rPr>
        <w:t xml:space="preserve">, </w:t>
      </w:r>
      <w:proofErr w:type="spellStart"/>
      <w:r w:rsidR="00767D79">
        <w:rPr>
          <w:b/>
          <w:bCs/>
        </w:rPr>
        <w:t>db_MLE</w:t>
      </w:r>
      <w:proofErr w:type="spellEnd"/>
      <w:r w:rsidR="00767D79">
        <w:rPr>
          <w:b/>
          <w:bCs/>
        </w:rPr>
        <w:t xml:space="preserve">, </w:t>
      </w:r>
      <w:r>
        <w:t>(</w:t>
      </w:r>
      <w:r w:rsidR="00767D79">
        <w:t xml:space="preserve">a-value, b-value, and the b-value’s standard deviation, </w:t>
      </w:r>
      <w:r>
        <w:t>from the Gutenberg-Richter distribution of the seismic events reported inside each block</w:t>
      </w:r>
      <w:r w:rsidR="00767D79">
        <w:t xml:space="preserve"> calculated using a Maximum Likelihood Estimation method </w:t>
      </w:r>
      <w:sdt>
        <w:sdtPr>
          <w:id w:val="-1906746372"/>
          <w:citation/>
        </w:sdtPr>
        <w:sdtEndPr/>
        <w:sdtContent>
          <w:r w:rsidR="00767D79">
            <w:fldChar w:fldCharType="begin"/>
          </w:r>
          <w:r w:rsidR="00767D79">
            <w:rPr>
              <w:lang w:val="en-GB"/>
            </w:rPr>
            <w:instrText xml:space="preserve"> CITATION Aki65 \l 2057 </w:instrText>
          </w:r>
          <w:r w:rsidR="00767D79">
            <w:fldChar w:fldCharType="separate"/>
          </w:r>
          <w:r w:rsidR="002E429E" w:rsidRPr="002E429E">
            <w:rPr>
              <w:noProof/>
              <w:lang w:val="en-GB"/>
            </w:rPr>
            <w:t>[1]</w:t>
          </w:r>
          <w:r w:rsidR="00767D79">
            <w:fldChar w:fldCharType="end"/>
          </w:r>
        </w:sdtContent>
      </w:sdt>
      <w:r w:rsidR="00767D79">
        <w:t xml:space="preserve">; </w:t>
      </w:r>
      <w:r>
        <w:t xml:space="preserve">only calculated for areas with at least 20 seismic events, </w:t>
      </w:r>
      <w:r w:rsidRPr="00DA11BB">
        <w:rPr>
          <w:i/>
          <w:iCs w:val="0"/>
        </w:rPr>
        <w:t>b</w:t>
      </w:r>
      <w:r>
        <w:t xml:space="preserve">-value </w:t>
      </w:r>
      <w:r w:rsidRPr="001D783D">
        <w:t xml:space="preserve">= 0 means not enough </w:t>
      </w:r>
      <w:r>
        <w:t>seismic events</w:t>
      </w:r>
      <w:r w:rsidRPr="001D783D">
        <w:t xml:space="preserve"> to calculate</w:t>
      </w:r>
      <w:r>
        <w:t xml:space="preserve">), </w:t>
      </w:r>
      <w:proofErr w:type="spellStart"/>
      <w:r w:rsidRPr="004170B4">
        <w:rPr>
          <w:b/>
          <w:bCs/>
        </w:rPr>
        <w:t>Mcomp</w:t>
      </w:r>
      <w:proofErr w:type="spellEnd"/>
      <w:r>
        <w:t xml:space="preserve"> (catalog completeness from the magnitude distribution of seismic events), </w:t>
      </w:r>
      <w:proofErr w:type="spellStart"/>
      <w:r w:rsidRPr="004170B4">
        <w:rPr>
          <w:b/>
          <w:bCs/>
        </w:rPr>
        <w:t>NumHFWells</w:t>
      </w:r>
      <w:proofErr w:type="spellEnd"/>
      <w:r>
        <w:t xml:space="preserve"> (number of hydraulic-fractured wells)</w:t>
      </w:r>
      <w:r w:rsidRPr="00101837">
        <w:t>,</w:t>
      </w:r>
      <w:r>
        <w:t xml:space="preserve"> </w:t>
      </w:r>
      <w:r w:rsidRPr="004170B4">
        <w:rPr>
          <w:b/>
          <w:bCs/>
        </w:rPr>
        <w:t>CumTPF_m3</w:t>
      </w:r>
      <w:r>
        <w:t xml:space="preserve"> (Cumulative Total Fluid Pumped in HF, in </w:t>
      </w:r>
      <w:r w:rsidRPr="00937CE0">
        <w:t xml:space="preserve">m3), </w:t>
      </w:r>
      <w:r w:rsidRPr="004170B4">
        <w:rPr>
          <w:b/>
          <w:bCs/>
        </w:rPr>
        <w:t>S</w:t>
      </w:r>
      <w:r w:rsidRPr="004170B4">
        <w:rPr>
          <w:b/>
          <w:bCs/>
          <w:vertAlign w:val="subscript"/>
        </w:rPr>
        <w:t>EFF</w:t>
      </w:r>
      <w:r w:rsidRPr="00937CE0">
        <w:t xml:space="preserve"> (Seismic</w:t>
      </w:r>
      <w:r>
        <w:t xml:space="preserve"> Efficiency Ratio)</w:t>
      </w:r>
      <w:r w:rsidRPr="00101837">
        <w:t>,</w:t>
      </w:r>
      <w:r>
        <w:t xml:space="preserve"> </w:t>
      </w:r>
      <w:proofErr w:type="spellStart"/>
      <w:r w:rsidRPr="004170B4">
        <w:rPr>
          <w:b/>
          <w:bCs/>
        </w:rPr>
        <w:t>Aphi</w:t>
      </w:r>
      <w:proofErr w:type="spellEnd"/>
      <w:r>
        <w:t xml:space="preserve"> (</w:t>
      </w:r>
      <m:oMath>
        <m:sSub>
          <m:sSubPr>
            <m:ctrlPr>
              <w:rPr>
                <w:rFonts w:ascii="Cambria Math" w:hAnsi="Cambria Math"/>
                <w:i/>
              </w:rPr>
            </m:ctrlPr>
          </m:sSubPr>
          <m:e>
            <m:r>
              <w:rPr>
                <w:rFonts w:ascii="Cambria Math" w:hAnsi="Cambria Math"/>
              </w:rPr>
              <m:t>A</m:t>
            </m:r>
          </m:e>
          <m:sub>
            <m:r>
              <w:rPr>
                <w:rFonts w:ascii="Cambria Math" w:hAnsi="Cambria Math"/>
              </w:rPr>
              <m:t>ϕ</m:t>
            </m:r>
          </m:sub>
        </m:sSub>
      </m:oMath>
      <w:r>
        <w:t>, relative stress magnitudes)</w:t>
      </w:r>
      <w:r w:rsidRPr="00101837">
        <w:t>,</w:t>
      </w:r>
      <w:r>
        <w:t xml:space="preserve"> </w:t>
      </w:r>
      <w:proofErr w:type="spellStart"/>
      <w:r w:rsidRPr="005F5439">
        <w:rPr>
          <w:b/>
          <w:bCs/>
        </w:rPr>
        <w:t>SHmax_Az</w:t>
      </w:r>
      <w:proofErr w:type="spellEnd"/>
      <w:r>
        <w:t xml:space="preserve"> (azimuth of the maximum horizontal stress), </w:t>
      </w:r>
      <w:proofErr w:type="spellStart"/>
      <w:r w:rsidRPr="005F5439">
        <w:rPr>
          <w:b/>
          <w:bCs/>
        </w:rPr>
        <w:t>NumDispWells</w:t>
      </w:r>
      <w:proofErr w:type="spellEnd"/>
      <w:r>
        <w:t xml:space="preserve"> (number of water disposal wells), </w:t>
      </w:r>
      <w:proofErr w:type="spellStart"/>
      <w:r w:rsidRPr="005F5439">
        <w:rPr>
          <w:b/>
          <w:bCs/>
        </w:rPr>
        <w:t>UWI_DispWells</w:t>
      </w:r>
      <w:proofErr w:type="spellEnd"/>
      <w:r>
        <w:t xml:space="preserve"> (Unique Well Identifier of each </w:t>
      </w:r>
      <w:r w:rsidR="00B44228">
        <w:t xml:space="preserve">water disposal </w:t>
      </w:r>
      <w:r>
        <w:t xml:space="preserve">well inside each unit area). The regional stress parameters, </w:t>
      </w:r>
      <w:proofErr w:type="spellStart"/>
      <w:r w:rsidRPr="00101837">
        <w:t>Aphi</w:t>
      </w:r>
      <w:proofErr w:type="spellEnd"/>
      <w:r>
        <w:t xml:space="preserve"> and </w:t>
      </w:r>
      <w:proofErr w:type="spellStart"/>
      <w:r w:rsidRPr="00101837">
        <w:t>SHmax_Az</w:t>
      </w:r>
      <w:proofErr w:type="spellEnd"/>
      <w:r>
        <w:t xml:space="preserve">, were retrieved from Lund </w:t>
      </w:r>
      <w:proofErr w:type="spellStart"/>
      <w:r>
        <w:t>Snee</w:t>
      </w:r>
      <w:proofErr w:type="spellEnd"/>
      <w:r>
        <w:t xml:space="preserve"> and Zoback </w:t>
      </w:r>
      <w:sdt>
        <w:sdtPr>
          <w:id w:val="-1045834888"/>
          <w:citation/>
        </w:sdtPr>
        <w:sdtEndPr/>
        <w:sdtContent>
          <w:r>
            <w:fldChar w:fldCharType="begin"/>
          </w:r>
          <w:r>
            <w:rPr>
              <w:lang w:val="en-US"/>
            </w:rPr>
            <w:instrText xml:space="preserve"> CITATION Lun20 \l 1033 </w:instrText>
          </w:r>
          <w:r>
            <w:fldChar w:fldCharType="separate"/>
          </w:r>
          <w:r w:rsidR="002E429E" w:rsidRPr="002E429E">
            <w:rPr>
              <w:noProof/>
              <w:lang w:val="en-US"/>
            </w:rPr>
            <w:t>[2]</w:t>
          </w:r>
          <w:r>
            <w:fldChar w:fldCharType="end"/>
          </w:r>
        </w:sdtContent>
      </w:sdt>
      <w:r>
        <w:t xml:space="preserve">. </w:t>
      </w:r>
      <w:r w:rsidRPr="001D783D">
        <w:t xml:space="preserve">All </w:t>
      </w:r>
      <w:proofErr w:type="spellStart"/>
      <w:r w:rsidRPr="001D783D">
        <w:t>geoLOGIC</w:t>
      </w:r>
      <w:proofErr w:type="spellEnd"/>
      <w:r w:rsidRPr="001D783D">
        <w:t xml:space="preserve"> systems ltd. data and software is copyright 2022.</w:t>
      </w:r>
    </w:p>
    <w:p w14:paraId="57C3C27B" w14:textId="1364C0A3" w:rsidR="00F236B9" w:rsidRPr="003A3C8F" w:rsidRDefault="00F236B9" w:rsidP="00F236B9">
      <w:r>
        <w:rPr>
          <w:b/>
          <w:bCs/>
        </w:rPr>
        <w:t>Grid size and origin sensitivity analysis</w:t>
      </w:r>
    </w:p>
    <w:p w14:paraId="69C66509" w14:textId="13137246" w:rsidR="0025142C" w:rsidRDefault="001A4EBD" w:rsidP="00F236B9">
      <w:r w:rsidRPr="001A4EBD">
        <w:lastRenderedPageBreak/>
        <w:t>The</w:t>
      </w:r>
      <w:r>
        <w:t xml:space="preserve"> analysis presented in our main text is based on cumulative seismic moments and injection volumes summed within discrete grid blocks with dimensions of 0.2</w:t>
      </w:r>
      <w:r w:rsidRPr="00101837">
        <w:t>°</w:t>
      </w:r>
      <w:r>
        <w:t xml:space="preserve"> longitude by 0.1</w:t>
      </w:r>
      <w:r w:rsidRPr="00101837">
        <w:t>°</w:t>
      </w:r>
      <w:r>
        <w:t xml:space="preserve">. This choice of dimension was based on considerations of hydraulic fracturing length, location uncertainties, and the fact that multiple wells could, in theory, reactivate the same feature. Nevertheless, we have conducted a sensitivity analysis to assess the impact of larger or smaller grid sizes, as well as shifting the grid origin to evaluate whether any observations were artefacts created by arbitrary positioning of grid boundaries. </w:t>
      </w:r>
    </w:p>
    <w:p w14:paraId="6C13ADEF" w14:textId="30B241CC" w:rsidR="001A4EBD" w:rsidRDefault="001A4EBD" w:rsidP="00F236B9"/>
    <w:p w14:paraId="12EC33E2" w14:textId="0A34CFFE" w:rsidR="0076789E" w:rsidRDefault="0076789E" w:rsidP="00F236B9">
      <w:pPr>
        <w:rPr>
          <w:lang w:val="en-US"/>
        </w:rPr>
      </w:pPr>
      <w:r w:rsidRPr="00B24B28">
        <w:rPr>
          <w:b/>
          <w:bCs/>
          <w:lang w:val="en-GB"/>
        </w:rPr>
        <w:t>Figure S1</w:t>
      </w:r>
      <w:r>
        <w:rPr>
          <w:b/>
          <w:bCs/>
          <w:lang w:val="en-GB"/>
        </w:rPr>
        <w:t xml:space="preserve"> </w:t>
      </w:r>
      <w:r w:rsidRPr="0076789E">
        <w:rPr>
          <w:lang w:val="en-GB"/>
        </w:rPr>
        <w:t>shows</w:t>
      </w:r>
      <w:r>
        <w:t xml:space="preserve"> the S</w:t>
      </w:r>
      <w:r w:rsidRPr="007E4D78">
        <w:rPr>
          <w:vertAlign w:val="subscript"/>
        </w:rPr>
        <w:t>EFF</w:t>
      </w:r>
      <w:r>
        <w:t xml:space="preserve"> calculated for unit area</w:t>
      </w:r>
      <w:r w:rsidR="00787A03">
        <w:t>s</w:t>
      </w:r>
      <w:r>
        <w:t xml:space="preserve"> </w:t>
      </w:r>
      <w:r w:rsidRPr="00691FAF">
        <w:rPr>
          <w:lang w:val="en-US"/>
        </w:rPr>
        <w:t>of 0.2° in Longitude by 0.1° in Latitude (or approximately 13x11km</w:t>
      </w:r>
      <w:r>
        <w:rPr>
          <w:lang w:val="en-US"/>
        </w:rPr>
        <w:t xml:space="preserve">) in the WCSB, with the inset showing as an example a zoomed view of one unit area near the town of Fox Creek, Alberta (same as Figures 4a and 4f </w:t>
      </w:r>
      <w:r w:rsidRPr="00DA0572">
        <w:rPr>
          <w:lang w:val="en-US"/>
        </w:rPr>
        <w:t xml:space="preserve">from the main manuscript). The inset from this figure shows the impact of choosing </w:t>
      </w:r>
      <w:r>
        <w:rPr>
          <w:lang w:val="en-US"/>
        </w:rPr>
        <w:t>a</w:t>
      </w:r>
      <w:r w:rsidRPr="00DA0572">
        <w:rPr>
          <w:lang w:val="en-US"/>
        </w:rPr>
        <w:t xml:space="preserve"> grid</w:t>
      </w:r>
      <w:r>
        <w:rPr>
          <w:lang w:val="en-US"/>
        </w:rPr>
        <w:t xml:space="preserve"> dimension of </w:t>
      </w:r>
      <w:r w:rsidRPr="00691FAF">
        <w:rPr>
          <w:lang w:val="en-US"/>
        </w:rPr>
        <w:t>0.</w:t>
      </w:r>
      <w:r>
        <w:rPr>
          <w:lang w:val="en-US"/>
        </w:rPr>
        <w:t>1</w:t>
      </w:r>
      <w:r w:rsidRPr="00691FAF">
        <w:rPr>
          <w:lang w:val="en-US"/>
        </w:rPr>
        <w:t>°</w:t>
      </w:r>
      <w:r>
        <w:rPr>
          <w:lang w:val="en-US"/>
        </w:rPr>
        <w:t xml:space="preserve"> x </w:t>
      </w:r>
      <w:r w:rsidRPr="00691FAF">
        <w:rPr>
          <w:lang w:val="en-US"/>
        </w:rPr>
        <w:t>0.</w:t>
      </w:r>
      <w:r>
        <w:rPr>
          <w:lang w:val="en-US"/>
        </w:rPr>
        <w:t>05</w:t>
      </w:r>
      <w:r w:rsidRPr="00691FAF">
        <w:rPr>
          <w:lang w:val="en-US"/>
        </w:rPr>
        <w:t>°</w:t>
      </w:r>
      <w:r>
        <w:rPr>
          <w:lang w:val="en-US"/>
        </w:rPr>
        <w:t>:</w:t>
      </w:r>
      <w:r w:rsidRPr="00691FAF">
        <w:rPr>
          <w:lang w:val="en-US"/>
        </w:rPr>
        <w:t xml:space="preserve"> </w:t>
      </w:r>
      <w:r>
        <w:rPr>
          <w:lang w:val="en-US"/>
        </w:rPr>
        <w:t xml:space="preserve">given typical lengths of horizontal HF wells, a significant portion of wells have their injection volumes split between grid cells. We suggest that a smaller gridding is therefor inappropriate. </w:t>
      </w:r>
    </w:p>
    <w:p w14:paraId="156D183C" w14:textId="1547653B" w:rsidR="00B52BDC" w:rsidRDefault="00B52BDC" w:rsidP="00F236B9">
      <w:pPr>
        <w:rPr>
          <w:lang w:val="en-US"/>
        </w:rPr>
      </w:pPr>
    </w:p>
    <w:p w14:paraId="6F033B15" w14:textId="03119834" w:rsidR="00B52BDC" w:rsidRDefault="00B52BDC" w:rsidP="00F236B9">
      <w:pPr>
        <w:rPr>
          <w:lang w:val="en-GB"/>
        </w:rPr>
      </w:pPr>
      <w:r w:rsidRPr="00B24B28">
        <w:rPr>
          <w:b/>
          <w:bCs/>
          <w:lang w:val="en-GB"/>
        </w:rPr>
        <w:t>Figure S2</w:t>
      </w:r>
      <w:r>
        <w:rPr>
          <w:lang w:val="en-GB"/>
        </w:rPr>
        <w:t xml:space="preserve"> shows the </w:t>
      </w:r>
      <w:r>
        <w:t>S</w:t>
      </w:r>
      <w:r w:rsidRPr="007E4D78">
        <w:rPr>
          <w:vertAlign w:val="subscript"/>
        </w:rPr>
        <w:t>EFF</w:t>
      </w:r>
      <w:r>
        <w:t xml:space="preserve"> calculated for larger unit areas </w:t>
      </w:r>
      <w:r>
        <w:rPr>
          <w:lang w:val="en-US"/>
        </w:rPr>
        <w:t xml:space="preserve">of </w:t>
      </w:r>
      <w:r w:rsidRPr="00691FAF">
        <w:rPr>
          <w:lang w:val="en-US"/>
        </w:rPr>
        <w:t>0.</w:t>
      </w:r>
      <w:r>
        <w:rPr>
          <w:lang w:val="en-US"/>
        </w:rPr>
        <w:t>4</w:t>
      </w:r>
      <w:r w:rsidRPr="00691FAF">
        <w:rPr>
          <w:lang w:val="en-US"/>
        </w:rPr>
        <w:t>° in Longitude by 0.</w:t>
      </w:r>
      <w:r>
        <w:rPr>
          <w:lang w:val="en-US"/>
        </w:rPr>
        <w:t>2</w:t>
      </w:r>
      <w:r w:rsidRPr="00691FAF">
        <w:rPr>
          <w:lang w:val="en-US"/>
        </w:rPr>
        <w:t>° in Latitude</w:t>
      </w:r>
      <w:r>
        <w:rPr>
          <w:lang w:val="en-US"/>
        </w:rPr>
        <w:t xml:space="preserve">, </w:t>
      </w:r>
      <w:r w:rsidRPr="00691FAF">
        <w:rPr>
          <w:lang w:val="en-US"/>
        </w:rPr>
        <w:t xml:space="preserve">or approximately </w:t>
      </w:r>
      <w:r>
        <w:rPr>
          <w:lang w:val="en-US"/>
        </w:rPr>
        <w:t>26</w:t>
      </w:r>
      <w:r w:rsidRPr="00691FAF">
        <w:rPr>
          <w:lang w:val="en-US"/>
        </w:rPr>
        <w:t>x</w:t>
      </w:r>
      <w:r>
        <w:rPr>
          <w:lang w:val="en-US"/>
        </w:rPr>
        <w:t>22</w:t>
      </w:r>
      <w:r w:rsidRPr="00691FAF">
        <w:rPr>
          <w:lang w:val="en-US"/>
        </w:rPr>
        <w:t>km</w:t>
      </w:r>
      <w:r>
        <w:rPr>
          <w:lang w:val="en-US"/>
        </w:rPr>
        <w:t xml:space="preserve">. This results in </w:t>
      </w:r>
      <w:r w:rsidRPr="001A513B">
        <w:rPr>
          <w:lang w:val="en-GB"/>
        </w:rPr>
        <w:t xml:space="preserve">a </w:t>
      </w:r>
      <w:r>
        <w:rPr>
          <w:lang w:val="en-GB"/>
        </w:rPr>
        <w:t>low</w:t>
      </w:r>
      <w:r w:rsidRPr="001A513B">
        <w:rPr>
          <w:lang w:val="en-GB"/>
        </w:rPr>
        <w:t xml:space="preserve">er resolution </w:t>
      </w:r>
      <w:r>
        <w:rPr>
          <w:lang w:val="en-GB"/>
        </w:rPr>
        <w:t xml:space="preserve">(when compared with the 13x11 km areas from Figure </w:t>
      </w:r>
      <w:r w:rsidR="00787A03">
        <w:rPr>
          <w:lang w:val="en-GB"/>
        </w:rPr>
        <w:t>4</w:t>
      </w:r>
      <w:r>
        <w:rPr>
          <w:lang w:val="en-GB"/>
        </w:rPr>
        <w:t>)</w:t>
      </w:r>
      <w:r w:rsidR="00787A03">
        <w:rPr>
          <w:lang w:val="en-GB"/>
        </w:rPr>
        <w:t>,</w:t>
      </w:r>
      <w:r>
        <w:rPr>
          <w:lang w:val="en-GB"/>
        </w:rPr>
        <w:t xml:space="preserve"> </w:t>
      </w:r>
      <w:r w:rsidR="00787A03">
        <w:rPr>
          <w:lang w:val="en-GB"/>
        </w:rPr>
        <w:t>as</w:t>
      </w:r>
      <w:r w:rsidRPr="001A513B">
        <w:rPr>
          <w:lang w:val="en-GB"/>
        </w:rPr>
        <w:t xml:space="preserve"> areas with high seismic activity and </w:t>
      </w:r>
      <w:r w:rsidRPr="0055628F">
        <w:t>S</w:t>
      </w:r>
      <w:r w:rsidRPr="00EC4DDF">
        <w:rPr>
          <w:vertAlign w:val="subscript"/>
        </w:rPr>
        <w:t>EFF</w:t>
      </w:r>
      <w:r w:rsidRPr="001A513B">
        <w:rPr>
          <w:lang w:val="en-GB"/>
        </w:rPr>
        <w:t xml:space="preserve"> </w:t>
      </w:r>
      <w:r w:rsidR="00787A03">
        <w:rPr>
          <w:lang w:val="en-GB"/>
        </w:rPr>
        <w:t>may be</w:t>
      </w:r>
      <w:r w:rsidRPr="001A513B">
        <w:rPr>
          <w:lang w:val="en-GB"/>
        </w:rPr>
        <w:t xml:space="preserve"> averaged with </w:t>
      </w:r>
      <w:r w:rsidR="00787A03">
        <w:rPr>
          <w:lang w:val="en-GB"/>
        </w:rPr>
        <w:t>adjacent</w:t>
      </w:r>
      <w:r w:rsidRPr="001A513B">
        <w:rPr>
          <w:lang w:val="en-GB"/>
        </w:rPr>
        <w:t xml:space="preserve"> areas </w:t>
      </w:r>
      <w:r w:rsidR="00787A03">
        <w:rPr>
          <w:lang w:val="en-GB"/>
        </w:rPr>
        <w:t>that have</w:t>
      </w:r>
      <w:r w:rsidRPr="001A513B">
        <w:rPr>
          <w:lang w:val="en-GB"/>
        </w:rPr>
        <w:t xml:space="preserve"> lower </w:t>
      </w:r>
      <w:r w:rsidRPr="0055628F">
        <w:t>S</w:t>
      </w:r>
      <w:r w:rsidRPr="00EC4DDF">
        <w:rPr>
          <w:vertAlign w:val="subscript"/>
        </w:rPr>
        <w:t>EFF</w:t>
      </w:r>
      <w:r w:rsidRPr="001A513B">
        <w:rPr>
          <w:lang w:val="en-GB"/>
        </w:rPr>
        <w:t>.</w:t>
      </w:r>
    </w:p>
    <w:p w14:paraId="5508C1E8" w14:textId="4C03B1E8" w:rsidR="00787A03" w:rsidRDefault="00787A03" w:rsidP="00F236B9">
      <w:pPr>
        <w:rPr>
          <w:lang w:val="en-GB"/>
        </w:rPr>
      </w:pPr>
    </w:p>
    <w:p w14:paraId="44CCECD8" w14:textId="59C305BB" w:rsidR="00787A03" w:rsidRDefault="00787A03" w:rsidP="00F236B9">
      <w:pPr>
        <w:rPr>
          <w:lang w:val="en-US"/>
        </w:rPr>
      </w:pPr>
      <w:r w:rsidRPr="00CE5E65">
        <w:rPr>
          <w:b/>
          <w:bCs/>
          <w:lang w:val="en-GB"/>
        </w:rPr>
        <w:t>Figure S3</w:t>
      </w:r>
      <w:r>
        <w:rPr>
          <w:lang w:val="en-GB"/>
        </w:rPr>
        <w:t xml:space="preserve"> </w:t>
      </w:r>
      <w:r>
        <w:t>shows the S</w:t>
      </w:r>
      <w:r w:rsidRPr="007E4D78">
        <w:rPr>
          <w:vertAlign w:val="subscript"/>
        </w:rPr>
        <w:t>EFF</w:t>
      </w:r>
      <w:r>
        <w:t xml:space="preserve"> calculated for unit area</w:t>
      </w:r>
      <w:r w:rsidR="00806E8C">
        <w:t>s</w:t>
      </w:r>
      <w:r>
        <w:t xml:space="preserve"> </w:t>
      </w:r>
      <w:r w:rsidRPr="00691FAF">
        <w:rPr>
          <w:lang w:val="en-US"/>
        </w:rPr>
        <w:t>of 0.2° in Longitude by 0.1° in Latitude</w:t>
      </w:r>
      <w:r>
        <w:rPr>
          <w:lang w:val="en-US"/>
        </w:rPr>
        <w:t xml:space="preserve">, shifted by half-size of each unit area (i.e., </w:t>
      </w:r>
      <w:r w:rsidRPr="00691FAF">
        <w:rPr>
          <w:lang w:val="en-US"/>
        </w:rPr>
        <w:t>0.</w:t>
      </w:r>
      <w:r>
        <w:rPr>
          <w:lang w:val="en-US"/>
        </w:rPr>
        <w:t>1</w:t>
      </w:r>
      <w:r w:rsidRPr="00691FAF">
        <w:rPr>
          <w:lang w:val="en-US"/>
        </w:rPr>
        <w:t>° in Longitude by 0.</w:t>
      </w:r>
      <w:r>
        <w:rPr>
          <w:lang w:val="en-US"/>
        </w:rPr>
        <w:t>05</w:t>
      </w:r>
      <w:r w:rsidRPr="00691FAF">
        <w:rPr>
          <w:lang w:val="en-US"/>
        </w:rPr>
        <w:t>° in Latitude</w:t>
      </w:r>
      <w:r>
        <w:rPr>
          <w:lang w:val="en-US"/>
        </w:rPr>
        <w:t xml:space="preserve">) from the areas shown in Figure </w:t>
      </w:r>
      <w:r w:rsidR="00806E8C">
        <w:rPr>
          <w:lang w:val="en-US"/>
        </w:rPr>
        <w:t>4</w:t>
      </w:r>
      <w:r>
        <w:rPr>
          <w:lang w:val="en-US"/>
        </w:rPr>
        <w:t xml:space="preserve">. </w:t>
      </w:r>
    </w:p>
    <w:p w14:paraId="30CDFEFF" w14:textId="77777777" w:rsidR="0076789E" w:rsidRDefault="0076789E" w:rsidP="00F236B9">
      <w:pPr>
        <w:rPr>
          <w:lang w:val="en-US"/>
        </w:rPr>
      </w:pPr>
    </w:p>
    <w:p w14:paraId="3FD165B0" w14:textId="1B261FE1" w:rsidR="00145F48" w:rsidRPr="00B95331" w:rsidRDefault="00806E8C" w:rsidP="00806E8C">
      <w:r w:rsidRPr="00CE5E65">
        <w:rPr>
          <w:b/>
          <w:bCs/>
          <w:lang w:val="en-GB"/>
        </w:rPr>
        <w:t>Figure S</w:t>
      </w:r>
      <w:r>
        <w:rPr>
          <w:b/>
          <w:bCs/>
          <w:lang w:val="en-GB"/>
        </w:rPr>
        <w:t xml:space="preserve">4 </w:t>
      </w:r>
      <w:r>
        <w:rPr>
          <w:lang w:val="en-GB"/>
        </w:rPr>
        <w:t xml:space="preserve">shows the results produced by the grids shown in Figures S2 – S3. In </w:t>
      </w:r>
      <w:r w:rsidR="001B2E42">
        <w:rPr>
          <w:lang w:val="en-GB"/>
        </w:rPr>
        <w:t>(</w:t>
      </w:r>
      <w:r>
        <w:rPr>
          <w:lang w:val="en-GB"/>
        </w:rPr>
        <w:t xml:space="preserve">a) we show the </w:t>
      </w:r>
      <w:r>
        <w:t>r</w:t>
      </w:r>
      <w:r w:rsidRPr="00B7202C">
        <w:t>esponse path</w:t>
      </w:r>
      <w:r>
        <w:t>s</w:t>
      </w:r>
      <w:r w:rsidRPr="00B7202C">
        <w:t xml:space="preserve"> </w:t>
      </w:r>
      <w:r w:rsidR="00145F48">
        <w:t>(ΣM</w:t>
      </w:r>
      <w:r w:rsidR="00145F48" w:rsidRPr="00145F48">
        <w:rPr>
          <w:vertAlign w:val="subscript"/>
        </w:rPr>
        <w:t>O</w:t>
      </w:r>
      <w:r w:rsidR="00145F48">
        <w:t xml:space="preserve"> vs ΔV), and in </w:t>
      </w:r>
      <w:r w:rsidR="001B2E42">
        <w:t>(</w:t>
      </w:r>
      <w:r w:rsidR="00145F48">
        <w:t>b) we show the evolution of S</w:t>
      </w:r>
      <w:r w:rsidR="00145F48">
        <w:rPr>
          <w:vertAlign w:val="subscript"/>
        </w:rPr>
        <w:t>EFF</w:t>
      </w:r>
      <w:r w:rsidR="00145F48">
        <w:t xml:space="preserve"> for the </w:t>
      </w:r>
      <w:r w:rsidR="00145F48" w:rsidRPr="00B7202C">
        <w:t>0</w:t>
      </w:r>
      <w:r w:rsidR="00145F48" w:rsidRPr="00B7202C">
        <w:rPr>
          <w:lang w:val="en-US"/>
        </w:rPr>
        <w:t xml:space="preserve">.2° </w:t>
      </w:r>
      <w:r w:rsidR="00145F48">
        <w:rPr>
          <w:lang w:val="en-US"/>
        </w:rPr>
        <w:t>x</w:t>
      </w:r>
      <w:r w:rsidR="00145F48" w:rsidRPr="00B7202C">
        <w:rPr>
          <w:lang w:val="en-US"/>
        </w:rPr>
        <w:t xml:space="preserve"> 0.1°</w:t>
      </w:r>
      <w:r w:rsidR="00145F48">
        <w:rPr>
          <w:lang w:val="en-US"/>
        </w:rPr>
        <w:t xml:space="preserve"> </w:t>
      </w:r>
      <w:r w:rsidR="001B2E42">
        <w:rPr>
          <w:lang w:val="en-US"/>
        </w:rPr>
        <w:t xml:space="preserve">grid blocks as per Figure 4. In (c) and (d) we show the equivalent response for the larger </w:t>
      </w:r>
      <w:r w:rsidR="001B2E42" w:rsidRPr="00B7202C">
        <w:t>0</w:t>
      </w:r>
      <w:r w:rsidR="001B2E42" w:rsidRPr="00B7202C">
        <w:rPr>
          <w:lang w:val="en-US"/>
        </w:rPr>
        <w:t>.</w:t>
      </w:r>
      <w:r w:rsidR="001B2E42">
        <w:rPr>
          <w:lang w:val="en-US"/>
        </w:rPr>
        <w:t>4</w:t>
      </w:r>
      <w:r w:rsidR="001B2E42" w:rsidRPr="00B7202C">
        <w:rPr>
          <w:lang w:val="en-US"/>
        </w:rPr>
        <w:t xml:space="preserve">° </w:t>
      </w:r>
      <w:r w:rsidR="001B2E42">
        <w:rPr>
          <w:lang w:val="en-US"/>
        </w:rPr>
        <w:t>x</w:t>
      </w:r>
      <w:r w:rsidR="001B2E42" w:rsidRPr="00B7202C">
        <w:rPr>
          <w:lang w:val="en-US"/>
        </w:rPr>
        <w:t xml:space="preserve"> 0.</w:t>
      </w:r>
      <w:r w:rsidR="001B2E42">
        <w:rPr>
          <w:lang w:val="en-US"/>
        </w:rPr>
        <w:t>2</w:t>
      </w:r>
      <w:r w:rsidR="001B2E42" w:rsidRPr="00B7202C">
        <w:rPr>
          <w:lang w:val="en-US"/>
        </w:rPr>
        <w:t>°</w:t>
      </w:r>
      <w:r w:rsidR="001B2E42">
        <w:rPr>
          <w:lang w:val="en-US"/>
        </w:rPr>
        <w:t xml:space="preserve"> blocks shown in Figure S2, and in (e) and (f) we show the equivalent response for</w:t>
      </w:r>
      <w:r w:rsidR="00B95331">
        <w:rPr>
          <w:lang w:val="en-US"/>
        </w:rPr>
        <w:t xml:space="preserve"> the shifted </w:t>
      </w:r>
      <w:r w:rsidR="00B95331" w:rsidRPr="00B7202C">
        <w:t>0</w:t>
      </w:r>
      <w:r w:rsidR="00B95331" w:rsidRPr="00B7202C">
        <w:rPr>
          <w:lang w:val="en-US"/>
        </w:rPr>
        <w:t xml:space="preserve">.2° </w:t>
      </w:r>
      <w:r w:rsidR="00B95331">
        <w:rPr>
          <w:lang w:val="en-US"/>
        </w:rPr>
        <w:t>x</w:t>
      </w:r>
      <w:r w:rsidR="00B95331" w:rsidRPr="00B7202C">
        <w:rPr>
          <w:lang w:val="en-US"/>
        </w:rPr>
        <w:t xml:space="preserve"> 0.1°</w:t>
      </w:r>
      <w:r w:rsidR="00B95331">
        <w:rPr>
          <w:lang w:val="en-US"/>
        </w:rPr>
        <w:t xml:space="preserve"> grid blocks shown in Figure S3. In each case, we observe </w:t>
      </w:r>
      <w:proofErr w:type="spellStart"/>
      <w:r w:rsidR="00B95331">
        <w:rPr>
          <w:lang w:val="en-US"/>
        </w:rPr>
        <w:t>behaviour</w:t>
      </w:r>
      <w:proofErr w:type="spellEnd"/>
      <w:r w:rsidR="00B95331">
        <w:rPr>
          <w:lang w:val="en-US"/>
        </w:rPr>
        <w:t xml:space="preserve"> that is consistent with the observations presented in the main article: that in some grid blocks S</w:t>
      </w:r>
      <w:r w:rsidR="00B95331">
        <w:rPr>
          <w:vertAlign w:val="subscript"/>
          <w:lang w:val="en-US"/>
        </w:rPr>
        <w:t>EFF</w:t>
      </w:r>
      <w:r w:rsidR="00B95331">
        <w:rPr>
          <w:lang w:val="en-US"/>
        </w:rPr>
        <w:t xml:space="preserve"> values are initially high, but these values decrease as injection persists. </w:t>
      </w:r>
    </w:p>
    <w:p w14:paraId="56EE1C14" w14:textId="77777777" w:rsidR="00145F48" w:rsidRDefault="00145F48" w:rsidP="00806E8C"/>
    <w:p w14:paraId="7E0A5372" w14:textId="60DD1F16" w:rsidR="00B95331" w:rsidRPr="003A3C8F" w:rsidRDefault="00B95331" w:rsidP="00B95331">
      <w:r>
        <w:rPr>
          <w:b/>
          <w:bCs/>
        </w:rPr>
        <w:t>Runaway rupture cases</w:t>
      </w:r>
    </w:p>
    <w:p w14:paraId="2DE051E7" w14:textId="2E42E80F" w:rsidR="00562DAF" w:rsidRPr="00364DC2" w:rsidRDefault="00562DAF" w:rsidP="00562DAF">
      <w:r w:rsidRPr="00562DAF">
        <w:rPr>
          <w:b/>
          <w:bCs/>
          <w:lang w:val="en-US"/>
        </w:rPr>
        <w:t>Figures S5 to S18</w:t>
      </w:r>
      <w:r>
        <w:rPr>
          <w:lang w:val="en-US"/>
        </w:rPr>
        <w:t xml:space="preserve"> </w:t>
      </w:r>
      <w:r w:rsidR="00364DC2">
        <w:rPr>
          <w:lang w:val="en-US"/>
        </w:rPr>
        <w:t xml:space="preserve">show the </w:t>
      </w:r>
      <w:r>
        <w:rPr>
          <w:lang w:val="en-GB"/>
        </w:rPr>
        <w:t xml:space="preserve">14 </w:t>
      </w:r>
      <w:r w:rsidR="00364DC2">
        <w:rPr>
          <w:lang w:val="en-GB"/>
        </w:rPr>
        <w:t>grid blocks in which runaway rupture,</w:t>
      </w:r>
      <w:r w:rsidR="00364DC2">
        <w:t xml:space="preserve"> </w:t>
      </w:r>
      <w:r>
        <w:t xml:space="preserve">i.e., areas with </w:t>
      </w:r>
      <w:r w:rsidRPr="0055628F">
        <w:t>S</w:t>
      </w:r>
      <w:r w:rsidRPr="00EC4DDF">
        <w:rPr>
          <w:vertAlign w:val="subscript"/>
        </w:rPr>
        <w:t>EFF</w:t>
      </w:r>
      <w:r>
        <w:t xml:space="preserve"> higher than 0.5 at any moment</w:t>
      </w:r>
      <w:r w:rsidR="0027738A">
        <w:t>, has been observed.</w:t>
      </w:r>
      <w:r>
        <w:t xml:space="preserve"> </w:t>
      </w:r>
      <w:r w:rsidR="0027738A">
        <w:t>The format of these figures is</w:t>
      </w:r>
      <w:r>
        <w:t xml:space="preserve"> described in Figure</w:t>
      </w:r>
      <w:r w:rsidR="0027738A">
        <w:t>s</w:t>
      </w:r>
      <w:r>
        <w:t xml:space="preserve"> 4 and</w:t>
      </w:r>
      <w:r w:rsidR="0027738A">
        <w:t xml:space="preserve"> 5</w:t>
      </w:r>
      <w:r>
        <w:t xml:space="preserve">. </w:t>
      </w:r>
      <w:r w:rsidRPr="001D783D">
        <w:t xml:space="preserve">All </w:t>
      </w:r>
      <w:proofErr w:type="spellStart"/>
      <w:r w:rsidRPr="001D783D">
        <w:t>geoLOGIC</w:t>
      </w:r>
      <w:proofErr w:type="spellEnd"/>
      <w:r w:rsidRPr="001D783D">
        <w:t xml:space="preserve"> systems ltd. data and software is copyright 2022</w:t>
      </w:r>
      <w:r>
        <w:rPr>
          <w:lang w:val="en-GB"/>
        </w:rPr>
        <w:t>.</w:t>
      </w:r>
    </w:p>
    <w:p w14:paraId="5649550C" w14:textId="77777777" w:rsidR="00CE5E65" w:rsidRPr="00682008" w:rsidRDefault="00CE5E65" w:rsidP="00682008">
      <w:pPr>
        <w:rPr>
          <w:lang w:val="en-GB"/>
        </w:rPr>
      </w:pPr>
    </w:p>
    <w:sdt>
      <w:sdtPr>
        <w:rPr>
          <w:rFonts w:eastAsiaTheme="minorHAnsi" w:cstheme="minorBidi"/>
          <w:b w:val="0"/>
          <w:szCs w:val="24"/>
          <w:lang w:val="en-CA"/>
        </w:rPr>
        <w:id w:val="65314022"/>
        <w:docPartObj>
          <w:docPartGallery w:val="Bibliographies"/>
          <w:docPartUnique/>
        </w:docPartObj>
      </w:sdtPr>
      <w:sdtEndPr/>
      <w:sdtContent>
        <w:p w14:paraId="6AFC399A" w14:textId="0649F2E8" w:rsidR="000F4A7C" w:rsidRDefault="000F4A7C" w:rsidP="0075228D">
          <w:pPr>
            <w:pStyle w:val="Heading1"/>
            <w:spacing w:line="240" w:lineRule="auto"/>
          </w:pPr>
          <w:r>
            <w:t>References</w:t>
          </w:r>
          <w:r w:rsidR="00EC4DDF">
            <w:t xml:space="preserve"> of the Supplementary Material</w:t>
          </w:r>
        </w:p>
        <w:sdt>
          <w:sdtPr>
            <w:id w:val="-573587230"/>
            <w:bibliography/>
          </w:sdtPr>
          <w:sdtEndPr/>
          <w:sdtContent>
            <w:p w14:paraId="0582F2D8" w14:textId="77777777" w:rsidR="002E429E" w:rsidRDefault="000F4A7C" w:rsidP="00FA670F">
              <w:pPr>
                <w:rPr>
                  <w:noProof/>
                  <w:sz w:val="22"/>
                  <w:szCs w:val="22"/>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9016"/>
              </w:tblGrid>
              <w:tr w:rsidR="002E429E" w14:paraId="4EE4D116" w14:textId="77777777">
                <w:trPr>
                  <w:divId w:val="858348713"/>
                  <w:tblCellSpacing w:w="15" w:type="dxa"/>
                </w:trPr>
                <w:tc>
                  <w:tcPr>
                    <w:tcW w:w="50" w:type="pct"/>
                    <w:hideMark/>
                  </w:tcPr>
                  <w:p w14:paraId="747FC1FC" w14:textId="76BE81B5" w:rsidR="002E429E" w:rsidRDefault="002E429E">
                    <w:pPr>
                      <w:pStyle w:val="Bibliography"/>
                      <w:rPr>
                        <w:noProof/>
                        <w:lang w:val="en-US"/>
                      </w:rPr>
                    </w:pPr>
                    <w:r>
                      <w:rPr>
                        <w:noProof/>
                        <w:lang w:val="en-US"/>
                      </w:rPr>
                      <w:t xml:space="preserve">[1] </w:t>
                    </w:r>
                  </w:p>
                </w:tc>
                <w:tc>
                  <w:tcPr>
                    <w:tcW w:w="0" w:type="auto"/>
                    <w:hideMark/>
                  </w:tcPr>
                  <w:p w14:paraId="6441E46B" w14:textId="77777777" w:rsidR="002E429E" w:rsidRDefault="002E429E">
                    <w:pPr>
                      <w:pStyle w:val="Bibliography"/>
                      <w:rPr>
                        <w:noProof/>
                        <w:lang w:val="en-US"/>
                      </w:rPr>
                    </w:pPr>
                    <w:r>
                      <w:rPr>
                        <w:noProof/>
                        <w:lang w:val="en-US"/>
                      </w:rPr>
                      <w:t xml:space="preserve">K. Aki, "Maximum likelihood estimate of b in the formula logN=a-bM and its confidence limits.," </w:t>
                    </w:r>
                    <w:r>
                      <w:rPr>
                        <w:i/>
                        <w:iCs/>
                        <w:noProof/>
                        <w:lang w:val="en-US"/>
                      </w:rPr>
                      <w:t xml:space="preserve">Bulletin of the Earthquake Research Institute, </w:t>
                    </w:r>
                    <w:r>
                      <w:rPr>
                        <w:noProof/>
                        <w:lang w:val="en-US"/>
                      </w:rPr>
                      <w:t xml:space="preserve">vol. 43, p. 237–239, 1965. </w:t>
                    </w:r>
                  </w:p>
                </w:tc>
              </w:tr>
              <w:tr w:rsidR="002E429E" w14:paraId="38534488" w14:textId="77777777">
                <w:trPr>
                  <w:divId w:val="858348713"/>
                  <w:tblCellSpacing w:w="15" w:type="dxa"/>
                </w:trPr>
                <w:tc>
                  <w:tcPr>
                    <w:tcW w:w="50" w:type="pct"/>
                    <w:hideMark/>
                  </w:tcPr>
                  <w:p w14:paraId="3B360844" w14:textId="77777777" w:rsidR="002E429E" w:rsidRDefault="002E429E">
                    <w:pPr>
                      <w:pStyle w:val="Bibliography"/>
                      <w:rPr>
                        <w:noProof/>
                        <w:lang w:val="en-US"/>
                      </w:rPr>
                    </w:pPr>
                    <w:r>
                      <w:rPr>
                        <w:noProof/>
                        <w:lang w:val="en-US"/>
                      </w:rPr>
                      <w:lastRenderedPageBreak/>
                      <w:t xml:space="preserve">[2] </w:t>
                    </w:r>
                  </w:p>
                </w:tc>
                <w:tc>
                  <w:tcPr>
                    <w:tcW w:w="0" w:type="auto"/>
                    <w:hideMark/>
                  </w:tcPr>
                  <w:p w14:paraId="22E7F94A" w14:textId="77777777" w:rsidR="002E429E" w:rsidRDefault="002E429E">
                    <w:pPr>
                      <w:pStyle w:val="Bibliography"/>
                      <w:rPr>
                        <w:noProof/>
                        <w:lang w:val="en-US"/>
                      </w:rPr>
                    </w:pPr>
                    <w:r>
                      <w:rPr>
                        <w:noProof/>
                        <w:lang w:val="en-US"/>
                      </w:rPr>
                      <w:t xml:space="preserve">J. E. Lund Snee and M. D. Zoback, "Multiscale variations of the crustal stress field throughout North America," </w:t>
                    </w:r>
                    <w:r>
                      <w:rPr>
                        <w:i/>
                        <w:iCs/>
                        <w:noProof/>
                        <w:lang w:val="en-US"/>
                      </w:rPr>
                      <w:t xml:space="preserve">Nature Communications, </w:t>
                    </w:r>
                    <w:r>
                      <w:rPr>
                        <w:noProof/>
                        <w:lang w:val="en-US"/>
                      </w:rPr>
                      <w:t xml:space="preserve">vol. 11, no. 1951, 2020. </w:t>
                    </w:r>
                  </w:p>
                </w:tc>
              </w:tr>
              <w:tr w:rsidR="002E429E" w14:paraId="65B2F689" w14:textId="77777777">
                <w:trPr>
                  <w:divId w:val="858348713"/>
                  <w:tblCellSpacing w:w="15" w:type="dxa"/>
                </w:trPr>
                <w:tc>
                  <w:tcPr>
                    <w:tcW w:w="50" w:type="pct"/>
                    <w:hideMark/>
                  </w:tcPr>
                  <w:p w14:paraId="6D78D52B" w14:textId="77777777" w:rsidR="002E429E" w:rsidRDefault="002E429E">
                    <w:pPr>
                      <w:pStyle w:val="Bibliography"/>
                      <w:rPr>
                        <w:noProof/>
                        <w:lang w:val="en-US"/>
                      </w:rPr>
                    </w:pPr>
                    <w:r>
                      <w:rPr>
                        <w:noProof/>
                        <w:lang w:val="en-US"/>
                      </w:rPr>
                      <w:t xml:space="preserve">[3] </w:t>
                    </w:r>
                  </w:p>
                </w:tc>
                <w:tc>
                  <w:tcPr>
                    <w:tcW w:w="0" w:type="auto"/>
                    <w:hideMark/>
                  </w:tcPr>
                  <w:p w14:paraId="4F96C290" w14:textId="77777777" w:rsidR="002E429E" w:rsidRDefault="002E429E">
                    <w:pPr>
                      <w:pStyle w:val="Bibliography"/>
                      <w:rPr>
                        <w:noProof/>
                        <w:lang w:val="en-US"/>
                      </w:rPr>
                    </w:pPr>
                    <w:r>
                      <w:rPr>
                        <w:noProof/>
                        <w:lang w:val="en-US"/>
                      </w:rPr>
                      <w:t xml:space="preserve">R. Schultz, G. Atkinson, D. W. Eaton, Y. J. Gu and H. Kao, "Hydraulic fracturing volume is associated with induced earthquake productivity in the Duvernay play," </w:t>
                    </w:r>
                    <w:r>
                      <w:rPr>
                        <w:i/>
                        <w:iCs/>
                        <w:noProof/>
                        <w:lang w:val="en-US"/>
                      </w:rPr>
                      <w:t xml:space="preserve">Science, </w:t>
                    </w:r>
                    <w:r>
                      <w:rPr>
                        <w:noProof/>
                        <w:lang w:val="en-US"/>
                      </w:rPr>
                      <w:t xml:space="preserve">vol. 359, pp. 304-308, 2018. </w:t>
                    </w:r>
                  </w:p>
                </w:tc>
              </w:tr>
              <w:tr w:rsidR="002E429E" w14:paraId="3D6B634B" w14:textId="77777777">
                <w:trPr>
                  <w:divId w:val="858348713"/>
                  <w:tblCellSpacing w:w="15" w:type="dxa"/>
                </w:trPr>
                <w:tc>
                  <w:tcPr>
                    <w:tcW w:w="50" w:type="pct"/>
                    <w:hideMark/>
                  </w:tcPr>
                  <w:p w14:paraId="1DA8D903" w14:textId="77777777" w:rsidR="002E429E" w:rsidRDefault="002E429E">
                    <w:pPr>
                      <w:pStyle w:val="Bibliography"/>
                      <w:rPr>
                        <w:noProof/>
                        <w:lang w:val="en-US"/>
                      </w:rPr>
                    </w:pPr>
                    <w:r>
                      <w:rPr>
                        <w:noProof/>
                        <w:lang w:val="en-US"/>
                      </w:rPr>
                      <w:t xml:space="preserve">[4] </w:t>
                    </w:r>
                  </w:p>
                </w:tc>
                <w:tc>
                  <w:tcPr>
                    <w:tcW w:w="0" w:type="auto"/>
                    <w:hideMark/>
                  </w:tcPr>
                  <w:p w14:paraId="719A0980" w14:textId="77777777" w:rsidR="002E429E" w:rsidRDefault="002E429E">
                    <w:pPr>
                      <w:pStyle w:val="Bibliography"/>
                      <w:rPr>
                        <w:noProof/>
                        <w:lang w:val="en-US"/>
                      </w:rPr>
                    </w:pPr>
                    <w:r>
                      <w:rPr>
                        <w:noProof/>
                        <w:lang w:val="en-US"/>
                      </w:rPr>
                      <w:t xml:space="preserve">R. Schultz, V. Stern, Y. J. Gu and D. Eaton, "Detection Threshold and Location Resolution of the Alberta Geological Survey Earthquake Catalogue," </w:t>
                    </w:r>
                    <w:r>
                      <w:rPr>
                        <w:i/>
                        <w:iCs/>
                        <w:noProof/>
                        <w:lang w:val="en-US"/>
                      </w:rPr>
                      <w:t xml:space="preserve">Seismological Research Letters, </w:t>
                    </w:r>
                    <w:r>
                      <w:rPr>
                        <w:noProof/>
                        <w:lang w:val="en-US"/>
                      </w:rPr>
                      <w:t xml:space="preserve">vol. 86, no. 2A, p. 385–397. https://doi.org/10.1785/0220140203, 2015. </w:t>
                    </w:r>
                  </w:p>
                </w:tc>
              </w:tr>
            </w:tbl>
            <w:p w14:paraId="5BCD0E62" w14:textId="77777777" w:rsidR="002E429E" w:rsidRDefault="002E429E">
              <w:pPr>
                <w:divId w:val="858348713"/>
                <w:rPr>
                  <w:rFonts w:eastAsia="Times New Roman"/>
                  <w:noProof/>
                </w:rPr>
              </w:pPr>
            </w:p>
            <w:p w14:paraId="6E7D56EC" w14:textId="1294327D" w:rsidR="00DD67C9" w:rsidRDefault="000F4A7C" w:rsidP="00FA670F">
              <w:r>
                <w:rPr>
                  <w:b/>
                  <w:bCs/>
                  <w:noProof/>
                </w:rPr>
                <w:fldChar w:fldCharType="end"/>
              </w:r>
            </w:p>
          </w:sdtContent>
        </w:sdt>
      </w:sdtContent>
    </w:sdt>
    <w:sectPr w:rsidR="00DD6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CB"/>
    <w:rsid w:val="0001049D"/>
    <w:rsid w:val="00025FBB"/>
    <w:rsid w:val="00031785"/>
    <w:rsid w:val="0005317C"/>
    <w:rsid w:val="00061337"/>
    <w:rsid w:val="000A7CB1"/>
    <w:rsid w:val="000F4A7C"/>
    <w:rsid w:val="00101837"/>
    <w:rsid w:val="0010418F"/>
    <w:rsid w:val="0013322F"/>
    <w:rsid w:val="0013563B"/>
    <w:rsid w:val="00145F48"/>
    <w:rsid w:val="00165046"/>
    <w:rsid w:val="00182C47"/>
    <w:rsid w:val="001A4EBD"/>
    <w:rsid w:val="001A513B"/>
    <w:rsid w:val="001B2E42"/>
    <w:rsid w:val="001D0C39"/>
    <w:rsid w:val="001E6251"/>
    <w:rsid w:val="002400E4"/>
    <w:rsid w:val="0024085D"/>
    <w:rsid w:val="0025142C"/>
    <w:rsid w:val="0027738A"/>
    <w:rsid w:val="00292691"/>
    <w:rsid w:val="002E429E"/>
    <w:rsid w:val="00364DC2"/>
    <w:rsid w:val="0038102C"/>
    <w:rsid w:val="003D5B6F"/>
    <w:rsid w:val="004512CB"/>
    <w:rsid w:val="00504423"/>
    <w:rsid w:val="0055628F"/>
    <w:rsid w:val="00562DAF"/>
    <w:rsid w:val="005715B5"/>
    <w:rsid w:val="005D3604"/>
    <w:rsid w:val="005F3C23"/>
    <w:rsid w:val="00621559"/>
    <w:rsid w:val="006772A7"/>
    <w:rsid w:val="00682008"/>
    <w:rsid w:val="006D3AFD"/>
    <w:rsid w:val="0075228D"/>
    <w:rsid w:val="0076789E"/>
    <w:rsid w:val="00767D79"/>
    <w:rsid w:val="00787A03"/>
    <w:rsid w:val="00806E8C"/>
    <w:rsid w:val="008D356F"/>
    <w:rsid w:val="008F4F53"/>
    <w:rsid w:val="00937CE0"/>
    <w:rsid w:val="00952DF8"/>
    <w:rsid w:val="0095345C"/>
    <w:rsid w:val="009E0FFF"/>
    <w:rsid w:val="00A30FA8"/>
    <w:rsid w:val="00B0078E"/>
    <w:rsid w:val="00B24B28"/>
    <w:rsid w:val="00B26998"/>
    <w:rsid w:val="00B44228"/>
    <w:rsid w:val="00B52BDC"/>
    <w:rsid w:val="00B7202C"/>
    <w:rsid w:val="00B74F01"/>
    <w:rsid w:val="00B95331"/>
    <w:rsid w:val="00C1448E"/>
    <w:rsid w:val="00C37173"/>
    <w:rsid w:val="00C4574A"/>
    <w:rsid w:val="00C52C4C"/>
    <w:rsid w:val="00C94D93"/>
    <w:rsid w:val="00CB075D"/>
    <w:rsid w:val="00CD0131"/>
    <w:rsid w:val="00CE1E3C"/>
    <w:rsid w:val="00CE5E65"/>
    <w:rsid w:val="00CF0DF4"/>
    <w:rsid w:val="00D1057D"/>
    <w:rsid w:val="00D75697"/>
    <w:rsid w:val="00DA0572"/>
    <w:rsid w:val="00DA11BB"/>
    <w:rsid w:val="00DC0724"/>
    <w:rsid w:val="00DD67C9"/>
    <w:rsid w:val="00DF2416"/>
    <w:rsid w:val="00E54DA2"/>
    <w:rsid w:val="00E94ED0"/>
    <w:rsid w:val="00EC4DDF"/>
    <w:rsid w:val="00EF50F3"/>
    <w:rsid w:val="00F236B9"/>
    <w:rsid w:val="00F41570"/>
    <w:rsid w:val="00F43F92"/>
    <w:rsid w:val="00F46F17"/>
    <w:rsid w:val="00FA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AB0DC"/>
  <w15:chartTrackingRefBased/>
  <w15:docId w15:val="{6050267E-F655-4357-A64E-37DF93AF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2CB"/>
    <w:pPr>
      <w:spacing w:after="0" w:line="240" w:lineRule="auto"/>
      <w:jc w:val="both"/>
    </w:pPr>
    <w:rPr>
      <w:sz w:val="24"/>
      <w:szCs w:val="24"/>
      <w:lang w:val="en-CA"/>
    </w:rPr>
  </w:style>
  <w:style w:type="paragraph" w:styleId="Heading1">
    <w:name w:val="heading 1"/>
    <w:basedOn w:val="Normal"/>
    <w:next w:val="Normal"/>
    <w:link w:val="Heading1Char"/>
    <w:uiPriority w:val="9"/>
    <w:qFormat/>
    <w:rsid w:val="000F4A7C"/>
    <w:pPr>
      <w:keepNext/>
      <w:keepLines/>
      <w:spacing w:before="240" w:line="259" w:lineRule="auto"/>
      <w:jc w:val="left"/>
      <w:outlineLvl w:val="0"/>
    </w:pPr>
    <w:rPr>
      <w:rFonts w:eastAsiaTheme="majorEastAsia" w:cstheme="majorBidi"/>
      <w:b/>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67C9"/>
    <w:rPr>
      <w:color w:val="808080"/>
    </w:rPr>
  </w:style>
  <w:style w:type="character" w:customStyle="1" w:styleId="Heading1Char">
    <w:name w:val="Heading 1 Char"/>
    <w:basedOn w:val="DefaultParagraphFont"/>
    <w:link w:val="Heading1"/>
    <w:uiPriority w:val="9"/>
    <w:rsid w:val="000F4A7C"/>
    <w:rPr>
      <w:rFonts w:eastAsiaTheme="majorEastAsia" w:cstheme="majorBidi"/>
      <w:b/>
      <w:sz w:val="24"/>
      <w:szCs w:val="32"/>
    </w:rPr>
  </w:style>
  <w:style w:type="paragraph" w:styleId="Bibliography">
    <w:name w:val="Bibliography"/>
    <w:basedOn w:val="Normal"/>
    <w:next w:val="Normal"/>
    <w:uiPriority w:val="37"/>
    <w:unhideWhenUsed/>
    <w:rsid w:val="000F4A7C"/>
  </w:style>
  <w:style w:type="paragraph" w:styleId="Caption">
    <w:name w:val="caption"/>
    <w:basedOn w:val="Normal"/>
    <w:next w:val="Normal"/>
    <w:uiPriority w:val="35"/>
    <w:unhideWhenUsed/>
    <w:qFormat/>
    <w:rsid w:val="0075228D"/>
    <w:pPr>
      <w:spacing w:after="200"/>
      <w:jc w:val="left"/>
    </w:pPr>
    <w:rPr>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4564">
      <w:bodyDiv w:val="1"/>
      <w:marLeft w:val="0"/>
      <w:marRight w:val="0"/>
      <w:marTop w:val="0"/>
      <w:marBottom w:val="0"/>
      <w:divBdr>
        <w:top w:val="none" w:sz="0" w:space="0" w:color="auto"/>
        <w:left w:val="none" w:sz="0" w:space="0" w:color="auto"/>
        <w:bottom w:val="none" w:sz="0" w:space="0" w:color="auto"/>
        <w:right w:val="none" w:sz="0" w:space="0" w:color="auto"/>
      </w:divBdr>
    </w:div>
    <w:div w:id="193620081">
      <w:bodyDiv w:val="1"/>
      <w:marLeft w:val="0"/>
      <w:marRight w:val="0"/>
      <w:marTop w:val="0"/>
      <w:marBottom w:val="0"/>
      <w:divBdr>
        <w:top w:val="none" w:sz="0" w:space="0" w:color="auto"/>
        <w:left w:val="none" w:sz="0" w:space="0" w:color="auto"/>
        <w:bottom w:val="none" w:sz="0" w:space="0" w:color="auto"/>
        <w:right w:val="none" w:sz="0" w:space="0" w:color="auto"/>
      </w:divBdr>
    </w:div>
    <w:div w:id="196092211">
      <w:bodyDiv w:val="1"/>
      <w:marLeft w:val="0"/>
      <w:marRight w:val="0"/>
      <w:marTop w:val="0"/>
      <w:marBottom w:val="0"/>
      <w:divBdr>
        <w:top w:val="none" w:sz="0" w:space="0" w:color="auto"/>
        <w:left w:val="none" w:sz="0" w:space="0" w:color="auto"/>
        <w:bottom w:val="none" w:sz="0" w:space="0" w:color="auto"/>
        <w:right w:val="none" w:sz="0" w:space="0" w:color="auto"/>
      </w:divBdr>
    </w:div>
    <w:div w:id="242688391">
      <w:bodyDiv w:val="1"/>
      <w:marLeft w:val="0"/>
      <w:marRight w:val="0"/>
      <w:marTop w:val="0"/>
      <w:marBottom w:val="0"/>
      <w:divBdr>
        <w:top w:val="none" w:sz="0" w:space="0" w:color="auto"/>
        <w:left w:val="none" w:sz="0" w:space="0" w:color="auto"/>
        <w:bottom w:val="none" w:sz="0" w:space="0" w:color="auto"/>
        <w:right w:val="none" w:sz="0" w:space="0" w:color="auto"/>
      </w:divBdr>
    </w:div>
    <w:div w:id="295836845">
      <w:bodyDiv w:val="1"/>
      <w:marLeft w:val="0"/>
      <w:marRight w:val="0"/>
      <w:marTop w:val="0"/>
      <w:marBottom w:val="0"/>
      <w:divBdr>
        <w:top w:val="none" w:sz="0" w:space="0" w:color="auto"/>
        <w:left w:val="none" w:sz="0" w:space="0" w:color="auto"/>
        <w:bottom w:val="none" w:sz="0" w:space="0" w:color="auto"/>
        <w:right w:val="none" w:sz="0" w:space="0" w:color="auto"/>
      </w:divBdr>
    </w:div>
    <w:div w:id="392124696">
      <w:bodyDiv w:val="1"/>
      <w:marLeft w:val="0"/>
      <w:marRight w:val="0"/>
      <w:marTop w:val="0"/>
      <w:marBottom w:val="0"/>
      <w:divBdr>
        <w:top w:val="none" w:sz="0" w:space="0" w:color="auto"/>
        <w:left w:val="none" w:sz="0" w:space="0" w:color="auto"/>
        <w:bottom w:val="none" w:sz="0" w:space="0" w:color="auto"/>
        <w:right w:val="none" w:sz="0" w:space="0" w:color="auto"/>
      </w:divBdr>
    </w:div>
    <w:div w:id="465315196">
      <w:bodyDiv w:val="1"/>
      <w:marLeft w:val="0"/>
      <w:marRight w:val="0"/>
      <w:marTop w:val="0"/>
      <w:marBottom w:val="0"/>
      <w:divBdr>
        <w:top w:val="none" w:sz="0" w:space="0" w:color="auto"/>
        <w:left w:val="none" w:sz="0" w:space="0" w:color="auto"/>
        <w:bottom w:val="none" w:sz="0" w:space="0" w:color="auto"/>
        <w:right w:val="none" w:sz="0" w:space="0" w:color="auto"/>
      </w:divBdr>
    </w:div>
    <w:div w:id="519856764">
      <w:bodyDiv w:val="1"/>
      <w:marLeft w:val="0"/>
      <w:marRight w:val="0"/>
      <w:marTop w:val="0"/>
      <w:marBottom w:val="0"/>
      <w:divBdr>
        <w:top w:val="none" w:sz="0" w:space="0" w:color="auto"/>
        <w:left w:val="none" w:sz="0" w:space="0" w:color="auto"/>
        <w:bottom w:val="none" w:sz="0" w:space="0" w:color="auto"/>
        <w:right w:val="none" w:sz="0" w:space="0" w:color="auto"/>
      </w:divBdr>
    </w:div>
    <w:div w:id="545682928">
      <w:bodyDiv w:val="1"/>
      <w:marLeft w:val="0"/>
      <w:marRight w:val="0"/>
      <w:marTop w:val="0"/>
      <w:marBottom w:val="0"/>
      <w:divBdr>
        <w:top w:val="none" w:sz="0" w:space="0" w:color="auto"/>
        <w:left w:val="none" w:sz="0" w:space="0" w:color="auto"/>
        <w:bottom w:val="none" w:sz="0" w:space="0" w:color="auto"/>
        <w:right w:val="none" w:sz="0" w:space="0" w:color="auto"/>
      </w:divBdr>
    </w:div>
    <w:div w:id="712777279">
      <w:bodyDiv w:val="1"/>
      <w:marLeft w:val="0"/>
      <w:marRight w:val="0"/>
      <w:marTop w:val="0"/>
      <w:marBottom w:val="0"/>
      <w:divBdr>
        <w:top w:val="none" w:sz="0" w:space="0" w:color="auto"/>
        <w:left w:val="none" w:sz="0" w:space="0" w:color="auto"/>
        <w:bottom w:val="none" w:sz="0" w:space="0" w:color="auto"/>
        <w:right w:val="none" w:sz="0" w:space="0" w:color="auto"/>
      </w:divBdr>
    </w:div>
    <w:div w:id="761681142">
      <w:bodyDiv w:val="1"/>
      <w:marLeft w:val="0"/>
      <w:marRight w:val="0"/>
      <w:marTop w:val="0"/>
      <w:marBottom w:val="0"/>
      <w:divBdr>
        <w:top w:val="none" w:sz="0" w:space="0" w:color="auto"/>
        <w:left w:val="none" w:sz="0" w:space="0" w:color="auto"/>
        <w:bottom w:val="none" w:sz="0" w:space="0" w:color="auto"/>
        <w:right w:val="none" w:sz="0" w:space="0" w:color="auto"/>
      </w:divBdr>
    </w:div>
    <w:div w:id="812450382">
      <w:bodyDiv w:val="1"/>
      <w:marLeft w:val="0"/>
      <w:marRight w:val="0"/>
      <w:marTop w:val="0"/>
      <w:marBottom w:val="0"/>
      <w:divBdr>
        <w:top w:val="none" w:sz="0" w:space="0" w:color="auto"/>
        <w:left w:val="none" w:sz="0" w:space="0" w:color="auto"/>
        <w:bottom w:val="none" w:sz="0" w:space="0" w:color="auto"/>
        <w:right w:val="none" w:sz="0" w:space="0" w:color="auto"/>
      </w:divBdr>
    </w:div>
    <w:div w:id="858348713">
      <w:bodyDiv w:val="1"/>
      <w:marLeft w:val="0"/>
      <w:marRight w:val="0"/>
      <w:marTop w:val="0"/>
      <w:marBottom w:val="0"/>
      <w:divBdr>
        <w:top w:val="none" w:sz="0" w:space="0" w:color="auto"/>
        <w:left w:val="none" w:sz="0" w:space="0" w:color="auto"/>
        <w:bottom w:val="none" w:sz="0" w:space="0" w:color="auto"/>
        <w:right w:val="none" w:sz="0" w:space="0" w:color="auto"/>
      </w:divBdr>
    </w:div>
    <w:div w:id="979767139">
      <w:bodyDiv w:val="1"/>
      <w:marLeft w:val="0"/>
      <w:marRight w:val="0"/>
      <w:marTop w:val="0"/>
      <w:marBottom w:val="0"/>
      <w:divBdr>
        <w:top w:val="none" w:sz="0" w:space="0" w:color="auto"/>
        <w:left w:val="none" w:sz="0" w:space="0" w:color="auto"/>
        <w:bottom w:val="none" w:sz="0" w:space="0" w:color="auto"/>
        <w:right w:val="none" w:sz="0" w:space="0" w:color="auto"/>
      </w:divBdr>
    </w:div>
    <w:div w:id="1149329067">
      <w:bodyDiv w:val="1"/>
      <w:marLeft w:val="0"/>
      <w:marRight w:val="0"/>
      <w:marTop w:val="0"/>
      <w:marBottom w:val="0"/>
      <w:divBdr>
        <w:top w:val="none" w:sz="0" w:space="0" w:color="auto"/>
        <w:left w:val="none" w:sz="0" w:space="0" w:color="auto"/>
        <w:bottom w:val="none" w:sz="0" w:space="0" w:color="auto"/>
        <w:right w:val="none" w:sz="0" w:space="0" w:color="auto"/>
      </w:divBdr>
    </w:div>
    <w:div w:id="1192261486">
      <w:bodyDiv w:val="1"/>
      <w:marLeft w:val="0"/>
      <w:marRight w:val="0"/>
      <w:marTop w:val="0"/>
      <w:marBottom w:val="0"/>
      <w:divBdr>
        <w:top w:val="none" w:sz="0" w:space="0" w:color="auto"/>
        <w:left w:val="none" w:sz="0" w:space="0" w:color="auto"/>
        <w:bottom w:val="none" w:sz="0" w:space="0" w:color="auto"/>
        <w:right w:val="none" w:sz="0" w:space="0" w:color="auto"/>
      </w:divBdr>
    </w:div>
    <w:div w:id="1336766370">
      <w:bodyDiv w:val="1"/>
      <w:marLeft w:val="0"/>
      <w:marRight w:val="0"/>
      <w:marTop w:val="0"/>
      <w:marBottom w:val="0"/>
      <w:divBdr>
        <w:top w:val="none" w:sz="0" w:space="0" w:color="auto"/>
        <w:left w:val="none" w:sz="0" w:space="0" w:color="auto"/>
        <w:bottom w:val="none" w:sz="0" w:space="0" w:color="auto"/>
        <w:right w:val="none" w:sz="0" w:space="0" w:color="auto"/>
      </w:divBdr>
    </w:div>
    <w:div w:id="1496455139">
      <w:bodyDiv w:val="1"/>
      <w:marLeft w:val="0"/>
      <w:marRight w:val="0"/>
      <w:marTop w:val="0"/>
      <w:marBottom w:val="0"/>
      <w:divBdr>
        <w:top w:val="none" w:sz="0" w:space="0" w:color="auto"/>
        <w:left w:val="none" w:sz="0" w:space="0" w:color="auto"/>
        <w:bottom w:val="none" w:sz="0" w:space="0" w:color="auto"/>
        <w:right w:val="none" w:sz="0" w:space="0" w:color="auto"/>
      </w:divBdr>
    </w:div>
    <w:div w:id="1735858137">
      <w:bodyDiv w:val="1"/>
      <w:marLeft w:val="0"/>
      <w:marRight w:val="0"/>
      <w:marTop w:val="0"/>
      <w:marBottom w:val="0"/>
      <w:divBdr>
        <w:top w:val="none" w:sz="0" w:space="0" w:color="auto"/>
        <w:left w:val="none" w:sz="0" w:space="0" w:color="auto"/>
        <w:bottom w:val="none" w:sz="0" w:space="0" w:color="auto"/>
        <w:right w:val="none" w:sz="0" w:space="0" w:color="auto"/>
      </w:divBdr>
    </w:div>
    <w:div w:id="1919170693">
      <w:bodyDiv w:val="1"/>
      <w:marLeft w:val="0"/>
      <w:marRight w:val="0"/>
      <w:marTop w:val="0"/>
      <w:marBottom w:val="0"/>
      <w:divBdr>
        <w:top w:val="none" w:sz="0" w:space="0" w:color="auto"/>
        <w:left w:val="none" w:sz="0" w:space="0" w:color="auto"/>
        <w:bottom w:val="none" w:sz="0" w:space="0" w:color="auto"/>
        <w:right w:val="none" w:sz="0" w:space="0" w:color="auto"/>
      </w:divBdr>
    </w:div>
    <w:div w:id="1928079931">
      <w:bodyDiv w:val="1"/>
      <w:marLeft w:val="0"/>
      <w:marRight w:val="0"/>
      <w:marTop w:val="0"/>
      <w:marBottom w:val="0"/>
      <w:divBdr>
        <w:top w:val="none" w:sz="0" w:space="0" w:color="auto"/>
        <w:left w:val="none" w:sz="0" w:space="0" w:color="auto"/>
        <w:bottom w:val="none" w:sz="0" w:space="0" w:color="auto"/>
        <w:right w:val="none" w:sz="0" w:space="0" w:color="auto"/>
      </w:divBdr>
    </w:div>
    <w:div w:id="1981031926">
      <w:bodyDiv w:val="1"/>
      <w:marLeft w:val="0"/>
      <w:marRight w:val="0"/>
      <w:marTop w:val="0"/>
      <w:marBottom w:val="0"/>
      <w:divBdr>
        <w:top w:val="none" w:sz="0" w:space="0" w:color="auto"/>
        <w:left w:val="none" w:sz="0" w:space="0" w:color="auto"/>
        <w:bottom w:val="none" w:sz="0" w:space="0" w:color="auto"/>
        <w:right w:val="none" w:sz="0" w:space="0" w:color="auto"/>
      </w:divBdr>
    </w:div>
    <w:div w:id="1987124788">
      <w:bodyDiv w:val="1"/>
      <w:marLeft w:val="0"/>
      <w:marRight w:val="0"/>
      <w:marTop w:val="0"/>
      <w:marBottom w:val="0"/>
      <w:divBdr>
        <w:top w:val="none" w:sz="0" w:space="0" w:color="auto"/>
        <w:left w:val="none" w:sz="0" w:space="0" w:color="auto"/>
        <w:bottom w:val="none" w:sz="0" w:space="0" w:color="auto"/>
        <w:right w:val="none" w:sz="0" w:space="0" w:color="auto"/>
      </w:divBdr>
    </w:div>
    <w:div w:id="2005084687">
      <w:bodyDiv w:val="1"/>
      <w:marLeft w:val="0"/>
      <w:marRight w:val="0"/>
      <w:marTop w:val="0"/>
      <w:marBottom w:val="0"/>
      <w:divBdr>
        <w:top w:val="none" w:sz="0" w:space="0" w:color="auto"/>
        <w:left w:val="none" w:sz="0" w:space="0" w:color="auto"/>
        <w:bottom w:val="none" w:sz="0" w:space="0" w:color="auto"/>
        <w:right w:val="none" w:sz="0" w:space="0" w:color="auto"/>
      </w:divBdr>
    </w:div>
    <w:div w:id="202928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Lun20</b:Tag>
    <b:SourceType>JournalArticle</b:SourceType>
    <b:Guid>{9FB593F3-7FE4-489C-BD04-E1F3A1AD5091}</b:Guid>
    <b:Author>
      <b:Author>
        <b:NameList>
          <b:Person>
            <b:Last>Lund Snee</b:Last>
            <b:First>J.</b:First>
            <b:Middle>E.</b:Middle>
          </b:Person>
          <b:Person>
            <b:Last>Zoback</b:Last>
            <b:First>M.</b:First>
            <b:Middle>D.</b:Middle>
          </b:Person>
        </b:NameList>
      </b:Author>
    </b:Author>
    <b:Title>Multiscale variations of the crustal stress field throughout North America</b:Title>
    <b:JournalName>Nature Communications</b:JournalName>
    <b:Year>2020</b:Year>
    <b:Volume>11</b:Volume>
    <b:Issue>1951</b:Issue>
    <b:DOI>https://doi.org/10.1038/s41467-020-15841-5</b:DOI>
    <b:RefOrder>2</b:RefOrder>
  </b:Source>
  <b:Source>
    <b:Tag>Sch18_Science</b:Tag>
    <b:SourceType>JournalArticle</b:SourceType>
    <b:Guid>{4A841EC6-4B1F-4373-84FB-86D272227A3D}</b:Guid>
    <b:Author>
      <b:Author>
        <b:NameList>
          <b:Person>
            <b:Last>Schultz</b:Last>
            <b:First>R.</b:First>
          </b:Person>
          <b:Person>
            <b:Last>Atkinson</b:Last>
            <b:First>G.</b:First>
          </b:Person>
          <b:Person>
            <b:Last>Eaton</b:Last>
            <b:First>D.</b:First>
            <b:Middle>W.</b:Middle>
          </b:Person>
          <b:Person>
            <b:Last>Gu</b:Last>
            <b:First>Y.</b:First>
            <b:Middle>J.</b:Middle>
          </b:Person>
          <b:Person>
            <b:Last>Kao</b:Last>
            <b:First>H.</b:First>
          </b:Person>
        </b:NameList>
      </b:Author>
    </b:Author>
    <b:Title>Hydraulic fracturing volume is associated with induced earthquake productivity in the Duvernay play</b:Title>
    <b:Year>2018</b:Year>
    <b:Volume>359</b:Volume>
    <b:Pages>304-308</b:Pages>
    <b:JournalName>Science</b:JournalName>
    <b:RefOrder>3</b:RefOrder>
  </b:Source>
  <b:Source>
    <b:Tag>Rya15</b:Tag>
    <b:SourceType>JournalArticle</b:SourceType>
    <b:Guid>{C7BCAADC-CEFE-974A-B340-2B1276FD2788}</b:Guid>
    <b:Title>Detection Threshold and Location Resolution of the Alberta Geological Survey Earthquake Catalogue</b:Title>
    <b:JournalName>Seismological Research Letters</b:JournalName>
    <b:Year>2015</b:Year>
    <b:Volume>86</b:Volume>
    <b:Issue>2A</b:Issue>
    <b:Pages>385–397. https://doi.org/10.1785/0220140203</b:Pages>
    <b:Author>
      <b:Author>
        <b:NameList>
          <b:Person>
            <b:Last>Schultz</b:Last>
            <b:First>Ryan</b:First>
          </b:Person>
          <b:Person>
            <b:Last>Stern</b:Last>
            <b:First>Virginia</b:First>
          </b:Person>
          <b:Person>
            <b:Last>Gu</b:Last>
            <b:First>Yu</b:First>
            <b:Middle>Jeffrey</b:Middle>
          </b:Person>
          <b:Person>
            <b:Last>Eaton</b:Last>
            <b:First>David</b:First>
          </b:Person>
        </b:NameList>
      </b:Author>
    </b:Author>
    <b:RefOrder>4</b:RefOrder>
  </b:Source>
  <b:Source>
    <b:Tag>Aki65</b:Tag>
    <b:SourceType>JournalArticle</b:SourceType>
    <b:Guid>{5A75C680-6542-3748-8AE7-7D63A56C2454}</b:Guid>
    <b:Title>Maximum likelihood estimate of b in the formula logN=a-bM and its confidence limits.</b:Title>
    <b:Year>1965</b:Year>
    <b:Author>
      <b:Author>
        <b:NameList>
          <b:Person>
            <b:Last>Aki</b:Last>
            <b:First>K.</b:First>
          </b:Person>
        </b:NameList>
      </b:Author>
    </b:Author>
    <b:JournalName>Bulletin of the Earthquake Research Institute</b:JournalName>
    <b:Volume>43</b:Volume>
    <b:Pages>237–239</b:Pages>
    <b:RefOrder>1</b:RefOrder>
  </b:Source>
</b:Sources>
</file>

<file path=customXml/itemProps1.xml><?xml version="1.0" encoding="utf-8"?>
<ds:datastoreItem xmlns:ds="http://schemas.openxmlformats.org/officeDocument/2006/customXml" ds:itemID="{710DB4EB-0327-1B4D-80A5-B63BE0C2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1410</TotalTime>
  <Pages>3</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Rodríguez Pradilla</dc:creator>
  <cp:keywords/>
  <dc:description/>
  <cp:lastModifiedBy>German Rodriguez Pradilla</cp:lastModifiedBy>
  <cp:revision>56</cp:revision>
  <dcterms:created xsi:type="dcterms:W3CDTF">2021-07-26T20:54:00Z</dcterms:created>
  <dcterms:modified xsi:type="dcterms:W3CDTF">2022-04-04T09:58:00Z</dcterms:modified>
</cp:coreProperties>
</file>