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710" w:rsidRPr="00561964" w:rsidRDefault="00987CF7" w:rsidP="00E67710">
      <w:pPr>
        <w:rPr>
          <w:rFonts w:ascii="Arial" w:hAnsi="Arial" w:cs="Arial"/>
          <w:sz w:val="24"/>
          <w:lang w:val="en-US"/>
        </w:rPr>
      </w:pPr>
      <w:r w:rsidRPr="00561964">
        <w:rPr>
          <w:rFonts w:ascii="Arial" w:eastAsia="Times New Roman" w:hAnsi="Arial" w:cs="Arial"/>
          <w:lang w:val="en-US" w:eastAsia="fr-CH"/>
        </w:rPr>
        <w:t>Supplement 2</w:t>
      </w:r>
      <w:r w:rsidR="00E67710" w:rsidRPr="00561964">
        <w:rPr>
          <w:rFonts w:ascii="Arial" w:eastAsia="Times New Roman" w:hAnsi="Arial" w:cs="Arial"/>
          <w:lang w:val="en-US" w:eastAsia="fr-CH"/>
        </w:rPr>
        <w:t xml:space="preserve">. Baseline characteristics stratified by SARS-CoV-2 infection and duration of symptoms, including infected individuals without post-COVID condition, with post-COVID condition without a </w:t>
      </w:r>
      <w:proofErr w:type="spellStart"/>
      <w:r w:rsidR="00E67710" w:rsidRPr="00561964">
        <w:rPr>
          <w:rFonts w:ascii="Arial" w:eastAsia="Times New Roman" w:hAnsi="Arial" w:cs="Arial"/>
          <w:lang w:val="en-US" w:eastAsia="fr-CH"/>
        </w:rPr>
        <w:t>chronification</w:t>
      </w:r>
      <w:proofErr w:type="spellEnd"/>
      <w:r w:rsidR="00E67710" w:rsidRPr="00561964">
        <w:rPr>
          <w:rFonts w:ascii="Arial" w:eastAsia="Times New Roman" w:hAnsi="Arial" w:cs="Arial"/>
          <w:lang w:val="en-US" w:eastAsia="fr-CH"/>
        </w:rPr>
        <w:t xml:space="preserve"> of symptoms and with post-COVID condition with a </w:t>
      </w:r>
      <w:proofErr w:type="spellStart"/>
      <w:r w:rsidR="00E67710" w:rsidRPr="00561964">
        <w:rPr>
          <w:rFonts w:ascii="Arial" w:eastAsia="Times New Roman" w:hAnsi="Arial" w:cs="Arial"/>
          <w:lang w:val="en-US" w:eastAsia="fr-CH"/>
        </w:rPr>
        <w:t>chronification</w:t>
      </w:r>
      <w:proofErr w:type="spellEnd"/>
      <w:r w:rsidR="00E67710" w:rsidRPr="00561964">
        <w:rPr>
          <w:rFonts w:ascii="Arial" w:eastAsia="Times New Roman" w:hAnsi="Arial" w:cs="Arial"/>
          <w:lang w:val="en-US" w:eastAsia="fr-CH"/>
        </w:rPr>
        <w:t xml:space="preserve"> of symptoms (n=1,383)</w:t>
      </w:r>
    </w:p>
    <w:tbl>
      <w:tblPr>
        <w:tblW w:w="140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8"/>
        <w:gridCol w:w="1407"/>
        <w:gridCol w:w="1464"/>
        <w:gridCol w:w="1464"/>
        <w:gridCol w:w="1705"/>
        <w:gridCol w:w="1473"/>
        <w:gridCol w:w="1315"/>
      </w:tblGrid>
      <w:tr w:rsidR="00E67710" w:rsidRPr="00561964" w:rsidTr="00016C61">
        <w:trPr>
          <w:trHeight w:val="19"/>
        </w:trPr>
        <w:tc>
          <w:tcPr>
            <w:tcW w:w="52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 </w:t>
            </w:r>
          </w:p>
        </w:tc>
        <w:tc>
          <w:tcPr>
            <w:tcW w:w="140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Negative</w:t>
            </w:r>
            <w:proofErr w:type="spellEnd"/>
          </w:p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</w:p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</w:p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</w:p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</w:p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(n=616)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  <w:t xml:space="preserve">Positive without post-COVID condition </w:t>
            </w:r>
          </w:p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</w:pPr>
          </w:p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  <w:t>(n=483)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  <w:t xml:space="preserve">Positive with post-COVID condition </w:t>
            </w:r>
          </w:p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</w:pPr>
          </w:p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</w:pPr>
          </w:p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  <w:t>(n=136)</w:t>
            </w:r>
          </w:p>
        </w:tc>
        <w:tc>
          <w:tcPr>
            <w:tcW w:w="170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  <w:t xml:space="preserve">Positive with post-COVID condition with a </w:t>
            </w:r>
            <w:proofErr w:type="spellStart"/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  <w:t>chronification</w:t>
            </w:r>
            <w:proofErr w:type="spellEnd"/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  <w:t xml:space="preserve"> of symptoms</w:t>
            </w:r>
          </w:p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  <w:t>(n=148)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Total</w:t>
            </w:r>
          </w:p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</w:p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</w:p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</w:p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</w:p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(n=1,383)</w:t>
            </w:r>
          </w:p>
        </w:tc>
        <w:tc>
          <w:tcPr>
            <w:tcW w:w="131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P-value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N(%)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N(%)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N(%)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N(%)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N(%)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 xml:space="preserve">Age </w:t>
            </w:r>
            <w:proofErr w:type="spellStart"/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categories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0.799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Below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40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years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255(41.4)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188(38.9)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58(42.6)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53(35.8)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554(40.1)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40-59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years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284(46.1)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231(47.8)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60(44.1)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78(52.7)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653(47.2)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60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years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and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above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77(12.5)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64(13.3)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18(13.2)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17(11.5)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176(12.7)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Sex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&lt;0.001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Male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188(30.5)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244(50.5)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55(40.4)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47(31.8)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534(38.6)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Female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428(69.5)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239(49.5)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81(59.6)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101(68.2)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849(61.4)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Education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0.615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Primary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16(2.6)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15(3.1)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3(2.2)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5(3.4)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39(2.8)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Apprenticeship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60(9.7)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62(12.8)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21(15.4)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15(10.1)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158(11.4)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Secondary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78(12.7)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55(11.4)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20(14.7)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21(14.2)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174(12.6)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Tertiary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428(69.5)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326(67.5)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85(62.5)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93(62.8)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932(67.4)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Other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24(3.9)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20(4.1)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6(4.4)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11(7.4)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61(4.4)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Prefer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not to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answer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10(1.6)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5(1.0)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1(0.7)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3(2.0)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19(1.4)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 xml:space="preserve">Civil </w:t>
            </w:r>
            <w:proofErr w:type="spellStart"/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status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0.708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Single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125(21.8)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86(19.3)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28(24.6)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26(17.6)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265(20.7)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In couple, not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married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159(27.7)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106(23.8)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29(25.4)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40(27.0)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334(26.1)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Married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or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registered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partnership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214(37.3)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201(45.1)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48(42.1)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65(43.9)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528(41.2)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Divorced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or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separated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64(11.1)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45(10.1)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8(7.0)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13(8.8)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130(10.1)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Widowed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7(1.2)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5(1.1)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1(0.9)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2(1.4)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15(1.2)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Other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5(0.9)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3(0.7)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0(0)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2(1.4)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10(0.8)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Living situation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0.063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Alone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132(23)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79(17.8)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28(24.6)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26(17.6)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265(20.7)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Single parent with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children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49(8.5)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21(4.7)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7(6.1)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17(11.5)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94(7.3)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In couple, without children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140(24.4)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114(25.6)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28(24.6)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43(29.1)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325(25.4)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In couple, with children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204(35.5)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179</w:t>
            </w: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(40.2)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42(36.8)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49(33.1)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474(37)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Cohabitation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49(8.5)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52(11.7)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9(7.9)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13(8.8)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123(9.6)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Work</w:t>
            </w:r>
            <w:proofErr w:type="spellEnd"/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 xml:space="preserve"> </w:t>
            </w:r>
            <w:proofErr w:type="spellStart"/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status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0.498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Salaried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395(69.1)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320(71.7)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81(71.1)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113(76.4)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909(71)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Retired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48(8.4)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36(8.1)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11(9.6)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10(6.8)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105(8.2)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Student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or in training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34(5.9)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40(9)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9(7.9)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10(6.8)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93(7.3)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Independent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worker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35(6.1)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20(4.5)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4(3.5)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5(3.4)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64(5.0)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lastRenderedPageBreak/>
              <w:t>Homemaker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17(3.0)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12(2.7)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2(1.8)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2(1.4)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33(2.6)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Unemployed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24(4.2)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10(2.2)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2(1.8)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4(2.7)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40(3.1)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Disability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5(0.9)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2(0.4)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2(1.8)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3(2.0)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12(0.9)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Other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14(2.4)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6(1.3)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3(2.6)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1(0.7)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24(1.9)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Work</w:t>
            </w:r>
            <w:proofErr w:type="spellEnd"/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 xml:space="preserve"> situation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0.126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Fixed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term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contract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57(12.9)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33(9)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10(10.8)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14(11.3)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114(11.1)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Long term contract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350(79.2)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294(80.3)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71(76.3)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102(82.3)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817(79.7)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Subsidized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3(0.7)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0(0)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0(0)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0(0)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3(0.3)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Training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7(1.6)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14(3.8)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2(2.2)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3(2.4)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26(2.5)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Other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25(5.7)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25(6.8)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10(10.8)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5(4.0)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65(6.3)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single" w:sz="4" w:space="0" w:color="auto"/>
              <w:bottom w:val="dashSmallGap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sz w:val="20"/>
                <w:szCs w:val="20"/>
                <w:lang w:eastAsia="fr-CH"/>
              </w:rPr>
              <w:t>Profession</w:t>
            </w:r>
          </w:p>
        </w:tc>
        <w:tc>
          <w:tcPr>
            <w:tcW w:w="1407" w:type="dxa"/>
            <w:tcBorders>
              <w:top w:val="single" w:sz="4" w:space="0" w:color="auto"/>
              <w:bottom w:val="dashSmallGap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1464" w:type="dxa"/>
            <w:tcBorders>
              <w:top w:val="single" w:sz="4" w:space="0" w:color="auto"/>
              <w:bottom w:val="dashSmallGap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1464" w:type="dxa"/>
            <w:tcBorders>
              <w:top w:val="single" w:sz="4" w:space="0" w:color="auto"/>
              <w:bottom w:val="dashSmallGap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1705" w:type="dxa"/>
            <w:tcBorders>
              <w:top w:val="single" w:sz="4" w:space="0" w:color="auto"/>
              <w:bottom w:val="dashSmallGap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1473" w:type="dxa"/>
            <w:tcBorders>
              <w:top w:val="single" w:sz="4" w:space="0" w:color="auto"/>
              <w:bottom w:val="dashSmallGap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dashSmallGap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0.373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dashSmallGap" w:sz="4" w:space="0" w:color="auto"/>
            </w:tcBorders>
            <w:shd w:val="clear" w:color="000000" w:fill="FFFFFF"/>
            <w:noWrap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hAnsi="Arial" w:cs="Arial"/>
                <w:sz w:val="20"/>
                <w:szCs w:val="20"/>
                <w:lang w:val="en-GB"/>
              </w:rPr>
              <w:t xml:space="preserve">Unskilled workers </w:t>
            </w:r>
          </w:p>
        </w:tc>
        <w:tc>
          <w:tcPr>
            <w:tcW w:w="1407" w:type="dxa"/>
            <w:tcBorders>
              <w:top w:val="dashSmallGap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19(3.1)</w:t>
            </w:r>
          </w:p>
        </w:tc>
        <w:tc>
          <w:tcPr>
            <w:tcW w:w="1464" w:type="dxa"/>
            <w:tcBorders>
              <w:top w:val="dashSmallGap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21(4.3)</w:t>
            </w:r>
          </w:p>
        </w:tc>
        <w:tc>
          <w:tcPr>
            <w:tcW w:w="1464" w:type="dxa"/>
            <w:tcBorders>
              <w:top w:val="dashSmallGap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4(2.9)</w:t>
            </w:r>
          </w:p>
        </w:tc>
        <w:tc>
          <w:tcPr>
            <w:tcW w:w="1705" w:type="dxa"/>
            <w:tcBorders>
              <w:top w:val="dashSmallGap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4(2.7)</w:t>
            </w:r>
          </w:p>
        </w:tc>
        <w:tc>
          <w:tcPr>
            <w:tcW w:w="1473" w:type="dxa"/>
            <w:tcBorders>
              <w:top w:val="dashSmallGap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48(3.5)</w:t>
            </w:r>
          </w:p>
        </w:tc>
        <w:tc>
          <w:tcPr>
            <w:tcW w:w="1315" w:type="dxa"/>
            <w:tcBorders>
              <w:top w:val="dashSmallGap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shd w:val="clear" w:color="000000" w:fill="FFFFFF"/>
            <w:noWrap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hAnsi="Arial" w:cs="Arial"/>
                <w:sz w:val="20"/>
                <w:szCs w:val="20"/>
                <w:lang w:val="en-GB"/>
              </w:rPr>
              <w:t xml:space="preserve">Skilled workers </w:t>
            </w:r>
          </w:p>
        </w:tc>
        <w:tc>
          <w:tcPr>
            <w:tcW w:w="1407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112(18.2)</w:t>
            </w:r>
          </w:p>
        </w:tc>
        <w:tc>
          <w:tcPr>
            <w:tcW w:w="1464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76(15.7)</w:t>
            </w:r>
          </w:p>
        </w:tc>
        <w:tc>
          <w:tcPr>
            <w:tcW w:w="1464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25(18.4)</w:t>
            </w:r>
          </w:p>
        </w:tc>
        <w:tc>
          <w:tcPr>
            <w:tcW w:w="1705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25(16.9)</w:t>
            </w:r>
          </w:p>
        </w:tc>
        <w:tc>
          <w:tcPr>
            <w:tcW w:w="1473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238(17.2)</w:t>
            </w:r>
          </w:p>
        </w:tc>
        <w:tc>
          <w:tcPr>
            <w:tcW w:w="1315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shd w:val="clear" w:color="000000" w:fill="FFFFFF"/>
            <w:noWrap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hAnsi="Arial" w:cs="Arial"/>
                <w:sz w:val="20"/>
                <w:szCs w:val="20"/>
                <w:lang w:val="en-GB"/>
              </w:rPr>
              <w:t xml:space="preserve">Highly skilled workers </w:t>
            </w:r>
          </w:p>
        </w:tc>
        <w:tc>
          <w:tcPr>
            <w:tcW w:w="1407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141(22.9)</w:t>
            </w:r>
          </w:p>
        </w:tc>
        <w:tc>
          <w:tcPr>
            <w:tcW w:w="1464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104(21.5)</w:t>
            </w:r>
          </w:p>
        </w:tc>
        <w:tc>
          <w:tcPr>
            <w:tcW w:w="1464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33(24.3)</w:t>
            </w:r>
          </w:p>
        </w:tc>
        <w:tc>
          <w:tcPr>
            <w:tcW w:w="1705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45(30.4)</w:t>
            </w:r>
          </w:p>
        </w:tc>
        <w:tc>
          <w:tcPr>
            <w:tcW w:w="1473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323(23.4)</w:t>
            </w:r>
          </w:p>
        </w:tc>
        <w:tc>
          <w:tcPr>
            <w:tcW w:w="1315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shd w:val="clear" w:color="000000" w:fill="FFFFFF"/>
            <w:noWrap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hAnsi="Arial" w:cs="Arial"/>
                <w:sz w:val="20"/>
                <w:szCs w:val="20"/>
                <w:lang w:val="en-GB"/>
              </w:rPr>
              <w:t>Professional-Managers</w:t>
            </w:r>
          </w:p>
        </w:tc>
        <w:tc>
          <w:tcPr>
            <w:tcW w:w="1407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202(32.8)</w:t>
            </w:r>
          </w:p>
        </w:tc>
        <w:tc>
          <w:tcPr>
            <w:tcW w:w="1464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163(33.7)</w:t>
            </w:r>
          </w:p>
        </w:tc>
        <w:tc>
          <w:tcPr>
            <w:tcW w:w="1464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36(26.5)</w:t>
            </w:r>
          </w:p>
        </w:tc>
        <w:tc>
          <w:tcPr>
            <w:tcW w:w="1705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37(25.0)</w:t>
            </w:r>
          </w:p>
        </w:tc>
        <w:tc>
          <w:tcPr>
            <w:tcW w:w="1473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438(31.7)</w:t>
            </w:r>
          </w:p>
        </w:tc>
        <w:tc>
          <w:tcPr>
            <w:tcW w:w="1315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shd w:val="clear" w:color="000000" w:fill="FFFFFF"/>
            <w:noWrap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hAnsi="Arial" w:cs="Arial"/>
                <w:sz w:val="20"/>
                <w:szCs w:val="20"/>
                <w:lang w:val="en-GB"/>
              </w:rPr>
              <w:t>Other</w:t>
            </w:r>
          </w:p>
        </w:tc>
        <w:tc>
          <w:tcPr>
            <w:tcW w:w="1407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93(15.1)</w:t>
            </w:r>
          </w:p>
        </w:tc>
        <w:tc>
          <w:tcPr>
            <w:tcW w:w="1464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63(13.0)</w:t>
            </w:r>
          </w:p>
        </w:tc>
        <w:tc>
          <w:tcPr>
            <w:tcW w:w="1464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25(18.4)</w:t>
            </w:r>
          </w:p>
        </w:tc>
        <w:tc>
          <w:tcPr>
            <w:tcW w:w="1705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25(16.9)</w:t>
            </w:r>
          </w:p>
        </w:tc>
        <w:tc>
          <w:tcPr>
            <w:tcW w:w="1473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206(14.9)</w:t>
            </w:r>
          </w:p>
        </w:tc>
        <w:tc>
          <w:tcPr>
            <w:tcW w:w="1315" w:type="dxa"/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hAnsi="Arial" w:cs="Arial"/>
                <w:sz w:val="20"/>
                <w:szCs w:val="20"/>
                <w:lang w:val="en-GB"/>
              </w:rPr>
              <w:t>Prefer not to answer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9(1.5)</w:t>
            </w:r>
          </w:p>
        </w:tc>
        <w:tc>
          <w:tcPr>
            <w:tcW w:w="1464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7(1.4)</w:t>
            </w:r>
          </w:p>
        </w:tc>
        <w:tc>
          <w:tcPr>
            <w:tcW w:w="1464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3(2.2)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1(0.7)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20(1.5)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 xml:space="preserve">Smoking </w:t>
            </w:r>
            <w:proofErr w:type="spellStart"/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status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Never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smoked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302(49)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280(58.0)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76(55.9)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83(56.1)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741(53.6)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Current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smoker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118(19.2)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58(12.0)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16(11.8)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15(10.1)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207(15.0)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&lt;0.001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Ex-smoker, stopped independently of COVID-19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185(30.0)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139(28.8)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33(24.3)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43(29.1)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400(28.9)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Ex-smoker, stopped because of COVID-19 infection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2(0.3)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2(0.4)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3(2.2)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2(1.4)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9(0.7)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Prefer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not to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answer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9(1.5)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4(0.8)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8(5.9)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5(3.4)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26(1.9)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 xml:space="preserve">Physical </w:t>
            </w:r>
            <w:proofErr w:type="spellStart"/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activity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&lt;0.001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No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physical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activity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103(16.7)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57(11.8)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14(10.3)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21(14.2)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195(14.1)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Partial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physical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activity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322(52.3)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214(44.3)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80(58.8)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95(64.2)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711(51.4)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Full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physical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activity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188(30.5)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210(43.5)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40(29.4)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31(20.9)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469(33.9)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Prefer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not to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answer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3(0.5)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2(0.4)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2(1.5)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1(0.7)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8(0.6)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Body-mass index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0.703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Less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than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18.5 kg/m2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13(2.4)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15(3.5)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3(2.7)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7(4.9)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38(3.1)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Between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18.5-24.9 kg/m2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333(60.4)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253(59)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62(55.9)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76(53.1)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724(58.7)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Between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25-29.9 kg/m2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152(27.6)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123(28.7)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34(30.6)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42(29.4)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351(28.4)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Between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30-34.9 kg/m2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39(7.1)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32(7.5)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10(9.0)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12(8.4)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93(7.5)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Between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35 and 40 kg/m2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14(2.5)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6(1.4)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2(1.8)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6(4.2)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28(2.3)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CH"/>
              </w:rPr>
              <w:t>Self-rated health prior to testing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0.008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Poor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60(9.7)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22(4.6)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7(5.2)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11(7.4)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100(7.2)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Good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556(90.3)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461(95.4)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128(94.8)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137(92.6)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1,282(92.8)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Symptoms</w:t>
            </w:r>
            <w:proofErr w:type="spellEnd"/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 xml:space="preserve"> at </w:t>
            </w:r>
            <w:proofErr w:type="spellStart"/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testing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&lt;0.001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Pauci-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symptomatic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286(46.4)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126(26.1)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31(22.8)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18(12.2)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461(33.3)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Several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symptoms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330(53.6)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357(73.9)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105(77.2)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130(87.8)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922(66.7)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 xml:space="preserve">Vaccination </w:t>
            </w:r>
            <w:proofErr w:type="spellStart"/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status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&lt;0.001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No vaccination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65(10.6)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71(14.7)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35(25.7)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12(8.1)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183(13.2)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 dose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59(9.6)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84(17.4)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36(26.5)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36(24.3)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215(15.5)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 doses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174(28.2)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183(37.9)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39(28.7)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59(39.9)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455(32.9)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lastRenderedPageBreak/>
              <w:t>3 doses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316(51.3)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144(29.8)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24(17.6)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40(27)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524(37.9)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Prefer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not to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answer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2(0.3)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1(0.2)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2(1.5)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1(0.7)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6(0.4)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b/>
                <w:sz w:val="20"/>
                <w:szCs w:val="20"/>
                <w:lang w:eastAsia="fr-CH"/>
              </w:rPr>
              <w:t>Hospitalization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40(6.5)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32(6.6)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6(4.4)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12(8.1)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90(6.5)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0.845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Comorbidities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 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None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322(52.3)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293(60.7)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68(50)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72(48.6)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755(54.6)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0.008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Obesity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or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overweight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131(21.3)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79(16.4)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31(22.8)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34(23.0)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275(19.9)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0.106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Hypertension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63(10.2)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48(9.9)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16(11.8)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17(11.5)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144(10.4)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0.899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Diabetes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9(1.5)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11(2.3)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1(0.7)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5(3.4)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26(1.9)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0.288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Respiratory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disease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42(6.8)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16(3.3)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8(5.9)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8(5.4)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74(5.4)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0.084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Cardiovascular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disease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13(2.1)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16(3.3)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5(3.7)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6(4.1)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40(2.9)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0.448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Headache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disorders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*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111(18)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66(13.7)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25(18.4)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28(18.9)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230(16.6)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0.189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Cognitive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disorders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**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51(8.3)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29(6.0)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18(13.2)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19(12.8)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117(8.5)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0.010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Sleep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disorders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127(20.6)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61(12.6)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27(19.9)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34(23)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249(18.0)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0.002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Depression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66(10.7)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31(6.4)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11(8.1)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8(5.4)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116(8.4)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0.037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Anxiety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80(13.0)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39(8.1)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18(13.2)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12(8.1)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149(10.8)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0.033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Hyperthyroidism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6(1.0)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5(1.0)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0(0)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1(0.7)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12(0.9)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0.684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Hypothyroidism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23(3.7)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14(2.9)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3(2.2)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9(6.1)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49(3.5)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0.245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Anemia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34(5.5)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20(4.1)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6(4.4)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3(2.0)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63(4.6)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0.297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Thromboembolic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disease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7(1.1)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5(1.0)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2(1.5)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2(1.4)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16(1.2)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0.972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Dysmenorrhea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8(1.3)</w:t>
            </w:r>
          </w:p>
        </w:tc>
        <w:tc>
          <w:tcPr>
            <w:tcW w:w="146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7(1.4)</w:t>
            </w:r>
          </w:p>
        </w:tc>
        <w:tc>
          <w:tcPr>
            <w:tcW w:w="146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1(0.7)</w:t>
            </w:r>
          </w:p>
        </w:tc>
        <w:tc>
          <w:tcPr>
            <w:tcW w:w="170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2(1.3)</w:t>
            </w:r>
          </w:p>
        </w:tc>
        <w:tc>
          <w:tcPr>
            <w:tcW w:w="147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18(1.3)</w:t>
            </w:r>
          </w:p>
        </w:tc>
        <w:tc>
          <w:tcPr>
            <w:tcW w:w="131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0.935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Fibromyalgia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or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chronic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pain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25(4.1)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3(0.6)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2(1.5)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5(3.4)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35(2.5)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0.003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Chronic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fatigue syndrome</w:t>
            </w:r>
          </w:p>
        </w:tc>
        <w:tc>
          <w:tcPr>
            <w:tcW w:w="140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50(8.1)</w:t>
            </w:r>
          </w:p>
        </w:tc>
        <w:tc>
          <w:tcPr>
            <w:tcW w:w="146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24(5.0)</w:t>
            </w:r>
          </w:p>
        </w:tc>
        <w:tc>
          <w:tcPr>
            <w:tcW w:w="1464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8(5.9)</w:t>
            </w:r>
          </w:p>
        </w:tc>
        <w:tc>
          <w:tcPr>
            <w:tcW w:w="170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17(11.5)</w:t>
            </w:r>
          </w:p>
        </w:tc>
        <w:tc>
          <w:tcPr>
            <w:tcW w:w="147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99(7.2)</w:t>
            </w:r>
          </w:p>
        </w:tc>
        <w:tc>
          <w:tcPr>
            <w:tcW w:w="131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0.031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Rheumatologic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disorders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***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91(14.8)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49(10.1)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21(15.4)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25(16.9)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186(13.4)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0.059</w:t>
            </w:r>
          </w:p>
        </w:tc>
      </w:tr>
      <w:tr w:rsidR="00E67710" w:rsidRPr="00561964" w:rsidTr="00016C61">
        <w:trPr>
          <w:trHeight w:val="19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Irritable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bowel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 xml:space="preserve"> syndrome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49(8.0)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30(6.2)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9(6.6)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10(6.8)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98(7.1)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7710" w:rsidRPr="00561964" w:rsidRDefault="00E67710" w:rsidP="00016C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0.720</w:t>
            </w:r>
          </w:p>
        </w:tc>
      </w:tr>
      <w:tr w:rsidR="00E67710" w:rsidRPr="00561964" w:rsidTr="00016C61">
        <w:trPr>
          <w:trHeight w:val="19"/>
        </w:trPr>
        <w:tc>
          <w:tcPr>
            <w:tcW w:w="1409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 xml:space="preserve">*Headache disorders include migraine, tension headaches, and other types of headaches; </w:t>
            </w:r>
          </w:p>
          <w:p w:rsidR="00E67710" w:rsidRPr="00561964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 xml:space="preserve">**Cognitive disorders include memory and attention deficits; </w:t>
            </w:r>
          </w:p>
          <w:p w:rsidR="00E67710" w:rsidRPr="00421F3A" w:rsidRDefault="00E67710" w:rsidP="00016C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 xml:space="preserve">***Rheumatologic disorders include tendinitis, polymyalgia </w:t>
            </w:r>
            <w:proofErr w:type="spellStart"/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rheumatica</w:t>
            </w:r>
            <w:proofErr w:type="spellEnd"/>
            <w:r w:rsidRPr="00561964"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  <w:t>, arthritis, and ankylosing spondylitis</w:t>
            </w:r>
          </w:p>
        </w:tc>
      </w:tr>
      <w:tr w:rsidR="00E67710" w:rsidRPr="00561964" w:rsidTr="00016C61">
        <w:trPr>
          <w:trHeight w:val="19"/>
        </w:trPr>
        <w:tc>
          <w:tcPr>
            <w:tcW w:w="140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7710" w:rsidRPr="00421F3A" w:rsidRDefault="00E67710" w:rsidP="00016C6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fr-CH"/>
              </w:rPr>
            </w:pPr>
          </w:p>
        </w:tc>
      </w:tr>
    </w:tbl>
    <w:p w:rsidR="00E67710" w:rsidRDefault="00E67710" w:rsidP="00E67710">
      <w:pPr>
        <w:rPr>
          <w:rFonts w:ascii="Arial" w:eastAsia="Times New Roman" w:hAnsi="Arial" w:cs="Arial"/>
          <w:sz w:val="20"/>
          <w:lang w:val="en-US" w:eastAsia="fr-CH"/>
        </w:rPr>
      </w:pPr>
    </w:p>
    <w:p w:rsidR="006D7366" w:rsidRPr="00E67710" w:rsidRDefault="006D7366">
      <w:pPr>
        <w:rPr>
          <w:lang w:val="en-US"/>
        </w:rPr>
      </w:pPr>
      <w:bookmarkStart w:id="0" w:name="_GoBack"/>
      <w:bookmarkEnd w:id="0"/>
    </w:p>
    <w:sectPr w:rsidR="006D7366" w:rsidRPr="00E67710" w:rsidSect="00D4149C">
      <w:pgSz w:w="16838" w:h="11906" w:orient="landscape"/>
      <w:pgMar w:top="794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E04C1"/>
    <w:multiLevelType w:val="hybridMultilevel"/>
    <w:tmpl w:val="F294C254"/>
    <w:lvl w:ilvl="0" w:tplc="95B23EE2">
      <w:start w:val="1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CD216E"/>
    <w:multiLevelType w:val="hybridMultilevel"/>
    <w:tmpl w:val="FE3E1A18"/>
    <w:lvl w:ilvl="0" w:tplc="F3B2A3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C557BE"/>
    <w:multiLevelType w:val="hybridMultilevel"/>
    <w:tmpl w:val="F7A28A10"/>
    <w:lvl w:ilvl="0" w:tplc="0B066B4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710"/>
    <w:rsid w:val="00561964"/>
    <w:rsid w:val="006D7366"/>
    <w:rsid w:val="00987CF7"/>
    <w:rsid w:val="00E6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F61B799-B78C-4F21-ABEB-E3809725E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7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E67710"/>
    <w:rPr>
      <w:color w:val="0000FF"/>
      <w:u w:val="single"/>
    </w:rPr>
  </w:style>
  <w:style w:type="paragraph" w:styleId="Bibliographie">
    <w:name w:val="Bibliography"/>
    <w:basedOn w:val="Normal"/>
    <w:next w:val="Normal"/>
    <w:uiPriority w:val="37"/>
    <w:unhideWhenUsed/>
    <w:rsid w:val="00E67710"/>
    <w:pPr>
      <w:tabs>
        <w:tab w:val="left" w:pos="384"/>
      </w:tabs>
      <w:spacing w:after="240" w:line="240" w:lineRule="auto"/>
      <w:ind w:left="384" w:hanging="384"/>
    </w:pPr>
  </w:style>
  <w:style w:type="paragraph" w:styleId="Paragraphedeliste">
    <w:name w:val="List Paragraph"/>
    <w:basedOn w:val="Normal"/>
    <w:uiPriority w:val="34"/>
    <w:qFormat/>
    <w:rsid w:val="00E6771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67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7710"/>
  </w:style>
  <w:style w:type="paragraph" w:styleId="Pieddepage">
    <w:name w:val="footer"/>
    <w:basedOn w:val="Normal"/>
    <w:link w:val="PieddepageCar"/>
    <w:uiPriority w:val="99"/>
    <w:unhideWhenUsed/>
    <w:rsid w:val="00E67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7710"/>
  </w:style>
  <w:style w:type="character" w:styleId="Marquedecommentaire">
    <w:name w:val="annotation reference"/>
    <w:basedOn w:val="Policepardfaut"/>
    <w:uiPriority w:val="99"/>
    <w:semiHidden/>
    <w:unhideWhenUsed/>
    <w:rsid w:val="00E6771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6771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6771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6771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67710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67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7710"/>
    <w:rPr>
      <w:rFonts w:ascii="Segoe UI" w:hAnsi="Segoe UI" w:cs="Segoe UI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E67710"/>
    <w:rPr>
      <w:color w:val="954F72"/>
      <w:u w:val="single"/>
    </w:rPr>
  </w:style>
  <w:style w:type="paragraph" w:customStyle="1" w:styleId="xl65">
    <w:name w:val="xl65"/>
    <w:basedOn w:val="Normal"/>
    <w:rsid w:val="00E67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66">
    <w:name w:val="xl66"/>
    <w:basedOn w:val="Normal"/>
    <w:rsid w:val="00E67710"/>
    <w:pPr>
      <w:pBdr>
        <w:top w:val="single" w:sz="4" w:space="0" w:color="auto"/>
        <w:bottom w:val="dash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fr-CH"/>
    </w:rPr>
  </w:style>
  <w:style w:type="paragraph" w:customStyle="1" w:styleId="xl67">
    <w:name w:val="xl67"/>
    <w:basedOn w:val="Normal"/>
    <w:rsid w:val="00E6771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fr-CH"/>
    </w:rPr>
  </w:style>
  <w:style w:type="paragraph" w:customStyle="1" w:styleId="xl68">
    <w:name w:val="xl68"/>
    <w:basedOn w:val="Normal"/>
    <w:rsid w:val="00E6771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69">
    <w:name w:val="xl69"/>
    <w:basedOn w:val="Normal"/>
    <w:rsid w:val="00E6771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70">
    <w:name w:val="xl70"/>
    <w:basedOn w:val="Normal"/>
    <w:rsid w:val="00E67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71">
    <w:name w:val="xl71"/>
    <w:basedOn w:val="Normal"/>
    <w:rsid w:val="00E67710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fr-CH"/>
    </w:rPr>
  </w:style>
  <w:style w:type="paragraph" w:customStyle="1" w:styleId="xl72">
    <w:name w:val="xl72"/>
    <w:basedOn w:val="Normal"/>
    <w:rsid w:val="00E67710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fr-CH"/>
    </w:rPr>
  </w:style>
  <w:style w:type="paragraph" w:customStyle="1" w:styleId="xl73">
    <w:name w:val="xl73"/>
    <w:basedOn w:val="Normal"/>
    <w:rsid w:val="00E67710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fr-CH"/>
    </w:rPr>
  </w:style>
  <w:style w:type="paragraph" w:customStyle="1" w:styleId="xl74">
    <w:name w:val="xl74"/>
    <w:basedOn w:val="Normal"/>
    <w:rsid w:val="00E67710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fr-CH"/>
    </w:rPr>
  </w:style>
  <w:style w:type="paragraph" w:customStyle="1" w:styleId="xl75">
    <w:name w:val="xl75"/>
    <w:basedOn w:val="Normal"/>
    <w:rsid w:val="00E67710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fr-CH"/>
    </w:rPr>
  </w:style>
  <w:style w:type="paragraph" w:customStyle="1" w:styleId="xl76">
    <w:name w:val="xl76"/>
    <w:basedOn w:val="Normal"/>
    <w:rsid w:val="00E67710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fr-CH"/>
    </w:rPr>
  </w:style>
  <w:style w:type="paragraph" w:customStyle="1" w:styleId="xl77">
    <w:name w:val="xl77"/>
    <w:basedOn w:val="Normal"/>
    <w:rsid w:val="00E67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78">
    <w:name w:val="xl78"/>
    <w:basedOn w:val="Normal"/>
    <w:rsid w:val="00E67710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0"/>
      <w:szCs w:val="20"/>
      <w:lang w:eastAsia="fr-CH"/>
    </w:rPr>
  </w:style>
  <w:style w:type="paragraph" w:customStyle="1" w:styleId="xl79">
    <w:name w:val="xl79"/>
    <w:basedOn w:val="Normal"/>
    <w:rsid w:val="00E6771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fr-CH"/>
    </w:rPr>
  </w:style>
  <w:style w:type="paragraph" w:customStyle="1" w:styleId="xl80">
    <w:name w:val="xl80"/>
    <w:basedOn w:val="Normal"/>
    <w:rsid w:val="00E67710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fr-CH"/>
    </w:rPr>
  </w:style>
  <w:style w:type="paragraph" w:customStyle="1" w:styleId="xl81">
    <w:name w:val="xl81"/>
    <w:basedOn w:val="Normal"/>
    <w:rsid w:val="00E67710"/>
    <w:pPr>
      <w:pBdr>
        <w:top w:val="single" w:sz="4" w:space="0" w:color="auto"/>
        <w:bottom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fr-CH"/>
    </w:rPr>
  </w:style>
  <w:style w:type="paragraph" w:customStyle="1" w:styleId="xl82">
    <w:name w:val="xl82"/>
    <w:basedOn w:val="Normal"/>
    <w:rsid w:val="00E67710"/>
    <w:pPr>
      <w:pBdr>
        <w:top w:val="single" w:sz="4" w:space="0" w:color="auto"/>
        <w:bottom w:val="dashed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83">
    <w:name w:val="xl83"/>
    <w:basedOn w:val="Normal"/>
    <w:rsid w:val="00E6771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fr-CH"/>
    </w:rPr>
  </w:style>
  <w:style w:type="paragraph" w:customStyle="1" w:styleId="xl84">
    <w:name w:val="xl84"/>
    <w:basedOn w:val="Normal"/>
    <w:rsid w:val="00E677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xl85">
    <w:name w:val="xl85"/>
    <w:basedOn w:val="Normal"/>
    <w:rsid w:val="00E67710"/>
    <w:pPr>
      <w:pBdr>
        <w:top w:val="single" w:sz="4" w:space="0" w:color="auto"/>
        <w:bottom w:val="dashed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fr-CH"/>
    </w:rPr>
  </w:style>
  <w:style w:type="character" w:styleId="Numrodeligne">
    <w:name w:val="line number"/>
    <w:basedOn w:val="Policepardfaut"/>
    <w:uiPriority w:val="99"/>
    <w:semiHidden/>
    <w:unhideWhenUsed/>
    <w:rsid w:val="00E67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1022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Hôpitaux Universitaires de Genève</Company>
  <LinksUpToDate>false</LinksUpToDate>
  <CharactersWithSpaces>6635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NEHME Mayssam</dc:creator>
  <cp:keywords/>
  <dc:description/>
  <cp:lastModifiedBy>NEHME Mayssam</cp:lastModifiedBy>
  <cp:revision>3</cp:revision>
  <dcterms:created xsi:type="dcterms:W3CDTF">2022-08-09T17:06:00Z</dcterms:created>
  <dcterms:modified xsi:type="dcterms:W3CDTF">2022-08-09T17:06:00Z</dcterms:modified>
</cp:coreProperties>
</file>