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71351" w14:textId="74E8D189" w:rsidR="00B85FD2" w:rsidRPr="007625DC" w:rsidRDefault="00B2288E" w:rsidP="00B85FD2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bookmarkStart w:id="0" w:name="_Hlk107915121"/>
      <w:r>
        <w:rPr>
          <w:rFonts w:ascii="Times New Roman" w:hAnsi="Times New Roman"/>
          <w:b/>
          <w:sz w:val="28"/>
          <w:szCs w:val="28"/>
          <w:lang w:val="en-US"/>
        </w:rPr>
        <w:t>Gr</w:t>
      </w:r>
      <w:r w:rsidR="00B85FD2" w:rsidRPr="007625DC">
        <w:rPr>
          <w:rFonts w:ascii="Times New Roman" w:hAnsi="Times New Roman"/>
          <w:b/>
          <w:sz w:val="28"/>
          <w:szCs w:val="28"/>
          <w:lang w:val="en-US"/>
        </w:rPr>
        <w:t>adual enhancement of corticomotor excitability during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                                    </w:t>
      </w:r>
      <w:r w:rsidR="00B85FD2" w:rsidRPr="007625DC">
        <w:rPr>
          <w:rFonts w:ascii="Times New Roman" w:hAnsi="Times New Roman"/>
          <w:b/>
          <w:sz w:val="28"/>
          <w:szCs w:val="28"/>
          <w:lang w:val="en-US"/>
        </w:rPr>
        <w:t xml:space="preserve">cortico-cortical paired associative stimulation </w:t>
      </w:r>
    </w:p>
    <w:p w14:paraId="58CCF8B8" w14:textId="77777777" w:rsidR="00B85FD2" w:rsidRPr="007625DC" w:rsidRDefault="00B85FD2" w:rsidP="00B85FD2">
      <w:pPr>
        <w:tabs>
          <w:tab w:val="left" w:pos="2378"/>
        </w:tabs>
        <w:spacing w:line="360" w:lineRule="auto"/>
        <w:rPr>
          <w:rFonts w:ascii="Times New Roman" w:hAnsi="Times New Roman"/>
          <w:sz w:val="16"/>
          <w:szCs w:val="16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ab/>
      </w:r>
    </w:p>
    <w:p w14:paraId="4A6E9312" w14:textId="77777777" w:rsidR="00B85FD2" w:rsidRPr="00D36E34" w:rsidRDefault="00B85FD2" w:rsidP="00B85FD2">
      <w:pPr>
        <w:spacing w:line="360" w:lineRule="auto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D36E34">
        <w:rPr>
          <w:rFonts w:ascii="Times New Roman" w:hAnsi="Times New Roman"/>
          <w:sz w:val="24"/>
          <w:szCs w:val="24"/>
        </w:rPr>
        <w:t>Sonia Turrini, Francesca Fiori,</w:t>
      </w:r>
      <w:r w:rsidRPr="00D36E34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D36E34">
        <w:rPr>
          <w:rFonts w:ascii="Times New Roman" w:hAnsi="Times New Roman"/>
          <w:sz w:val="24"/>
          <w:szCs w:val="24"/>
        </w:rPr>
        <w:t>Emilio Chiappini, Emiliano Santarnecchi, Vincenzo Romei, &amp; Alessio Avenanti</w:t>
      </w:r>
    </w:p>
    <w:p w14:paraId="0F0CE66B" w14:textId="77777777" w:rsidR="00B85FD2" w:rsidRPr="00073C62" w:rsidRDefault="00B85FD2" w:rsidP="00B85FD2">
      <w:pPr>
        <w:tabs>
          <w:tab w:val="left" w:pos="5818"/>
        </w:tabs>
        <w:spacing w:line="360" w:lineRule="auto"/>
        <w:jc w:val="both"/>
        <w:rPr>
          <w:rFonts w:ascii="Times New Roman" w:hAnsi="Times New Roman"/>
          <w:b/>
          <w:bCs/>
          <w:sz w:val="10"/>
          <w:szCs w:val="10"/>
        </w:rPr>
      </w:pPr>
    </w:p>
    <w:p w14:paraId="7CF05848" w14:textId="77777777" w:rsidR="00B85FD2" w:rsidRPr="00F150C8" w:rsidRDefault="00B85FD2" w:rsidP="00B85FD2">
      <w:pPr>
        <w:tabs>
          <w:tab w:val="left" w:pos="5818"/>
        </w:tabs>
        <w:spacing w:line="360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F150C8">
        <w:rPr>
          <w:rFonts w:ascii="Times New Roman" w:hAnsi="Times New Roman"/>
          <w:b/>
          <w:bCs/>
          <w:sz w:val="24"/>
          <w:szCs w:val="24"/>
          <w:lang w:val="en-GB"/>
        </w:rPr>
        <w:t>Supplementary information</w:t>
      </w:r>
    </w:p>
    <w:p w14:paraId="2B77B1F3" w14:textId="77777777" w:rsidR="00B85FD2" w:rsidRPr="00F150C8" w:rsidRDefault="00B85FD2" w:rsidP="00B85FD2">
      <w:pPr>
        <w:spacing w:line="360" w:lineRule="auto"/>
        <w:jc w:val="both"/>
        <w:rPr>
          <w:rFonts w:ascii="Times New Roman" w:hAnsi="Times New Roman"/>
          <w:sz w:val="16"/>
          <w:szCs w:val="16"/>
          <w:lang w:val="en-GB"/>
        </w:rPr>
      </w:pPr>
    </w:p>
    <w:p w14:paraId="55B6D85C" w14:textId="455EF880" w:rsidR="00B85FD2" w:rsidRPr="00B85FD2" w:rsidRDefault="00B85FD2" w:rsidP="001678C6">
      <w:pPr>
        <w:spacing w:line="360" w:lineRule="auto"/>
        <w:jc w:val="both"/>
        <w:rPr>
          <w:rFonts w:ascii="Times New Roman" w:hAnsi="Times New Roman"/>
          <w:b/>
          <w:lang w:val="en-US"/>
        </w:rPr>
      </w:pPr>
      <w:r w:rsidRPr="007210C4">
        <w:rPr>
          <w:rFonts w:ascii="Times New Roman" w:hAnsi="Times New Roman"/>
          <w:b/>
          <w:lang w:val="en-US"/>
        </w:rPr>
        <w:t>Supplementary Results</w:t>
      </w:r>
    </w:p>
    <w:tbl>
      <w:tblPr>
        <w:tblStyle w:val="Grigliatabella"/>
        <w:tblW w:w="9679" w:type="dxa"/>
        <w:tblInd w:w="-5" w:type="dxa"/>
        <w:tblLook w:val="04A0" w:firstRow="1" w:lastRow="0" w:firstColumn="1" w:lastColumn="0" w:noHBand="0" w:noVBand="1"/>
      </w:tblPr>
      <w:tblGrid>
        <w:gridCol w:w="1891"/>
        <w:gridCol w:w="1296"/>
        <w:gridCol w:w="1296"/>
        <w:gridCol w:w="1299"/>
        <w:gridCol w:w="1299"/>
        <w:gridCol w:w="1299"/>
        <w:gridCol w:w="1299"/>
      </w:tblGrid>
      <w:tr w:rsidR="00687990" w:rsidRPr="001E3416" w14:paraId="79CF518B" w14:textId="77777777" w:rsidTr="00CF5B6C">
        <w:trPr>
          <w:trHeight w:hRule="exact" w:val="680"/>
        </w:trPr>
        <w:tc>
          <w:tcPr>
            <w:tcW w:w="1891" w:type="dxa"/>
            <w:tcBorders>
              <w:top w:val="nil"/>
              <w:left w:val="nil"/>
            </w:tcBorders>
            <w:vAlign w:val="center"/>
          </w:tcPr>
          <w:p w14:paraId="686E41D5" w14:textId="77777777" w:rsidR="001E3416" w:rsidRPr="001E3416" w:rsidRDefault="001E3416" w:rsidP="00CF5B6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bookmarkStart w:id="1" w:name="_Hlk108633227"/>
          </w:p>
        </w:tc>
        <w:tc>
          <w:tcPr>
            <w:tcW w:w="1296" w:type="dxa"/>
            <w:vAlign w:val="center"/>
          </w:tcPr>
          <w:p w14:paraId="68E067D6" w14:textId="4E6EC503" w:rsidR="001E3416" w:rsidRPr="001E3416" w:rsidRDefault="001E3416" w:rsidP="00CF5B6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341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Epoch 1</w:t>
            </w:r>
          </w:p>
        </w:tc>
        <w:tc>
          <w:tcPr>
            <w:tcW w:w="1296" w:type="dxa"/>
            <w:vAlign w:val="center"/>
          </w:tcPr>
          <w:p w14:paraId="03FC6652" w14:textId="567040FD" w:rsidR="001E3416" w:rsidRPr="001E3416" w:rsidRDefault="001E3416" w:rsidP="00CF5B6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341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Epoch 2</w:t>
            </w:r>
          </w:p>
        </w:tc>
        <w:tc>
          <w:tcPr>
            <w:tcW w:w="1299" w:type="dxa"/>
            <w:vAlign w:val="center"/>
          </w:tcPr>
          <w:p w14:paraId="04EE08A5" w14:textId="6C150C8D" w:rsidR="001E3416" w:rsidRPr="001E3416" w:rsidRDefault="001E3416" w:rsidP="00CF5B6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341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Epoch 3</w:t>
            </w:r>
          </w:p>
        </w:tc>
        <w:tc>
          <w:tcPr>
            <w:tcW w:w="1299" w:type="dxa"/>
            <w:vAlign w:val="center"/>
          </w:tcPr>
          <w:p w14:paraId="3ACE65E7" w14:textId="3DADC1F2" w:rsidR="001E3416" w:rsidRPr="001E3416" w:rsidRDefault="001E3416" w:rsidP="00CF5B6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341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Epoch 4</w:t>
            </w:r>
          </w:p>
        </w:tc>
        <w:tc>
          <w:tcPr>
            <w:tcW w:w="1299" w:type="dxa"/>
            <w:vAlign w:val="center"/>
          </w:tcPr>
          <w:p w14:paraId="1B281F18" w14:textId="45CF3548" w:rsidR="001E3416" w:rsidRPr="001E3416" w:rsidRDefault="001E3416" w:rsidP="00CF5B6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341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Epoch 5</w:t>
            </w:r>
          </w:p>
        </w:tc>
        <w:tc>
          <w:tcPr>
            <w:tcW w:w="1299" w:type="dxa"/>
            <w:vAlign w:val="center"/>
          </w:tcPr>
          <w:p w14:paraId="6D3D9CD4" w14:textId="103328E4" w:rsidR="001E3416" w:rsidRPr="001E3416" w:rsidRDefault="001E3416" w:rsidP="00CF5B6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341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Epoch 6</w:t>
            </w:r>
          </w:p>
        </w:tc>
      </w:tr>
      <w:tr w:rsidR="00687990" w:rsidRPr="001E3416" w14:paraId="7465D5EA" w14:textId="77777777" w:rsidTr="00CF5B6C">
        <w:trPr>
          <w:trHeight w:hRule="exact" w:val="680"/>
        </w:trPr>
        <w:tc>
          <w:tcPr>
            <w:tcW w:w="1891" w:type="dxa"/>
            <w:vAlign w:val="center"/>
          </w:tcPr>
          <w:p w14:paraId="21783929" w14:textId="3120188B" w:rsidR="001E3416" w:rsidRPr="001E3416" w:rsidRDefault="001E3416" w:rsidP="00CF5B6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341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Forward-</w:t>
            </w:r>
            <w:proofErr w:type="spellStart"/>
            <w:r w:rsidRPr="001E341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ccPAS</w:t>
            </w:r>
            <w:proofErr w:type="spellEnd"/>
          </w:p>
        </w:tc>
        <w:tc>
          <w:tcPr>
            <w:tcW w:w="1296" w:type="dxa"/>
            <w:vAlign w:val="center"/>
          </w:tcPr>
          <w:p w14:paraId="1C359085" w14:textId="2FB60684" w:rsidR="001E3416" w:rsidRPr="001E3416" w:rsidRDefault="00D36A32" w:rsidP="00CF5B6C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1.05</w:t>
            </w:r>
            <w:r w:rsidRPr="001E341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±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0.36</w:t>
            </w:r>
          </w:p>
        </w:tc>
        <w:tc>
          <w:tcPr>
            <w:tcW w:w="1296" w:type="dxa"/>
            <w:vAlign w:val="center"/>
          </w:tcPr>
          <w:p w14:paraId="4DF601C0" w14:textId="52955751" w:rsidR="001E3416" w:rsidRPr="001E3416" w:rsidRDefault="00D36A32" w:rsidP="00CF5B6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1.15</w:t>
            </w:r>
            <w:r w:rsidRPr="001E341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±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0.51</w:t>
            </w:r>
          </w:p>
        </w:tc>
        <w:tc>
          <w:tcPr>
            <w:tcW w:w="1299" w:type="dxa"/>
            <w:vAlign w:val="center"/>
          </w:tcPr>
          <w:p w14:paraId="71AE0EDE" w14:textId="519DFF11" w:rsidR="001E3416" w:rsidRPr="001E3416" w:rsidRDefault="00D36A32" w:rsidP="00CF5B6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1.20</w:t>
            </w:r>
            <w:r w:rsidRPr="001E341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±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0.53</w:t>
            </w:r>
          </w:p>
        </w:tc>
        <w:tc>
          <w:tcPr>
            <w:tcW w:w="1299" w:type="dxa"/>
            <w:vAlign w:val="center"/>
          </w:tcPr>
          <w:p w14:paraId="3D7D5EF9" w14:textId="36D150D4" w:rsidR="001E3416" w:rsidRPr="001E3416" w:rsidRDefault="00D36A32" w:rsidP="00CF5B6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1.34</w:t>
            </w:r>
            <w:r w:rsidRPr="001E341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±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0.56</w:t>
            </w:r>
          </w:p>
        </w:tc>
        <w:tc>
          <w:tcPr>
            <w:tcW w:w="1299" w:type="dxa"/>
            <w:vAlign w:val="center"/>
          </w:tcPr>
          <w:p w14:paraId="0DB147E8" w14:textId="5C3359BF" w:rsidR="001E3416" w:rsidRPr="001E3416" w:rsidRDefault="00D36A32" w:rsidP="00CF5B6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1.37</w:t>
            </w:r>
            <w:r w:rsidRPr="001E341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±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0.58</w:t>
            </w:r>
          </w:p>
        </w:tc>
        <w:tc>
          <w:tcPr>
            <w:tcW w:w="1299" w:type="dxa"/>
            <w:vAlign w:val="center"/>
          </w:tcPr>
          <w:p w14:paraId="652053C4" w14:textId="57897D11" w:rsidR="001E3416" w:rsidRPr="001E3416" w:rsidRDefault="00D36A32" w:rsidP="00CF5B6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1.51</w:t>
            </w:r>
            <w:r w:rsidRPr="001E341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±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0.62</w:t>
            </w:r>
          </w:p>
        </w:tc>
      </w:tr>
      <w:tr w:rsidR="00687990" w:rsidRPr="001E3416" w14:paraId="10E10A48" w14:textId="77777777" w:rsidTr="00CF5B6C">
        <w:trPr>
          <w:trHeight w:hRule="exact" w:val="680"/>
        </w:trPr>
        <w:tc>
          <w:tcPr>
            <w:tcW w:w="1891" w:type="dxa"/>
            <w:vAlign w:val="center"/>
          </w:tcPr>
          <w:p w14:paraId="01CC6E3E" w14:textId="07407DE4" w:rsidR="001E3416" w:rsidRPr="001E3416" w:rsidRDefault="001E3416" w:rsidP="00CF5B6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341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Reverse-</w:t>
            </w:r>
            <w:proofErr w:type="spellStart"/>
            <w:r w:rsidRPr="001E341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ccPAS</w:t>
            </w:r>
            <w:proofErr w:type="spellEnd"/>
          </w:p>
        </w:tc>
        <w:tc>
          <w:tcPr>
            <w:tcW w:w="1296" w:type="dxa"/>
            <w:vAlign w:val="center"/>
          </w:tcPr>
          <w:p w14:paraId="1AADFA4C" w14:textId="1CBDD907" w:rsidR="001E3416" w:rsidRPr="001E3416" w:rsidRDefault="00D36A32" w:rsidP="00CF5B6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1.14</w:t>
            </w:r>
            <w:r w:rsidRPr="001E341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±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0.55</w:t>
            </w:r>
          </w:p>
        </w:tc>
        <w:tc>
          <w:tcPr>
            <w:tcW w:w="1296" w:type="dxa"/>
            <w:vAlign w:val="center"/>
          </w:tcPr>
          <w:p w14:paraId="1F67EAD0" w14:textId="1EF282E6" w:rsidR="001E3416" w:rsidRPr="001E3416" w:rsidRDefault="00D36A32" w:rsidP="00CF5B6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1.14</w:t>
            </w:r>
            <w:r w:rsidRPr="001E341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±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0.69</w:t>
            </w:r>
          </w:p>
        </w:tc>
        <w:tc>
          <w:tcPr>
            <w:tcW w:w="1299" w:type="dxa"/>
            <w:vAlign w:val="center"/>
          </w:tcPr>
          <w:p w14:paraId="70A7F6B1" w14:textId="7C9E64BB" w:rsidR="001E3416" w:rsidRPr="001E3416" w:rsidRDefault="00D36A32" w:rsidP="00CF5B6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1.19</w:t>
            </w:r>
            <w:r w:rsidRPr="001E341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±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0.61</w:t>
            </w:r>
          </w:p>
        </w:tc>
        <w:tc>
          <w:tcPr>
            <w:tcW w:w="1299" w:type="dxa"/>
            <w:vAlign w:val="center"/>
          </w:tcPr>
          <w:p w14:paraId="76AFC8ED" w14:textId="473D8BB5" w:rsidR="001E3416" w:rsidRPr="001E3416" w:rsidRDefault="00D36A32" w:rsidP="00CF5B6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1.16</w:t>
            </w:r>
            <w:r w:rsidRPr="001E341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±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0.76</w:t>
            </w:r>
          </w:p>
        </w:tc>
        <w:tc>
          <w:tcPr>
            <w:tcW w:w="1299" w:type="dxa"/>
            <w:vAlign w:val="center"/>
          </w:tcPr>
          <w:p w14:paraId="50BC2A34" w14:textId="130366AE" w:rsidR="001E3416" w:rsidRPr="001E3416" w:rsidRDefault="00DC71B6" w:rsidP="00CF5B6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1.23</w:t>
            </w:r>
            <w:r w:rsidRPr="001E341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±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0.81</w:t>
            </w:r>
          </w:p>
        </w:tc>
        <w:tc>
          <w:tcPr>
            <w:tcW w:w="1299" w:type="dxa"/>
            <w:vAlign w:val="center"/>
          </w:tcPr>
          <w:p w14:paraId="5DABDB57" w14:textId="38059E20" w:rsidR="001E3416" w:rsidRPr="001E3416" w:rsidRDefault="00DC71B6" w:rsidP="00CF5B6C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1.12</w:t>
            </w:r>
            <w:r w:rsidRPr="001E3416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±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0.82</w:t>
            </w:r>
          </w:p>
        </w:tc>
      </w:tr>
    </w:tbl>
    <w:p w14:paraId="7C262083" w14:textId="35D28C67" w:rsidR="001E3416" w:rsidRPr="00DB257B" w:rsidRDefault="00687990" w:rsidP="001678C6">
      <w:pPr>
        <w:spacing w:line="360" w:lineRule="auto"/>
        <w:jc w:val="both"/>
        <w:rPr>
          <w:rFonts w:ascii="Times New Roman" w:hAnsi="Times New Roman"/>
          <w:lang w:val="en-US"/>
        </w:rPr>
      </w:pPr>
      <w:r w:rsidRPr="00687990">
        <w:rPr>
          <w:rFonts w:ascii="Times New Roman" w:hAnsi="Times New Roman"/>
          <w:b/>
          <w:lang w:val="en-US"/>
        </w:rPr>
        <w:t xml:space="preserve">Table </w:t>
      </w:r>
      <w:r w:rsidRPr="00DB257B">
        <w:rPr>
          <w:rFonts w:ascii="Times New Roman" w:hAnsi="Times New Roman"/>
          <w:b/>
          <w:lang w:val="en-US"/>
        </w:rPr>
        <w:t>S1.</w:t>
      </w:r>
      <w:r w:rsidRPr="00DB257B">
        <w:rPr>
          <w:rFonts w:ascii="Times New Roman" w:hAnsi="Times New Roman"/>
          <w:lang w:val="en-US"/>
        </w:rPr>
        <w:t xml:space="preserve"> Raw MEP amplitudes in mV ± standard deviation. </w:t>
      </w:r>
    </w:p>
    <w:p w14:paraId="0F8DB00D" w14:textId="77777777" w:rsidR="00687990" w:rsidRPr="00DB257B" w:rsidRDefault="00687990" w:rsidP="001678C6">
      <w:pPr>
        <w:spacing w:line="360" w:lineRule="auto"/>
        <w:jc w:val="both"/>
        <w:rPr>
          <w:rFonts w:ascii="Times New Roman" w:hAnsi="Times New Roman"/>
          <w:b/>
          <w:i/>
          <w:lang w:val="en-US"/>
        </w:rPr>
      </w:pPr>
    </w:p>
    <w:p w14:paraId="346C67D8" w14:textId="6626DE2C" w:rsidR="001678C6" w:rsidRPr="00DB257B" w:rsidRDefault="001678C6" w:rsidP="001678C6">
      <w:pPr>
        <w:spacing w:line="360" w:lineRule="auto"/>
        <w:jc w:val="both"/>
        <w:rPr>
          <w:rFonts w:ascii="Times New Roman" w:hAnsi="Times New Roman"/>
          <w:b/>
          <w:i/>
          <w:lang w:val="en-US"/>
        </w:rPr>
      </w:pPr>
      <w:r w:rsidRPr="00DB257B">
        <w:rPr>
          <w:rFonts w:ascii="Times New Roman" w:hAnsi="Times New Roman"/>
          <w:b/>
          <w:i/>
          <w:lang w:val="en-US"/>
        </w:rPr>
        <w:t>Influence of</w:t>
      </w:r>
      <w:r w:rsidR="00B90F8F" w:rsidRPr="00DB257B">
        <w:rPr>
          <w:rFonts w:ascii="Times New Roman" w:hAnsi="Times New Roman"/>
          <w:b/>
          <w:i/>
          <w:lang w:val="en-US"/>
        </w:rPr>
        <w:t xml:space="preserve"> study design</w:t>
      </w:r>
      <w:r w:rsidRPr="00DB257B">
        <w:rPr>
          <w:rFonts w:ascii="Times New Roman" w:hAnsi="Times New Roman"/>
          <w:b/>
          <w:i/>
          <w:lang w:val="en-US"/>
        </w:rPr>
        <w:t xml:space="preserve"> </w:t>
      </w:r>
      <w:r w:rsidR="00CC314E" w:rsidRPr="00DB257B">
        <w:rPr>
          <w:rFonts w:ascii="Times New Roman" w:hAnsi="Times New Roman"/>
          <w:b/>
          <w:i/>
          <w:lang w:val="en-US"/>
        </w:rPr>
        <w:t xml:space="preserve">or gender on </w:t>
      </w:r>
      <w:proofErr w:type="spellStart"/>
      <w:r w:rsidR="00CC314E" w:rsidRPr="00DB257B">
        <w:rPr>
          <w:rFonts w:ascii="Times New Roman" w:hAnsi="Times New Roman"/>
          <w:b/>
          <w:i/>
          <w:lang w:val="en-US"/>
        </w:rPr>
        <w:t>ccPAS</w:t>
      </w:r>
      <w:proofErr w:type="spellEnd"/>
      <w:r w:rsidR="00CC314E" w:rsidRPr="00DB257B">
        <w:rPr>
          <w:rFonts w:ascii="Times New Roman" w:hAnsi="Times New Roman"/>
          <w:b/>
          <w:i/>
          <w:lang w:val="en-US"/>
        </w:rPr>
        <w:t xml:space="preserve"> efficacy</w:t>
      </w:r>
    </w:p>
    <w:bookmarkEnd w:id="0"/>
    <w:bookmarkEnd w:id="1"/>
    <w:p w14:paraId="0AC060DA" w14:textId="04AF27CD" w:rsidR="00D24CF2" w:rsidRPr="00DB257B" w:rsidRDefault="007C7781" w:rsidP="00D24CF2">
      <w:pPr>
        <w:spacing w:line="360" w:lineRule="auto"/>
        <w:jc w:val="both"/>
        <w:rPr>
          <w:rFonts w:ascii="Times New Roman" w:hAnsi="Times New Roman"/>
          <w:lang w:val="en-US"/>
        </w:rPr>
      </w:pPr>
      <w:r w:rsidRPr="00DB257B">
        <w:rPr>
          <w:rFonts w:ascii="Times New Roman" w:hAnsi="Times New Roman"/>
          <w:lang w:val="en-US"/>
        </w:rPr>
        <w:t xml:space="preserve">Because the present work pools together data from three studies that have used the </w:t>
      </w:r>
      <w:proofErr w:type="spellStart"/>
      <w:r w:rsidRPr="00DB257B">
        <w:rPr>
          <w:rFonts w:ascii="Times New Roman" w:hAnsi="Times New Roman"/>
          <w:lang w:val="en-US"/>
        </w:rPr>
        <w:t>ccPAS</w:t>
      </w:r>
      <w:proofErr w:type="spellEnd"/>
      <w:r w:rsidRPr="00DB257B">
        <w:rPr>
          <w:rFonts w:ascii="Times New Roman" w:hAnsi="Times New Roman"/>
          <w:lang w:val="en-US"/>
        </w:rPr>
        <w:t xml:space="preserve"> protocol over the same PMv-M1 circuit but had different general experimental designs, it would be theoretically possible that different pre-</w:t>
      </w:r>
      <w:proofErr w:type="spellStart"/>
      <w:r w:rsidRPr="00DB257B">
        <w:rPr>
          <w:rFonts w:ascii="Times New Roman" w:hAnsi="Times New Roman"/>
          <w:lang w:val="en-US"/>
        </w:rPr>
        <w:t>ccPAS</w:t>
      </w:r>
      <w:proofErr w:type="spellEnd"/>
      <w:r w:rsidRPr="00DB257B">
        <w:rPr>
          <w:rFonts w:ascii="Times New Roman" w:hAnsi="Times New Roman"/>
          <w:lang w:val="en-US"/>
        </w:rPr>
        <w:t xml:space="preserve"> test blocks might have influenced the activation status of the selected PMv-to-M1 pathway, resulting in it being more or less malleable and responsive to </w:t>
      </w:r>
      <w:proofErr w:type="spellStart"/>
      <w:r w:rsidRPr="00DB257B">
        <w:rPr>
          <w:rFonts w:ascii="Times New Roman" w:hAnsi="Times New Roman"/>
          <w:lang w:val="en-US"/>
        </w:rPr>
        <w:t>ccPAS</w:t>
      </w:r>
      <w:proofErr w:type="spellEnd"/>
      <w:r w:rsidRPr="00DB257B">
        <w:rPr>
          <w:rFonts w:ascii="Times New Roman" w:hAnsi="Times New Roman"/>
          <w:lang w:val="en-US"/>
        </w:rPr>
        <w:t xml:space="preserve"> between the three studies.</w:t>
      </w:r>
      <w:r w:rsidR="00D24CF2" w:rsidRPr="00DB257B">
        <w:rPr>
          <w:rFonts w:ascii="Times New Roman" w:hAnsi="Times New Roman"/>
          <w:lang w:val="en-US"/>
        </w:rPr>
        <w:t xml:space="preserve"> For example, in Study 1 pre-</w:t>
      </w:r>
      <w:proofErr w:type="spellStart"/>
      <w:r w:rsidR="00D24CF2" w:rsidRPr="00DB257B">
        <w:rPr>
          <w:rFonts w:ascii="Times New Roman" w:hAnsi="Times New Roman"/>
          <w:lang w:val="en-US"/>
        </w:rPr>
        <w:t>ccPAS</w:t>
      </w:r>
      <w:proofErr w:type="spellEnd"/>
      <w:r w:rsidR="00D24CF2" w:rsidRPr="00DB257B">
        <w:rPr>
          <w:rFonts w:ascii="Times New Roman" w:hAnsi="Times New Roman"/>
          <w:lang w:val="en-US"/>
        </w:rPr>
        <w:t xml:space="preserve"> test blocks involved neurophysiological assessment while participants remained at rest, whereas in Study 2 and 3 participants actively performed motor tasks (imitation and manual dexterity tasks, respectively). Moreover, while participants from Study 1 and 2 were tested using two monophasic </w:t>
      </w:r>
      <w:proofErr w:type="spellStart"/>
      <w:r w:rsidR="00D24CF2" w:rsidRPr="00DB257B">
        <w:rPr>
          <w:rFonts w:ascii="Times New Roman" w:hAnsi="Times New Roman"/>
          <w:lang w:val="en-US"/>
        </w:rPr>
        <w:t>Magstim</w:t>
      </w:r>
      <w:proofErr w:type="spellEnd"/>
      <w:r w:rsidR="00D24CF2" w:rsidRPr="00DB257B">
        <w:rPr>
          <w:rFonts w:ascii="Times New Roman" w:hAnsi="Times New Roman"/>
          <w:lang w:val="en-US"/>
        </w:rPr>
        <w:t xml:space="preserve"> 200 stimulators, participants in Study 3 were tested using a monophasic </w:t>
      </w:r>
      <w:proofErr w:type="spellStart"/>
      <w:r w:rsidR="00D24CF2" w:rsidRPr="00DB257B">
        <w:rPr>
          <w:rFonts w:ascii="Times New Roman" w:hAnsi="Times New Roman"/>
          <w:lang w:val="en-US"/>
        </w:rPr>
        <w:t>Magstim</w:t>
      </w:r>
      <w:proofErr w:type="spellEnd"/>
      <w:r w:rsidR="00D24CF2" w:rsidRPr="00DB257B">
        <w:rPr>
          <w:rFonts w:ascii="Times New Roman" w:hAnsi="Times New Roman"/>
          <w:lang w:val="en-US"/>
        </w:rPr>
        <w:t xml:space="preserve"> 200 stimulator for </w:t>
      </w:r>
      <w:proofErr w:type="spellStart"/>
      <w:r w:rsidR="00D24CF2" w:rsidRPr="00DB257B">
        <w:rPr>
          <w:rFonts w:ascii="Times New Roman" w:hAnsi="Times New Roman"/>
          <w:lang w:val="en-US"/>
        </w:rPr>
        <w:t>PMv</w:t>
      </w:r>
      <w:proofErr w:type="spellEnd"/>
      <w:r w:rsidR="00D24CF2" w:rsidRPr="00DB257B">
        <w:rPr>
          <w:rFonts w:ascii="Times New Roman" w:hAnsi="Times New Roman"/>
          <w:lang w:val="en-US"/>
        </w:rPr>
        <w:t xml:space="preserve"> stimulation and a biphasic </w:t>
      </w:r>
      <w:proofErr w:type="spellStart"/>
      <w:r w:rsidR="00D24CF2" w:rsidRPr="00DB257B">
        <w:rPr>
          <w:rFonts w:ascii="Times New Roman" w:hAnsi="Times New Roman"/>
          <w:lang w:val="en-US"/>
        </w:rPr>
        <w:t>Magstim</w:t>
      </w:r>
      <w:proofErr w:type="spellEnd"/>
      <w:r w:rsidR="00D24CF2" w:rsidRPr="00DB257B">
        <w:rPr>
          <w:rFonts w:ascii="Times New Roman" w:hAnsi="Times New Roman"/>
          <w:lang w:val="en-US"/>
        </w:rPr>
        <w:t xml:space="preserve"> Rapid2 stimulator for M1 stimulation (as reported in the study of Fiori et al. </w:t>
      </w:r>
      <w:r w:rsidR="00D24CF2" w:rsidRPr="00DB257B">
        <w:rPr>
          <w:rFonts w:ascii="Times New Roman" w:hAnsi="Times New Roman"/>
          <w:color w:val="2F5496" w:themeColor="accent1" w:themeShade="BF"/>
          <w:lang w:val="en-US"/>
        </w:rPr>
        <w:t>[1]</w:t>
      </w:r>
      <w:r w:rsidR="00D24CF2" w:rsidRPr="00DB257B">
        <w:rPr>
          <w:rFonts w:ascii="Times New Roman" w:hAnsi="Times New Roman"/>
          <w:lang w:val="en-US"/>
        </w:rPr>
        <w:t xml:space="preserve">). Because the biphasic stimulator induces a main current spread in opposite direction relative to the monophasic stimulation, the coil over M1 was rotated to induce a posterior-to-anterior current spread in all participants. </w:t>
      </w:r>
    </w:p>
    <w:p w14:paraId="0AEBF8A5" w14:textId="15615734" w:rsidR="00D24CF2" w:rsidRPr="00DB257B" w:rsidRDefault="007C7781" w:rsidP="00D24CF2">
      <w:pPr>
        <w:spacing w:line="360" w:lineRule="auto"/>
        <w:jc w:val="both"/>
        <w:rPr>
          <w:rFonts w:ascii="Times New Roman" w:hAnsi="Times New Roman"/>
          <w:lang w:val="en-US"/>
        </w:rPr>
      </w:pPr>
      <w:r w:rsidRPr="00DB257B">
        <w:rPr>
          <w:rFonts w:ascii="Times New Roman" w:hAnsi="Times New Roman"/>
          <w:lang w:val="en-US"/>
        </w:rPr>
        <w:t xml:space="preserve">To ensure that such </w:t>
      </w:r>
      <w:r w:rsidR="00EF0201" w:rsidRPr="00DB257B">
        <w:rPr>
          <w:rFonts w:ascii="Times New Roman" w:hAnsi="Times New Roman"/>
          <w:lang w:val="en-US"/>
        </w:rPr>
        <w:t xml:space="preserve">differences </w:t>
      </w:r>
      <w:r w:rsidRPr="00DB257B">
        <w:rPr>
          <w:rFonts w:ascii="Times New Roman" w:hAnsi="Times New Roman"/>
          <w:lang w:val="en-US"/>
        </w:rPr>
        <w:t xml:space="preserve">were not to contaminate </w:t>
      </w:r>
      <w:r w:rsidR="00D24CF2" w:rsidRPr="00DB257B">
        <w:rPr>
          <w:rFonts w:ascii="Times New Roman" w:hAnsi="Times New Roman"/>
          <w:lang w:val="en-US"/>
        </w:rPr>
        <w:t>the reported increase in corticomotor excitability during administration of forward-</w:t>
      </w:r>
      <w:proofErr w:type="spellStart"/>
      <w:r w:rsidR="00D24CF2" w:rsidRPr="00DB257B">
        <w:rPr>
          <w:rFonts w:ascii="Times New Roman" w:hAnsi="Times New Roman"/>
          <w:lang w:val="en-US"/>
        </w:rPr>
        <w:t>ccPAS</w:t>
      </w:r>
      <w:proofErr w:type="spellEnd"/>
      <w:r w:rsidR="00D24CF2" w:rsidRPr="00DB257B">
        <w:rPr>
          <w:rFonts w:ascii="Times New Roman" w:hAnsi="Times New Roman"/>
          <w:lang w:val="en-US"/>
        </w:rPr>
        <w:t xml:space="preserve">, </w:t>
      </w:r>
      <w:r w:rsidRPr="00DB257B">
        <w:rPr>
          <w:rFonts w:ascii="Times New Roman" w:hAnsi="Times New Roman"/>
          <w:lang w:val="en-US"/>
        </w:rPr>
        <w:t>we computed the slope</w:t>
      </w:r>
      <w:r w:rsidR="00CC314E" w:rsidRPr="00DB257B">
        <w:rPr>
          <w:rFonts w:ascii="Times New Roman" w:hAnsi="Times New Roman"/>
          <w:lang w:val="en-US"/>
        </w:rPr>
        <w:t xml:space="preserve"> </w:t>
      </w:r>
      <w:r w:rsidR="00A10C6C" w:rsidRPr="00DB257B">
        <w:rPr>
          <w:rFonts w:ascii="Times New Roman" w:hAnsi="Times New Roman"/>
          <w:lang w:val="en-US"/>
        </w:rPr>
        <w:t xml:space="preserve">of the MEP increase </w:t>
      </w:r>
      <w:r w:rsidR="004E3350" w:rsidRPr="00DB257B">
        <w:rPr>
          <w:rFonts w:ascii="Times New Roman" w:hAnsi="Times New Roman"/>
          <w:lang w:val="en-US"/>
        </w:rPr>
        <w:t xml:space="preserve">across the 90 paired-pulses, </w:t>
      </w:r>
      <w:r w:rsidRPr="00DB257B">
        <w:rPr>
          <w:rFonts w:ascii="Times New Roman" w:hAnsi="Times New Roman"/>
          <w:lang w:val="en-US"/>
        </w:rPr>
        <w:t xml:space="preserve">separately for each </w:t>
      </w:r>
      <w:r w:rsidR="00CF43F4" w:rsidRPr="00DB257B">
        <w:rPr>
          <w:rFonts w:ascii="Times New Roman" w:hAnsi="Times New Roman"/>
          <w:lang w:val="en-US"/>
        </w:rPr>
        <w:t xml:space="preserve">of the three studies, and compared them </w:t>
      </w:r>
      <w:r w:rsidR="00FB3B12" w:rsidRPr="00DB257B">
        <w:rPr>
          <w:rFonts w:ascii="Times New Roman" w:hAnsi="Times New Roman"/>
          <w:lang w:val="en-US"/>
        </w:rPr>
        <w:t>through a</w:t>
      </w:r>
      <w:r w:rsidR="00D24CF2" w:rsidRPr="00DB257B">
        <w:rPr>
          <w:rFonts w:ascii="Times New Roman" w:hAnsi="Times New Roman"/>
          <w:lang w:val="en-US"/>
        </w:rPr>
        <w:t xml:space="preserve"> 1-way</w:t>
      </w:r>
      <w:r w:rsidR="00FB3B12" w:rsidRPr="00DB257B">
        <w:rPr>
          <w:rFonts w:ascii="Times New Roman" w:hAnsi="Times New Roman"/>
          <w:lang w:val="en-US"/>
        </w:rPr>
        <w:t xml:space="preserve"> ANOVA.</w:t>
      </w:r>
      <w:r w:rsidR="00CF43F4" w:rsidRPr="00DB257B">
        <w:rPr>
          <w:rFonts w:ascii="Times New Roman" w:hAnsi="Times New Roman"/>
          <w:lang w:val="en-US"/>
        </w:rPr>
        <w:t xml:space="preserve"> </w:t>
      </w:r>
      <w:r w:rsidR="00D24CF2" w:rsidRPr="00DB257B">
        <w:rPr>
          <w:rFonts w:ascii="Times New Roman" w:hAnsi="Times New Roman"/>
          <w:lang w:val="en-US"/>
        </w:rPr>
        <w:t>The analysis was not significant (F</w:t>
      </w:r>
      <w:r w:rsidR="00D24CF2" w:rsidRPr="00DB257B">
        <w:rPr>
          <w:rFonts w:ascii="Times New Roman" w:hAnsi="Times New Roman"/>
          <w:vertAlign w:val="subscript"/>
          <w:lang w:val="en-US"/>
        </w:rPr>
        <w:t xml:space="preserve">2,53 </w:t>
      </w:r>
      <w:r w:rsidR="00D24CF2" w:rsidRPr="00DB257B">
        <w:rPr>
          <w:rFonts w:ascii="Times New Roman" w:hAnsi="Times New Roman"/>
          <w:lang w:val="en-US"/>
        </w:rPr>
        <w:t xml:space="preserve">= .37, p </w:t>
      </w:r>
      <w:r w:rsidR="00DB257B">
        <w:rPr>
          <w:rFonts w:ascii="Times New Roman" w:hAnsi="Times New Roman"/>
          <w:lang w:val="en-US"/>
        </w:rPr>
        <w:t>=</w:t>
      </w:r>
      <w:r w:rsidR="00D24CF2" w:rsidRPr="00DB257B">
        <w:rPr>
          <w:rFonts w:ascii="Times New Roman" w:hAnsi="Times New Roman"/>
          <w:lang w:val="en-US"/>
        </w:rPr>
        <w:t xml:space="preserve"> .68, Figure S1, panel a)</w:t>
      </w:r>
      <w:r w:rsidR="004E3350" w:rsidRPr="00DB257B">
        <w:rPr>
          <w:rFonts w:ascii="Times New Roman" w:hAnsi="Times New Roman"/>
          <w:lang w:val="en-US"/>
        </w:rPr>
        <w:t xml:space="preserve">, indicating similar slopes across Study 1-3. Thus, </w:t>
      </w:r>
      <w:r w:rsidR="004E3350" w:rsidRPr="00DB257B">
        <w:rPr>
          <w:rFonts w:ascii="Times New Roman" w:hAnsi="Times New Roman"/>
          <w:lang w:val="en-US"/>
        </w:rPr>
        <w:lastRenderedPageBreak/>
        <w:t>MEP enhancement observed during forward-</w:t>
      </w:r>
      <w:proofErr w:type="spellStart"/>
      <w:r w:rsidR="004E3350" w:rsidRPr="00DB257B">
        <w:rPr>
          <w:rFonts w:ascii="Times New Roman" w:hAnsi="Times New Roman"/>
          <w:lang w:val="en-US"/>
        </w:rPr>
        <w:t>ccPAS</w:t>
      </w:r>
      <w:proofErr w:type="spellEnd"/>
      <w:r w:rsidR="004E3350" w:rsidRPr="00DB257B">
        <w:rPr>
          <w:rFonts w:ascii="Times New Roman" w:hAnsi="Times New Roman"/>
          <w:lang w:val="en-US"/>
        </w:rPr>
        <w:t xml:space="preserve"> was comparable in the two subgroups of participants</w:t>
      </w:r>
      <w:bookmarkStart w:id="2" w:name="_GoBack"/>
      <w:bookmarkEnd w:id="2"/>
      <w:r w:rsidR="004E3350" w:rsidRPr="00DB257B">
        <w:rPr>
          <w:rFonts w:ascii="Times New Roman" w:hAnsi="Times New Roman"/>
          <w:lang w:val="en-US"/>
        </w:rPr>
        <w:t xml:space="preserve"> performing motor tasks before </w:t>
      </w:r>
      <w:proofErr w:type="spellStart"/>
      <w:r w:rsidR="004E3350" w:rsidRPr="00DB257B">
        <w:rPr>
          <w:rFonts w:ascii="Times New Roman" w:hAnsi="Times New Roman"/>
          <w:lang w:val="en-US"/>
        </w:rPr>
        <w:t>ccPAS</w:t>
      </w:r>
      <w:proofErr w:type="spellEnd"/>
      <w:r w:rsidR="004E3350" w:rsidRPr="00DB257B">
        <w:rPr>
          <w:rFonts w:ascii="Times New Roman" w:hAnsi="Times New Roman"/>
          <w:lang w:val="en-US"/>
        </w:rPr>
        <w:t xml:space="preserve"> (Study 2 and 3) relative to the subgroup of participant tested at rest (Study 1). Moreover, results suggest comparable findings when using two monophasic stimulators (Study 1 and 2) relative to a monophasic and biphasic stimulator (Study 3).</w:t>
      </w:r>
      <w:r w:rsidR="00EF0201" w:rsidRPr="00DB257B">
        <w:rPr>
          <w:rFonts w:ascii="Times New Roman" w:hAnsi="Times New Roman"/>
          <w:lang w:val="en-US"/>
        </w:rPr>
        <w:t xml:space="preserve"> </w:t>
      </w:r>
      <w:r w:rsidR="004E3350" w:rsidRPr="00DB257B">
        <w:rPr>
          <w:rFonts w:ascii="Times New Roman" w:hAnsi="Times New Roman"/>
          <w:lang w:val="en-US"/>
        </w:rPr>
        <w:t xml:space="preserve">The same results were obtained when using </w:t>
      </w:r>
      <w:r w:rsidR="00D24CF2" w:rsidRPr="00DB257B">
        <w:rPr>
          <w:rFonts w:ascii="Times New Roman" w:hAnsi="Times New Roman"/>
          <w:lang w:val="en-US"/>
        </w:rPr>
        <w:t>the MEP modulation index (F</w:t>
      </w:r>
      <w:r w:rsidR="00D24CF2" w:rsidRPr="00DB257B">
        <w:rPr>
          <w:rFonts w:ascii="Times New Roman" w:hAnsi="Times New Roman"/>
          <w:vertAlign w:val="subscript"/>
          <w:lang w:val="en-US"/>
        </w:rPr>
        <w:t xml:space="preserve">2,53 </w:t>
      </w:r>
      <w:r w:rsidR="00D24CF2" w:rsidRPr="00DB257B">
        <w:rPr>
          <w:rFonts w:ascii="Times New Roman" w:hAnsi="Times New Roman"/>
          <w:lang w:val="en-US"/>
        </w:rPr>
        <w:t xml:space="preserve">= .24, p </w:t>
      </w:r>
      <w:r w:rsidR="00DB257B">
        <w:rPr>
          <w:rFonts w:ascii="Times New Roman" w:hAnsi="Times New Roman"/>
          <w:lang w:val="en-US"/>
        </w:rPr>
        <w:t>=</w:t>
      </w:r>
      <w:r w:rsidR="00D24CF2" w:rsidRPr="00DB257B">
        <w:rPr>
          <w:rFonts w:ascii="Times New Roman" w:hAnsi="Times New Roman"/>
          <w:lang w:val="en-US"/>
        </w:rPr>
        <w:t xml:space="preserve"> .78).</w:t>
      </w:r>
    </w:p>
    <w:p w14:paraId="5681D5EB" w14:textId="08D7A530" w:rsidR="00A10C6C" w:rsidRPr="00DB257B" w:rsidRDefault="00A10C6C" w:rsidP="00995572">
      <w:pPr>
        <w:spacing w:line="360" w:lineRule="auto"/>
        <w:jc w:val="both"/>
        <w:rPr>
          <w:rFonts w:ascii="Times New Roman" w:hAnsi="Times New Roman"/>
          <w:lang w:val="en-US"/>
        </w:rPr>
      </w:pPr>
      <w:r w:rsidRPr="00DB257B">
        <w:rPr>
          <w:rFonts w:ascii="Times New Roman" w:hAnsi="Times New Roman"/>
          <w:lang w:val="en-US"/>
        </w:rPr>
        <w:t xml:space="preserve">We subsequently adopted the same method to test for any gender related differences in individual responsiveness to </w:t>
      </w:r>
      <w:proofErr w:type="spellStart"/>
      <w:r w:rsidRPr="00DB257B">
        <w:rPr>
          <w:rFonts w:ascii="Times New Roman" w:hAnsi="Times New Roman"/>
          <w:lang w:val="en-US"/>
        </w:rPr>
        <w:t>ccPAS</w:t>
      </w:r>
      <w:proofErr w:type="spellEnd"/>
      <w:r w:rsidRPr="00DB257B">
        <w:rPr>
          <w:rFonts w:ascii="Times New Roman" w:hAnsi="Times New Roman"/>
          <w:lang w:val="en-US"/>
        </w:rPr>
        <w:t>, comparing our female and male participants; both the slope (F</w:t>
      </w:r>
      <w:r w:rsidR="00513DD9" w:rsidRPr="00DB257B">
        <w:rPr>
          <w:rFonts w:ascii="Times New Roman" w:hAnsi="Times New Roman"/>
          <w:vertAlign w:val="subscript"/>
          <w:lang w:val="en-US"/>
        </w:rPr>
        <w:t>1,54</w:t>
      </w:r>
      <w:r w:rsidRPr="00DB257B">
        <w:rPr>
          <w:rFonts w:ascii="Times New Roman" w:hAnsi="Times New Roman"/>
          <w:vertAlign w:val="subscript"/>
          <w:lang w:val="en-US"/>
        </w:rPr>
        <w:t xml:space="preserve"> </w:t>
      </w:r>
      <w:r w:rsidRPr="00DB257B">
        <w:rPr>
          <w:rFonts w:ascii="Times New Roman" w:hAnsi="Times New Roman"/>
          <w:lang w:val="en-US"/>
        </w:rPr>
        <w:t>= .0</w:t>
      </w:r>
      <w:r w:rsidR="00513DD9" w:rsidRPr="00DB257B">
        <w:rPr>
          <w:rFonts w:ascii="Times New Roman" w:hAnsi="Times New Roman"/>
          <w:lang w:val="en-US"/>
        </w:rPr>
        <w:t>01</w:t>
      </w:r>
      <w:r w:rsidRPr="00DB257B">
        <w:rPr>
          <w:rFonts w:ascii="Times New Roman" w:hAnsi="Times New Roman"/>
          <w:lang w:val="en-US"/>
        </w:rPr>
        <w:t xml:space="preserve">, p </w:t>
      </w:r>
      <w:r w:rsidR="00DB257B">
        <w:rPr>
          <w:rFonts w:ascii="Times New Roman" w:hAnsi="Times New Roman"/>
          <w:lang w:val="en-US"/>
        </w:rPr>
        <w:t>=</w:t>
      </w:r>
      <w:r w:rsidRPr="00DB257B">
        <w:rPr>
          <w:rFonts w:ascii="Times New Roman" w:hAnsi="Times New Roman"/>
          <w:lang w:val="en-US"/>
        </w:rPr>
        <w:t xml:space="preserve"> .96, Figure S1</w:t>
      </w:r>
      <w:r w:rsidR="00B85FD2" w:rsidRPr="00DB257B">
        <w:rPr>
          <w:rFonts w:ascii="Times New Roman" w:hAnsi="Times New Roman"/>
          <w:lang w:val="en-US"/>
        </w:rPr>
        <w:t xml:space="preserve">, panel </w:t>
      </w:r>
      <w:r w:rsidRPr="00DB257B">
        <w:rPr>
          <w:rFonts w:ascii="Times New Roman" w:hAnsi="Times New Roman"/>
          <w:lang w:val="en-US"/>
        </w:rPr>
        <w:t>b) and the MEP modulation index (F</w:t>
      </w:r>
      <w:r w:rsidR="00513DD9" w:rsidRPr="00DB257B">
        <w:rPr>
          <w:rFonts w:ascii="Times New Roman" w:hAnsi="Times New Roman"/>
          <w:vertAlign w:val="subscript"/>
          <w:lang w:val="en-US"/>
        </w:rPr>
        <w:t>1,54</w:t>
      </w:r>
      <w:r w:rsidRPr="00DB257B">
        <w:rPr>
          <w:rFonts w:ascii="Times New Roman" w:hAnsi="Times New Roman"/>
          <w:vertAlign w:val="subscript"/>
          <w:lang w:val="en-US"/>
        </w:rPr>
        <w:t xml:space="preserve"> </w:t>
      </w:r>
      <w:r w:rsidRPr="00DB257B">
        <w:rPr>
          <w:rFonts w:ascii="Times New Roman" w:hAnsi="Times New Roman"/>
          <w:lang w:val="en-US"/>
        </w:rPr>
        <w:t xml:space="preserve">= </w:t>
      </w:r>
      <w:r w:rsidR="00513DD9" w:rsidRPr="00DB257B">
        <w:rPr>
          <w:rFonts w:ascii="Times New Roman" w:hAnsi="Times New Roman"/>
          <w:lang w:val="en-US"/>
        </w:rPr>
        <w:t>1.22</w:t>
      </w:r>
      <w:r w:rsidRPr="00DB257B">
        <w:rPr>
          <w:rFonts w:ascii="Times New Roman" w:hAnsi="Times New Roman"/>
          <w:lang w:val="en-US"/>
        </w:rPr>
        <w:t xml:space="preserve">, p </w:t>
      </w:r>
      <w:r w:rsidR="00DB257B">
        <w:rPr>
          <w:rFonts w:ascii="Times New Roman" w:hAnsi="Times New Roman"/>
          <w:lang w:val="en-US"/>
        </w:rPr>
        <w:t>=</w:t>
      </w:r>
      <w:r w:rsidRPr="00DB257B">
        <w:rPr>
          <w:rFonts w:ascii="Times New Roman" w:hAnsi="Times New Roman"/>
          <w:lang w:val="en-US"/>
        </w:rPr>
        <w:t xml:space="preserve"> .</w:t>
      </w:r>
      <w:r w:rsidR="00513DD9" w:rsidRPr="00DB257B">
        <w:rPr>
          <w:rFonts w:ascii="Times New Roman" w:hAnsi="Times New Roman"/>
          <w:lang w:val="en-US"/>
        </w:rPr>
        <w:t>27</w:t>
      </w:r>
      <w:r w:rsidRPr="00DB257B">
        <w:rPr>
          <w:rFonts w:ascii="Times New Roman" w:hAnsi="Times New Roman"/>
          <w:lang w:val="en-US"/>
        </w:rPr>
        <w:t xml:space="preserve">) were comparable between </w:t>
      </w:r>
      <w:r w:rsidR="00513DD9" w:rsidRPr="00DB257B">
        <w:rPr>
          <w:rFonts w:ascii="Times New Roman" w:hAnsi="Times New Roman"/>
          <w:lang w:val="en-US"/>
        </w:rPr>
        <w:t>them.</w:t>
      </w:r>
    </w:p>
    <w:p w14:paraId="5EE04BAE" w14:textId="713B90BD" w:rsidR="00943DFB" w:rsidRPr="00DB257B" w:rsidRDefault="00943DFB" w:rsidP="00995572">
      <w:pPr>
        <w:spacing w:line="360" w:lineRule="auto"/>
        <w:jc w:val="both"/>
        <w:rPr>
          <w:rFonts w:ascii="Times New Roman" w:hAnsi="Times New Roman"/>
          <w:lang w:val="en-US"/>
        </w:rPr>
      </w:pPr>
      <w:r w:rsidRPr="00DB257B">
        <w:rPr>
          <w:rFonts w:ascii="Times New Roman" w:hAnsi="Times New Roman"/>
          <w:lang w:val="en-US"/>
        </w:rPr>
        <w:t xml:space="preserve">Finally, to ensure the absence of any interaction between gender related differences and the three different study designs we ran two ANOVAs with factors gender (male, female) and </w:t>
      </w:r>
      <w:r w:rsidR="00DB732C" w:rsidRPr="00DB257B">
        <w:rPr>
          <w:rFonts w:ascii="Times New Roman" w:hAnsi="Times New Roman"/>
          <w:lang w:val="en-US"/>
        </w:rPr>
        <w:t>experimental design (Study 1, Study 2 and Study 3) on both the slope of the MEP increase and MEP modulation index. For both ANOVAs, no main effects or interactions reached significance (all Fs &lt; 1.08, all p &gt; .31)</w:t>
      </w:r>
    </w:p>
    <w:p w14:paraId="152C86EB" w14:textId="77777777" w:rsidR="00687990" w:rsidRDefault="00687990" w:rsidP="00995572">
      <w:pPr>
        <w:spacing w:line="360" w:lineRule="auto"/>
        <w:jc w:val="both"/>
        <w:rPr>
          <w:rFonts w:ascii="Times New Roman" w:hAnsi="Times New Roman"/>
          <w:lang w:val="en-US"/>
        </w:rPr>
      </w:pPr>
    </w:p>
    <w:p w14:paraId="32D1A905" w14:textId="77777777" w:rsidR="009E7A7E" w:rsidRDefault="009E7A7E" w:rsidP="009E7A7E">
      <w:pPr>
        <w:keepNext/>
        <w:spacing w:line="360" w:lineRule="auto"/>
        <w:jc w:val="both"/>
      </w:pPr>
      <w:r>
        <w:rPr>
          <w:noProof/>
        </w:rPr>
        <w:drawing>
          <wp:inline distT="0" distB="0" distL="0" distR="0" wp14:anchorId="5743F1FE" wp14:editId="0C597740">
            <wp:extent cx="6120130" cy="1903730"/>
            <wp:effectExtent l="0" t="0" r="0" b="127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90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1DF57" w14:textId="1EC13A3E" w:rsidR="009E7A7E" w:rsidRPr="00687990" w:rsidRDefault="009E7A7E" w:rsidP="009E7A7E">
      <w:pPr>
        <w:pStyle w:val="Didascalia"/>
        <w:jc w:val="both"/>
        <w:rPr>
          <w:rFonts w:ascii="Times New Roman" w:hAnsi="Times New Roman"/>
          <w:i w:val="0"/>
          <w:color w:val="auto"/>
          <w:sz w:val="22"/>
          <w:szCs w:val="22"/>
          <w:lang w:val="en-GB"/>
        </w:rPr>
      </w:pPr>
      <w:r w:rsidRPr="00687990">
        <w:rPr>
          <w:rFonts w:ascii="Times New Roman" w:hAnsi="Times New Roman"/>
          <w:b/>
          <w:i w:val="0"/>
          <w:color w:val="auto"/>
          <w:sz w:val="22"/>
          <w:szCs w:val="22"/>
          <w:lang w:val="en-GB"/>
        </w:rPr>
        <w:t>Figure S</w:t>
      </w:r>
      <w:r w:rsidRPr="00687990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begin"/>
      </w:r>
      <w:r w:rsidRPr="00687990">
        <w:rPr>
          <w:rFonts w:ascii="Times New Roman" w:hAnsi="Times New Roman"/>
          <w:b/>
          <w:i w:val="0"/>
          <w:color w:val="auto"/>
          <w:sz w:val="22"/>
          <w:szCs w:val="22"/>
          <w:lang w:val="en-GB"/>
        </w:rPr>
        <w:instrText xml:space="preserve"> SEQ Figure \* ARABIC </w:instrText>
      </w:r>
      <w:r w:rsidRPr="00687990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separate"/>
      </w:r>
      <w:r w:rsidRPr="00687990">
        <w:rPr>
          <w:rFonts w:ascii="Times New Roman" w:hAnsi="Times New Roman"/>
          <w:b/>
          <w:i w:val="0"/>
          <w:noProof/>
          <w:color w:val="auto"/>
          <w:sz w:val="22"/>
          <w:szCs w:val="22"/>
          <w:lang w:val="en-GB"/>
        </w:rPr>
        <w:t>1</w:t>
      </w:r>
      <w:r w:rsidRPr="00687990">
        <w:rPr>
          <w:rFonts w:ascii="Times New Roman" w:hAnsi="Times New Roman"/>
          <w:b/>
          <w:i w:val="0"/>
          <w:color w:val="auto"/>
          <w:sz w:val="22"/>
          <w:szCs w:val="22"/>
        </w:rPr>
        <w:fldChar w:fldCharType="end"/>
      </w:r>
      <w:r w:rsidR="00687990" w:rsidRPr="00687990">
        <w:rPr>
          <w:rFonts w:ascii="Times New Roman" w:hAnsi="Times New Roman"/>
          <w:b/>
          <w:i w:val="0"/>
          <w:color w:val="auto"/>
          <w:sz w:val="22"/>
          <w:szCs w:val="22"/>
          <w:lang w:val="en-GB"/>
        </w:rPr>
        <w:t>.</w:t>
      </w:r>
      <w:r w:rsidR="00687990">
        <w:rPr>
          <w:rFonts w:ascii="Times New Roman" w:hAnsi="Times New Roman"/>
          <w:i w:val="0"/>
          <w:color w:val="auto"/>
          <w:sz w:val="22"/>
          <w:szCs w:val="22"/>
          <w:lang w:val="en-GB"/>
        </w:rPr>
        <w:t xml:space="preserve"> </w:t>
      </w:r>
      <w:r w:rsidRPr="00687990">
        <w:rPr>
          <w:rFonts w:ascii="Times New Roman" w:hAnsi="Times New Roman"/>
          <w:i w:val="0"/>
          <w:color w:val="auto"/>
          <w:sz w:val="22"/>
          <w:szCs w:val="22"/>
          <w:lang w:val="en-GB"/>
        </w:rPr>
        <w:t>Influence of Study design (a) and gender (b) on MEP growth during forward-</w:t>
      </w:r>
      <w:proofErr w:type="spellStart"/>
      <w:r w:rsidRPr="00687990">
        <w:rPr>
          <w:rFonts w:ascii="Times New Roman" w:hAnsi="Times New Roman"/>
          <w:i w:val="0"/>
          <w:color w:val="auto"/>
          <w:sz w:val="22"/>
          <w:szCs w:val="22"/>
          <w:lang w:val="en-GB"/>
        </w:rPr>
        <w:t>ccPAS</w:t>
      </w:r>
      <w:proofErr w:type="spellEnd"/>
      <w:r w:rsidRPr="00687990">
        <w:rPr>
          <w:rFonts w:ascii="Times New Roman" w:hAnsi="Times New Roman"/>
          <w:i w:val="0"/>
          <w:color w:val="auto"/>
          <w:sz w:val="22"/>
          <w:szCs w:val="22"/>
          <w:lang w:val="en-GB"/>
        </w:rPr>
        <w:t>.</w:t>
      </w:r>
    </w:p>
    <w:p w14:paraId="7E914B9B" w14:textId="77777777" w:rsidR="00513DD9" w:rsidRDefault="00513DD9" w:rsidP="00995572">
      <w:pPr>
        <w:spacing w:line="360" w:lineRule="auto"/>
        <w:jc w:val="both"/>
        <w:rPr>
          <w:rFonts w:ascii="Times New Roman" w:hAnsi="Times New Roman"/>
          <w:lang w:val="en-US"/>
        </w:rPr>
      </w:pPr>
    </w:p>
    <w:p w14:paraId="30FB88FC" w14:textId="77777777" w:rsidR="007876E5" w:rsidRDefault="007876E5" w:rsidP="006E1541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2A6613">
        <w:rPr>
          <w:rFonts w:ascii="Times New Roman" w:hAnsi="Times New Roman"/>
          <w:b/>
          <w:bCs/>
          <w:sz w:val="24"/>
          <w:szCs w:val="24"/>
          <w:lang w:val="en-US"/>
        </w:rPr>
        <w:t>References</w:t>
      </w:r>
    </w:p>
    <w:p w14:paraId="3CC2ECA9" w14:textId="0DAE095F" w:rsidR="007625DC" w:rsidRPr="007625DC" w:rsidRDefault="007625DC" w:rsidP="00934077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100" w:afterAutospacing="1" w:line="360" w:lineRule="auto"/>
        <w:ind w:left="998" w:hanging="641"/>
        <w:contextualSpacing/>
        <w:rPr>
          <w:rFonts w:ascii="Times New Roman" w:hAnsi="Times New Roman"/>
          <w:noProof/>
          <w:lang w:val="en-US"/>
        </w:rPr>
      </w:pPr>
      <w:r w:rsidRPr="001926BF">
        <w:rPr>
          <w:rFonts w:ascii="Times New Roman" w:hAnsi="Times New Roman"/>
          <w:noProof/>
        </w:rPr>
        <w:t>Fiori</w:t>
      </w:r>
      <w:r w:rsidR="001926BF" w:rsidRPr="001926BF">
        <w:rPr>
          <w:rFonts w:ascii="Times New Roman" w:hAnsi="Times New Roman"/>
          <w:noProof/>
        </w:rPr>
        <w:t>,</w:t>
      </w:r>
      <w:r w:rsidRPr="001926BF">
        <w:rPr>
          <w:rFonts w:ascii="Times New Roman" w:hAnsi="Times New Roman"/>
          <w:noProof/>
        </w:rPr>
        <w:t xml:space="preserve"> F., Chiappini</w:t>
      </w:r>
      <w:r w:rsidR="001926BF" w:rsidRPr="001926BF">
        <w:rPr>
          <w:rFonts w:ascii="Times New Roman" w:hAnsi="Times New Roman"/>
          <w:noProof/>
        </w:rPr>
        <w:t>,</w:t>
      </w:r>
      <w:r w:rsidRPr="001926BF">
        <w:rPr>
          <w:rFonts w:ascii="Times New Roman" w:hAnsi="Times New Roman"/>
          <w:noProof/>
        </w:rPr>
        <w:t xml:space="preserve"> E.</w:t>
      </w:r>
      <w:r w:rsidR="001926BF" w:rsidRPr="001926BF">
        <w:rPr>
          <w:rFonts w:ascii="Times New Roman" w:hAnsi="Times New Roman"/>
          <w:noProof/>
        </w:rPr>
        <w:t>,</w:t>
      </w:r>
      <w:r w:rsidRPr="001926BF">
        <w:rPr>
          <w:rFonts w:ascii="Times New Roman" w:hAnsi="Times New Roman"/>
          <w:noProof/>
        </w:rPr>
        <w:t xml:space="preserve"> &amp; Avenanti</w:t>
      </w:r>
      <w:r w:rsidR="001926BF" w:rsidRPr="001926BF">
        <w:rPr>
          <w:rFonts w:ascii="Times New Roman" w:hAnsi="Times New Roman"/>
          <w:noProof/>
        </w:rPr>
        <w:t>,</w:t>
      </w:r>
      <w:r w:rsidRPr="001926BF">
        <w:rPr>
          <w:rFonts w:ascii="Times New Roman" w:hAnsi="Times New Roman"/>
          <w:noProof/>
        </w:rPr>
        <w:t xml:space="preserve"> A.</w:t>
      </w:r>
      <w:r w:rsidR="00F150C8" w:rsidRPr="001926BF">
        <w:rPr>
          <w:rFonts w:ascii="Times New Roman" w:hAnsi="Times New Roman"/>
          <w:noProof/>
        </w:rPr>
        <w:t xml:space="preserve"> (2018)</w:t>
      </w:r>
      <w:r w:rsidR="001926BF" w:rsidRPr="001926BF">
        <w:rPr>
          <w:rFonts w:ascii="Times New Roman" w:hAnsi="Times New Roman"/>
          <w:noProof/>
        </w:rPr>
        <w:t>.</w:t>
      </w:r>
      <w:r w:rsidRPr="001926BF">
        <w:rPr>
          <w:rFonts w:ascii="Times New Roman" w:hAnsi="Times New Roman"/>
          <w:noProof/>
        </w:rPr>
        <w:t xml:space="preserve"> </w:t>
      </w:r>
      <w:r w:rsidRPr="007625DC">
        <w:rPr>
          <w:rFonts w:ascii="Times New Roman" w:hAnsi="Times New Roman"/>
          <w:noProof/>
          <w:lang w:val="en-US"/>
        </w:rPr>
        <w:t xml:space="preserve">Enhanced action performance following TMS manipulation of associative plasticity in ventral premotor-motor pathway. </w:t>
      </w:r>
      <w:r w:rsidRPr="007625DC">
        <w:rPr>
          <w:rFonts w:ascii="Times New Roman" w:hAnsi="Times New Roman"/>
          <w:i/>
          <w:iCs/>
          <w:noProof/>
          <w:lang w:val="en-US"/>
        </w:rPr>
        <w:t>Neuroimage</w:t>
      </w:r>
      <w:r w:rsidRPr="007625DC">
        <w:rPr>
          <w:rFonts w:ascii="Times New Roman" w:hAnsi="Times New Roman"/>
          <w:noProof/>
          <w:lang w:val="en-US"/>
        </w:rPr>
        <w:t xml:space="preserve"> </w:t>
      </w:r>
      <w:r w:rsidRPr="007625DC">
        <w:rPr>
          <w:rFonts w:ascii="Times New Roman" w:hAnsi="Times New Roman"/>
          <w:b/>
          <w:bCs/>
          <w:noProof/>
          <w:lang w:val="en-US"/>
        </w:rPr>
        <w:t>183</w:t>
      </w:r>
      <w:r w:rsidRPr="007625DC">
        <w:rPr>
          <w:rFonts w:ascii="Times New Roman" w:hAnsi="Times New Roman"/>
          <w:noProof/>
          <w:lang w:val="en-US"/>
        </w:rPr>
        <w:t>, 847–858.</w:t>
      </w:r>
    </w:p>
    <w:p w14:paraId="1C79D358" w14:textId="77777777" w:rsidR="00117DD1" w:rsidRPr="00117DD1" w:rsidRDefault="00117DD1" w:rsidP="00117DD1">
      <w:pPr>
        <w:widowControl w:val="0"/>
        <w:autoSpaceDE w:val="0"/>
        <w:autoSpaceDN w:val="0"/>
        <w:adjustRightInd w:val="0"/>
        <w:spacing w:after="100" w:afterAutospacing="1" w:line="360" w:lineRule="auto"/>
        <w:rPr>
          <w:rFonts w:ascii="Times New Roman" w:hAnsi="Times New Roman"/>
          <w:noProof/>
          <w:lang w:val="en-GB"/>
        </w:rPr>
      </w:pPr>
    </w:p>
    <w:sectPr w:rsidR="00117DD1" w:rsidRPr="00117D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67704A" w14:textId="77777777" w:rsidR="003C3B21" w:rsidRDefault="003C3B21" w:rsidP="00EA6AFD">
      <w:pPr>
        <w:spacing w:after="0" w:line="240" w:lineRule="auto"/>
      </w:pPr>
      <w:r>
        <w:separator/>
      </w:r>
    </w:p>
  </w:endnote>
  <w:endnote w:type="continuationSeparator" w:id="0">
    <w:p w14:paraId="36E2C50B" w14:textId="77777777" w:rsidR="003C3B21" w:rsidRDefault="003C3B21" w:rsidP="00EA6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DDD99B" w14:textId="77777777" w:rsidR="003C3B21" w:rsidRDefault="003C3B21" w:rsidP="00EA6AFD">
      <w:pPr>
        <w:spacing w:after="0" w:line="240" w:lineRule="auto"/>
      </w:pPr>
      <w:r>
        <w:separator/>
      </w:r>
    </w:p>
  </w:footnote>
  <w:footnote w:type="continuationSeparator" w:id="0">
    <w:p w14:paraId="6FD615AE" w14:textId="77777777" w:rsidR="003C3B21" w:rsidRDefault="003C3B21" w:rsidP="00EA6A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5658C"/>
    <w:multiLevelType w:val="hybridMultilevel"/>
    <w:tmpl w:val="FBFA4D58"/>
    <w:lvl w:ilvl="0" w:tplc="DF3ED160">
      <w:start w:val="1"/>
      <w:numFmt w:val="decimal"/>
      <w:lvlText w:val="%1."/>
      <w:lvlJc w:val="left"/>
      <w:pPr>
        <w:ind w:left="1000" w:hanging="64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1A621D"/>
    <w:multiLevelType w:val="hybridMultilevel"/>
    <w:tmpl w:val="8A4275F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7F045D"/>
    <w:multiLevelType w:val="hybridMultilevel"/>
    <w:tmpl w:val="1700AD8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A533C4"/>
    <w:multiLevelType w:val="hybridMultilevel"/>
    <w:tmpl w:val="6B24C52E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8E59AD"/>
    <w:multiLevelType w:val="hybridMultilevel"/>
    <w:tmpl w:val="F8D80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7B4"/>
    <w:rsid w:val="000020BA"/>
    <w:rsid w:val="00017A0A"/>
    <w:rsid w:val="00022E3D"/>
    <w:rsid w:val="00042A60"/>
    <w:rsid w:val="00065185"/>
    <w:rsid w:val="000713D1"/>
    <w:rsid w:val="0007284B"/>
    <w:rsid w:val="00073C62"/>
    <w:rsid w:val="000A2D3A"/>
    <w:rsid w:val="0010431B"/>
    <w:rsid w:val="00117DD1"/>
    <w:rsid w:val="0012164B"/>
    <w:rsid w:val="00151F92"/>
    <w:rsid w:val="001639B9"/>
    <w:rsid w:val="0016749B"/>
    <w:rsid w:val="001678C6"/>
    <w:rsid w:val="00182E22"/>
    <w:rsid w:val="00186B28"/>
    <w:rsid w:val="001926BF"/>
    <w:rsid w:val="001A6CE9"/>
    <w:rsid w:val="001E3416"/>
    <w:rsid w:val="001F4B39"/>
    <w:rsid w:val="002028B1"/>
    <w:rsid w:val="002235CB"/>
    <w:rsid w:val="00226E63"/>
    <w:rsid w:val="00256B5B"/>
    <w:rsid w:val="00287BCB"/>
    <w:rsid w:val="002A547F"/>
    <w:rsid w:val="002A6613"/>
    <w:rsid w:val="002C0D98"/>
    <w:rsid w:val="002E07D7"/>
    <w:rsid w:val="002E60B5"/>
    <w:rsid w:val="002E7F3D"/>
    <w:rsid w:val="002F1872"/>
    <w:rsid w:val="003021CA"/>
    <w:rsid w:val="003022BE"/>
    <w:rsid w:val="00304744"/>
    <w:rsid w:val="00304DB6"/>
    <w:rsid w:val="00314790"/>
    <w:rsid w:val="00337CCB"/>
    <w:rsid w:val="00340820"/>
    <w:rsid w:val="00354B93"/>
    <w:rsid w:val="003666B6"/>
    <w:rsid w:val="00374195"/>
    <w:rsid w:val="00381F48"/>
    <w:rsid w:val="003A2DB4"/>
    <w:rsid w:val="003C3B21"/>
    <w:rsid w:val="003C5505"/>
    <w:rsid w:val="003D3882"/>
    <w:rsid w:val="003D4DFF"/>
    <w:rsid w:val="003D655E"/>
    <w:rsid w:val="003F342A"/>
    <w:rsid w:val="00411483"/>
    <w:rsid w:val="00416941"/>
    <w:rsid w:val="00417485"/>
    <w:rsid w:val="00421716"/>
    <w:rsid w:val="004267B4"/>
    <w:rsid w:val="0043169A"/>
    <w:rsid w:val="00434532"/>
    <w:rsid w:val="00437480"/>
    <w:rsid w:val="00443E49"/>
    <w:rsid w:val="004877CD"/>
    <w:rsid w:val="0049325C"/>
    <w:rsid w:val="004A0301"/>
    <w:rsid w:val="004A06F7"/>
    <w:rsid w:val="004D28F9"/>
    <w:rsid w:val="004E2D9A"/>
    <w:rsid w:val="004E3350"/>
    <w:rsid w:val="004F4EB1"/>
    <w:rsid w:val="004F54D9"/>
    <w:rsid w:val="00507E98"/>
    <w:rsid w:val="005105C4"/>
    <w:rsid w:val="00513DD9"/>
    <w:rsid w:val="00520EF6"/>
    <w:rsid w:val="00524AF9"/>
    <w:rsid w:val="00563002"/>
    <w:rsid w:val="00567CF6"/>
    <w:rsid w:val="005921DB"/>
    <w:rsid w:val="00596D21"/>
    <w:rsid w:val="005A3127"/>
    <w:rsid w:val="005A5284"/>
    <w:rsid w:val="005B43C2"/>
    <w:rsid w:val="005B6A6A"/>
    <w:rsid w:val="005D40C0"/>
    <w:rsid w:val="005D7D31"/>
    <w:rsid w:val="005E3E68"/>
    <w:rsid w:val="00601D82"/>
    <w:rsid w:val="00604989"/>
    <w:rsid w:val="00641C6C"/>
    <w:rsid w:val="006477B7"/>
    <w:rsid w:val="0065090B"/>
    <w:rsid w:val="0065356E"/>
    <w:rsid w:val="0066288D"/>
    <w:rsid w:val="006722B5"/>
    <w:rsid w:val="00687990"/>
    <w:rsid w:val="00690BD6"/>
    <w:rsid w:val="00693EE7"/>
    <w:rsid w:val="006B71E7"/>
    <w:rsid w:val="006C030E"/>
    <w:rsid w:val="006C3262"/>
    <w:rsid w:val="006D7152"/>
    <w:rsid w:val="006E1541"/>
    <w:rsid w:val="006F74B5"/>
    <w:rsid w:val="007028CF"/>
    <w:rsid w:val="00704B31"/>
    <w:rsid w:val="007051C5"/>
    <w:rsid w:val="007060F8"/>
    <w:rsid w:val="00717D86"/>
    <w:rsid w:val="00717E4B"/>
    <w:rsid w:val="007210C4"/>
    <w:rsid w:val="00732FB9"/>
    <w:rsid w:val="00751F2F"/>
    <w:rsid w:val="007522FE"/>
    <w:rsid w:val="007551DB"/>
    <w:rsid w:val="007625DC"/>
    <w:rsid w:val="0077071A"/>
    <w:rsid w:val="00783DE6"/>
    <w:rsid w:val="007876E5"/>
    <w:rsid w:val="00791ED6"/>
    <w:rsid w:val="00797A62"/>
    <w:rsid w:val="007A1C93"/>
    <w:rsid w:val="007B493E"/>
    <w:rsid w:val="007B78A5"/>
    <w:rsid w:val="007C3C5E"/>
    <w:rsid w:val="007C7781"/>
    <w:rsid w:val="007D1CAA"/>
    <w:rsid w:val="007D21C2"/>
    <w:rsid w:val="007E2364"/>
    <w:rsid w:val="007F0652"/>
    <w:rsid w:val="007F6E63"/>
    <w:rsid w:val="00812128"/>
    <w:rsid w:val="008429CE"/>
    <w:rsid w:val="00850E01"/>
    <w:rsid w:val="0088189E"/>
    <w:rsid w:val="008D0F52"/>
    <w:rsid w:val="008D1FB5"/>
    <w:rsid w:val="008D2F2C"/>
    <w:rsid w:val="008D51B5"/>
    <w:rsid w:val="008E46D5"/>
    <w:rsid w:val="008E67BA"/>
    <w:rsid w:val="008E6CF4"/>
    <w:rsid w:val="0091443B"/>
    <w:rsid w:val="00915DF1"/>
    <w:rsid w:val="00934077"/>
    <w:rsid w:val="00934594"/>
    <w:rsid w:val="0094385F"/>
    <w:rsid w:val="00943DFB"/>
    <w:rsid w:val="00944BB4"/>
    <w:rsid w:val="0096094D"/>
    <w:rsid w:val="00987996"/>
    <w:rsid w:val="00995572"/>
    <w:rsid w:val="009A2BEC"/>
    <w:rsid w:val="009B2F32"/>
    <w:rsid w:val="009B43E6"/>
    <w:rsid w:val="009C16C6"/>
    <w:rsid w:val="009C5A91"/>
    <w:rsid w:val="009D0198"/>
    <w:rsid w:val="009D522E"/>
    <w:rsid w:val="009E7A7E"/>
    <w:rsid w:val="00A07767"/>
    <w:rsid w:val="00A10C6C"/>
    <w:rsid w:val="00A24C1F"/>
    <w:rsid w:val="00A32C7E"/>
    <w:rsid w:val="00A355C6"/>
    <w:rsid w:val="00A50563"/>
    <w:rsid w:val="00A8258F"/>
    <w:rsid w:val="00A92D3E"/>
    <w:rsid w:val="00A95ACE"/>
    <w:rsid w:val="00AA4C3F"/>
    <w:rsid w:val="00AB31C0"/>
    <w:rsid w:val="00AB7607"/>
    <w:rsid w:val="00AF1101"/>
    <w:rsid w:val="00AF6C45"/>
    <w:rsid w:val="00B01799"/>
    <w:rsid w:val="00B0183C"/>
    <w:rsid w:val="00B04176"/>
    <w:rsid w:val="00B2288E"/>
    <w:rsid w:val="00B37D13"/>
    <w:rsid w:val="00B42353"/>
    <w:rsid w:val="00B7283B"/>
    <w:rsid w:val="00B85FD2"/>
    <w:rsid w:val="00B90F8F"/>
    <w:rsid w:val="00BA580E"/>
    <w:rsid w:val="00BD0B03"/>
    <w:rsid w:val="00BD400D"/>
    <w:rsid w:val="00C03D08"/>
    <w:rsid w:val="00C175E9"/>
    <w:rsid w:val="00C25533"/>
    <w:rsid w:val="00C4435F"/>
    <w:rsid w:val="00C6229D"/>
    <w:rsid w:val="00C765E3"/>
    <w:rsid w:val="00C85705"/>
    <w:rsid w:val="00CA50ED"/>
    <w:rsid w:val="00CA630B"/>
    <w:rsid w:val="00CB4832"/>
    <w:rsid w:val="00CB4981"/>
    <w:rsid w:val="00CC314E"/>
    <w:rsid w:val="00CD5891"/>
    <w:rsid w:val="00CF4032"/>
    <w:rsid w:val="00CF43F4"/>
    <w:rsid w:val="00CF5B6C"/>
    <w:rsid w:val="00D062E0"/>
    <w:rsid w:val="00D11797"/>
    <w:rsid w:val="00D136DD"/>
    <w:rsid w:val="00D24CF2"/>
    <w:rsid w:val="00D36A32"/>
    <w:rsid w:val="00D51A67"/>
    <w:rsid w:val="00D51D1A"/>
    <w:rsid w:val="00D86EA7"/>
    <w:rsid w:val="00DA38C9"/>
    <w:rsid w:val="00DA40CB"/>
    <w:rsid w:val="00DB1E80"/>
    <w:rsid w:val="00DB257B"/>
    <w:rsid w:val="00DB28CC"/>
    <w:rsid w:val="00DB4884"/>
    <w:rsid w:val="00DB56A3"/>
    <w:rsid w:val="00DB732C"/>
    <w:rsid w:val="00DC71B6"/>
    <w:rsid w:val="00DC7217"/>
    <w:rsid w:val="00DE5837"/>
    <w:rsid w:val="00DE6373"/>
    <w:rsid w:val="00DF645E"/>
    <w:rsid w:val="00E1165F"/>
    <w:rsid w:val="00E166A8"/>
    <w:rsid w:val="00E210C2"/>
    <w:rsid w:val="00E24D38"/>
    <w:rsid w:val="00E401E3"/>
    <w:rsid w:val="00E4173B"/>
    <w:rsid w:val="00E42550"/>
    <w:rsid w:val="00E43F7A"/>
    <w:rsid w:val="00E66C84"/>
    <w:rsid w:val="00E678EB"/>
    <w:rsid w:val="00EA6AFD"/>
    <w:rsid w:val="00EB6D8F"/>
    <w:rsid w:val="00EC19A2"/>
    <w:rsid w:val="00EE007C"/>
    <w:rsid w:val="00EE33CB"/>
    <w:rsid w:val="00EE4884"/>
    <w:rsid w:val="00EE5041"/>
    <w:rsid w:val="00EE5182"/>
    <w:rsid w:val="00EF0201"/>
    <w:rsid w:val="00F007E0"/>
    <w:rsid w:val="00F01FF6"/>
    <w:rsid w:val="00F150C8"/>
    <w:rsid w:val="00F35E79"/>
    <w:rsid w:val="00F35EF9"/>
    <w:rsid w:val="00F369C8"/>
    <w:rsid w:val="00F433B5"/>
    <w:rsid w:val="00F43B65"/>
    <w:rsid w:val="00F66BA6"/>
    <w:rsid w:val="00F677EF"/>
    <w:rsid w:val="00F7182C"/>
    <w:rsid w:val="00F84A38"/>
    <w:rsid w:val="00F86565"/>
    <w:rsid w:val="00FA3AA8"/>
    <w:rsid w:val="00FA7082"/>
    <w:rsid w:val="00FB32AD"/>
    <w:rsid w:val="00FB3B12"/>
    <w:rsid w:val="00FD080B"/>
    <w:rsid w:val="00FE3F93"/>
    <w:rsid w:val="03A65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A3E4BD"/>
  <w15:chartTrackingRefBased/>
  <w15:docId w15:val="{05E09608-D43C-4C9B-9C2F-6436C62CF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267B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7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A0776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B6A6A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Collegamentoipertestuale">
    <w:name w:val="Hyperlink"/>
    <w:uiPriority w:val="99"/>
    <w:unhideWhenUsed/>
    <w:rsid w:val="009C5A91"/>
    <w:rPr>
      <w:color w:val="0563C1"/>
      <w:u w:val="single"/>
    </w:rPr>
  </w:style>
  <w:style w:type="character" w:customStyle="1" w:styleId="Menzionenonrisolta1">
    <w:name w:val="Menzione non risolta1"/>
    <w:uiPriority w:val="99"/>
    <w:semiHidden/>
    <w:unhideWhenUsed/>
    <w:rsid w:val="009C5A91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EE488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E488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TestocommentoCarattere">
    <w:name w:val="Testo commento Carattere"/>
    <w:link w:val="Testocommento"/>
    <w:uiPriority w:val="99"/>
    <w:rsid w:val="00EE4884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customStyle="1" w:styleId="xmsonormal">
    <w:name w:val="x_msonormal"/>
    <w:basedOn w:val="Normale"/>
    <w:rsid w:val="001043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43F7A"/>
    <w:pPr>
      <w:widowControl/>
      <w:suppressAutoHyphens w:val="0"/>
      <w:spacing w:after="160"/>
    </w:pPr>
    <w:rPr>
      <w:rFonts w:ascii="Calibri" w:eastAsia="Calibri" w:hAnsi="Calibri" w:cs="Times New Roman"/>
      <w:b/>
      <w:bCs/>
      <w:kern w:val="0"/>
      <w:szCs w:val="20"/>
      <w:lang w:eastAsia="en-US" w:bidi="ar-SA"/>
    </w:rPr>
  </w:style>
  <w:style w:type="character" w:customStyle="1" w:styleId="SoggettocommentoCarattere">
    <w:name w:val="Soggetto commento Carattere"/>
    <w:link w:val="Soggettocommento"/>
    <w:uiPriority w:val="99"/>
    <w:semiHidden/>
    <w:rsid w:val="00E43F7A"/>
    <w:rPr>
      <w:rFonts w:ascii="Times New Roman" w:eastAsia="SimSun" w:hAnsi="Times New Roman" w:cs="Mangal"/>
      <w:b/>
      <w:bCs/>
      <w:kern w:val="1"/>
      <w:sz w:val="20"/>
      <w:szCs w:val="20"/>
      <w:lang w:eastAsia="hi-I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EA6A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6AFD"/>
  </w:style>
  <w:style w:type="paragraph" w:styleId="Pidipagina">
    <w:name w:val="footer"/>
    <w:basedOn w:val="Normale"/>
    <w:link w:val="PidipaginaCarattere"/>
    <w:uiPriority w:val="99"/>
    <w:unhideWhenUsed/>
    <w:rsid w:val="00EA6A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6AFD"/>
  </w:style>
  <w:style w:type="table" w:styleId="Grigliatabella">
    <w:name w:val="Table Grid"/>
    <w:basedOn w:val="Tabellanormale"/>
    <w:uiPriority w:val="39"/>
    <w:rsid w:val="00F433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2">
    <w:name w:val="Menzione non risolta2"/>
    <w:uiPriority w:val="99"/>
    <w:semiHidden/>
    <w:unhideWhenUsed/>
    <w:rsid w:val="00F35E79"/>
    <w:rPr>
      <w:color w:val="605E5C"/>
      <w:shd w:val="clear" w:color="auto" w:fill="E1DFDD"/>
    </w:rPr>
  </w:style>
  <w:style w:type="character" w:customStyle="1" w:styleId="docsum-journal-citation">
    <w:name w:val="docsum-journal-citation"/>
    <w:basedOn w:val="Carpredefinitoparagrafo"/>
    <w:rsid w:val="00CB4981"/>
  </w:style>
  <w:style w:type="paragraph" w:styleId="Revisione">
    <w:name w:val="Revision"/>
    <w:hidden/>
    <w:uiPriority w:val="99"/>
    <w:semiHidden/>
    <w:rsid w:val="004877CD"/>
    <w:rPr>
      <w:sz w:val="22"/>
      <w:szCs w:val="22"/>
      <w:lang w:eastAsia="en-US"/>
    </w:rPr>
  </w:style>
  <w:style w:type="paragraph" w:styleId="Didascalia">
    <w:name w:val="caption"/>
    <w:basedOn w:val="Normale"/>
    <w:next w:val="Normale"/>
    <w:uiPriority w:val="35"/>
    <w:unhideWhenUsed/>
    <w:qFormat/>
    <w:rsid w:val="009E7A7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4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E766C-6863-4AE4-9F2F-7448A092E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561</Words>
  <Characters>3200</Characters>
  <Application>Microsoft Office Word</Application>
  <DocSecurity>0</DocSecurity>
  <Lines>26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 Marangon</dc:creator>
  <cp:keywords/>
  <dc:description/>
  <cp:lastModifiedBy>Alessio Avenanti</cp:lastModifiedBy>
  <cp:revision>4</cp:revision>
  <dcterms:created xsi:type="dcterms:W3CDTF">2022-07-14T16:44:00Z</dcterms:created>
  <dcterms:modified xsi:type="dcterms:W3CDTF">2022-07-18T22:24:00Z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http://www.zotero.org/styles/cortex</vt:lpwstr>
  </property>
  <property fmtid="{D5CDD505-2E9C-101B-9397-08002B2CF9AE}" pid="15" name="Mendeley Recent Style Name 6_1">
    <vt:lpwstr>Cortex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