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5E5E" w:rsidRDefault="002D4B66" w:rsidP="005D09CD">
      <w:pPr>
        <w:pStyle w:val="Heading1"/>
        <w:rPr>
          <w:rFonts w:ascii="Times New Roman" w:hAnsi="Times New Roman" w:cs="Times New Roman"/>
          <w:b/>
          <w:color w:val="auto"/>
          <w:sz w:val="24"/>
        </w:rPr>
      </w:pPr>
      <w:r w:rsidRPr="008F5BFB">
        <w:rPr>
          <w:rFonts w:ascii="Times New Roman" w:hAnsi="Times New Roman" w:cs="Times New Roman"/>
          <w:b/>
          <w:color w:val="auto"/>
          <w:sz w:val="24"/>
        </w:rPr>
        <w:t xml:space="preserve">Supplementary </w:t>
      </w:r>
      <w:r w:rsidR="00C743D6">
        <w:rPr>
          <w:rFonts w:ascii="Times New Roman" w:hAnsi="Times New Roman" w:cs="Times New Roman"/>
          <w:b/>
          <w:color w:val="auto"/>
          <w:sz w:val="24"/>
        </w:rPr>
        <w:t>Information</w:t>
      </w:r>
      <w:r w:rsidR="00527266">
        <w:rPr>
          <w:rFonts w:ascii="Times New Roman" w:hAnsi="Times New Roman" w:cs="Times New Roman"/>
          <w:b/>
          <w:color w:val="auto"/>
          <w:sz w:val="24"/>
        </w:rPr>
        <w:t xml:space="preserve"> </w:t>
      </w:r>
      <w:r w:rsidR="00871917">
        <w:rPr>
          <w:rFonts w:ascii="Times New Roman" w:hAnsi="Times New Roman" w:cs="Times New Roman"/>
          <w:b/>
          <w:color w:val="auto"/>
          <w:sz w:val="24"/>
        </w:rPr>
        <w:t>for</w:t>
      </w:r>
    </w:p>
    <w:p w:rsidR="00871917" w:rsidRPr="00871917" w:rsidRDefault="00871917" w:rsidP="00871917">
      <w:pPr>
        <w:pStyle w:val="Title"/>
        <w:rPr>
          <w:b w:val="0"/>
          <w:sz w:val="28"/>
        </w:rPr>
      </w:pPr>
      <w:r w:rsidRPr="00871917">
        <w:rPr>
          <w:b w:val="0"/>
          <w:sz w:val="28"/>
        </w:rPr>
        <w:t>Effects of sediment flushing operations versus natural floods on Chinook salmon survival</w:t>
      </w:r>
    </w:p>
    <w:p w:rsidR="00871917" w:rsidRDefault="00871917" w:rsidP="00871917">
      <w:pPr>
        <w:pStyle w:val="Authors"/>
        <w:rPr>
          <w:b w:val="0"/>
          <w:sz w:val="20"/>
          <w:vertAlign w:val="superscript"/>
          <w:lang w:val="en-GB"/>
        </w:rPr>
      </w:pPr>
      <w:r w:rsidRPr="00871917">
        <w:rPr>
          <w:b w:val="0"/>
          <w:sz w:val="20"/>
          <w:lang w:val="en-GB"/>
        </w:rPr>
        <w:t>Manisha Panthi</w:t>
      </w:r>
      <w:r w:rsidRPr="00871917">
        <w:rPr>
          <w:b w:val="0"/>
          <w:sz w:val="20"/>
          <w:vertAlign w:val="superscript"/>
          <w:lang w:val="en-GB"/>
        </w:rPr>
        <w:t>1,</w:t>
      </w:r>
      <w:proofErr w:type="gramStart"/>
      <w:r w:rsidRPr="00871917">
        <w:rPr>
          <w:b w:val="0"/>
          <w:sz w:val="20"/>
          <w:vertAlign w:val="superscript"/>
          <w:lang w:val="en-GB"/>
        </w:rPr>
        <w:t>2,*</w:t>
      </w:r>
      <w:proofErr w:type="gramEnd"/>
      <w:r w:rsidRPr="00871917">
        <w:rPr>
          <w:b w:val="0"/>
          <w:sz w:val="20"/>
          <w:lang w:val="en-GB"/>
        </w:rPr>
        <w:t>, Aaron A. Lee</w:t>
      </w:r>
      <w:r w:rsidRPr="00871917">
        <w:rPr>
          <w:b w:val="0"/>
          <w:sz w:val="20"/>
          <w:vertAlign w:val="superscript"/>
          <w:lang w:val="en-GB"/>
        </w:rPr>
        <w:t>3</w:t>
      </w:r>
      <w:r w:rsidRPr="00871917">
        <w:rPr>
          <w:b w:val="0"/>
          <w:sz w:val="20"/>
          <w:lang w:val="en-GB"/>
        </w:rPr>
        <w:t>, Sudesh Dahal</w:t>
      </w:r>
      <w:r w:rsidRPr="00871917">
        <w:rPr>
          <w:b w:val="0"/>
          <w:sz w:val="20"/>
          <w:vertAlign w:val="superscript"/>
          <w:lang w:val="en-GB"/>
        </w:rPr>
        <w:t>4</w:t>
      </w:r>
      <w:r w:rsidRPr="00871917">
        <w:rPr>
          <w:b w:val="0"/>
          <w:sz w:val="20"/>
          <w:lang w:val="en-GB"/>
        </w:rPr>
        <w:t xml:space="preserve">, </w:t>
      </w:r>
      <w:proofErr w:type="spellStart"/>
      <w:r w:rsidRPr="00871917">
        <w:rPr>
          <w:b w:val="0"/>
          <w:sz w:val="20"/>
          <w:lang w:val="en-GB"/>
        </w:rPr>
        <w:t>Amgad</w:t>
      </w:r>
      <w:proofErr w:type="spellEnd"/>
      <w:r w:rsidRPr="00871917">
        <w:rPr>
          <w:b w:val="0"/>
          <w:sz w:val="20"/>
          <w:lang w:val="en-GB"/>
        </w:rPr>
        <w:t xml:space="preserve"> Omer</w:t>
      </w:r>
      <w:r w:rsidRPr="00871917">
        <w:rPr>
          <w:b w:val="0"/>
          <w:sz w:val="20"/>
          <w:vertAlign w:val="superscript"/>
          <w:lang w:val="en-GB"/>
        </w:rPr>
        <w:t>5</w:t>
      </w:r>
      <w:r w:rsidRPr="00871917">
        <w:rPr>
          <w:b w:val="0"/>
          <w:sz w:val="20"/>
          <w:lang w:val="en-GB"/>
        </w:rPr>
        <w:t>, Mário J. Franca</w:t>
      </w:r>
      <w:r w:rsidRPr="00871917">
        <w:rPr>
          <w:b w:val="0"/>
          <w:sz w:val="20"/>
          <w:vertAlign w:val="superscript"/>
          <w:lang w:val="en-GB"/>
        </w:rPr>
        <w:t>1,6,7</w:t>
      </w:r>
      <w:r w:rsidRPr="00871917">
        <w:rPr>
          <w:b w:val="0"/>
          <w:sz w:val="20"/>
          <w:lang w:val="en-GB"/>
        </w:rPr>
        <w:t>, Alessandra Crosato</w:t>
      </w:r>
      <w:r w:rsidRPr="00871917">
        <w:rPr>
          <w:b w:val="0"/>
          <w:sz w:val="20"/>
          <w:vertAlign w:val="superscript"/>
          <w:lang w:val="en-GB"/>
        </w:rPr>
        <w:t>7,8</w:t>
      </w:r>
    </w:p>
    <w:p w:rsidR="00F42E71" w:rsidRPr="00F42E71" w:rsidRDefault="00F42E71" w:rsidP="00F42E71">
      <w:pPr>
        <w:rPr>
          <w:rFonts w:ascii="Times New Roman" w:hAnsi="Times New Roman" w:cs="Times New Roman"/>
          <w:sz w:val="18"/>
        </w:rPr>
      </w:pPr>
      <w:r w:rsidRPr="00F42E71">
        <w:rPr>
          <w:rFonts w:ascii="Times New Roman" w:hAnsi="Times New Roman" w:cs="Times New Roman"/>
          <w:sz w:val="18"/>
          <w:vertAlign w:val="superscript"/>
        </w:rPr>
        <w:t>*</w:t>
      </w:r>
      <w:r w:rsidRPr="00F42E71">
        <w:rPr>
          <w:rFonts w:ascii="Times New Roman" w:hAnsi="Times New Roman" w:cs="Times New Roman"/>
          <w:sz w:val="18"/>
        </w:rPr>
        <w:t xml:space="preserve">corresponding author: </w:t>
      </w:r>
      <w:hyperlink r:id="rId5" w:history="1">
        <w:r w:rsidRPr="00F42E71">
          <w:rPr>
            <w:rStyle w:val="Hyperlink"/>
            <w:rFonts w:ascii="Times New Roman" w:hAnsi="Times New Roman" w:cs="Times New Roman"/>
            <w:sz w:val="18"/>
          </w:rPr>
          <w:t>manisha.panthi@usu.edu</w:t>
        </w:r>
      </w:hyperlink>
      <w:r w:rsidRPr="00F42E71">
        <w:rPr>
          <w:rFonts w:ascii="Times New Roman" w:hAnsi="Times New Roman" w:cs="Times New Roman"/>
          <w:sz w:val="18"/>
        </w:rPr>
        <w:t xml:space="preserve"> </w:t>
      </w:r>
    </w:p>
    <w:p w:rsidR="005D09CD" w:rsidRDefault="005D09CD">
      <w:pPr>
        <w:rPr>
          <w:rFonts w:ascii="Times New Roman" w:hAnsi="Times New Roman" w:cs="Times New Roman"/>
          <w:sz w:val="28"/>
        </w:rPr>
      </w:pPr>
      <w:bookmarkStart w:id="0" w:name="_GoBack"/>
      <w:bookmarkEnd w:id="0"/>
    </w:p>
    <w:p w:rsidR="005D09CD" w:rsidRPr="007D6EC7" w:rsidRDefault="005D09CD" w:rsidP="005D09CD">
      <w:pPr>
        <w:pStyle w:val="Caption"/>
      </w:pPr>
      <w:bookmarkStart w:id="1" w:name="_Ref87795200"/>
      <w:r w:rsidRPr="007D6EC7">
        <w:t xml:space="preserve">Table </w:t>
      </w:r>
      <w:fldSimple w:instr=" SEQ Table \* ALPHABETIC ">
        <w:r>
          <w:rPr>
            <w:noProof/>
          </w:rPr>
          <w:t>A</w:t>
        </w:r>
      </w:fldSimple>
      <w:bookmarkEnd w:id="1"/>
      <w:r>
        <w:t>1</w:t>
      </w:r>
      <w:r w:rsidRPr="007D6EC7">
        <w:t xml:space="preserve"> Characteristics of suspended solids for the scenarios of the sensitivity analysis</w:t>
      </w:r>
      <w:r>
        <w:t xml:space="preserve">. </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2013"/>
        <w:gridCol w:w="1710"/>
        <w:gridCol w:w="1980"/>
        <w:gridCol w:w="2340"/>
      </w:tblGrid>
      <w:tr w:rsidR="005D09CD" w:rsidRPr="007D6EC7" w:rsidTr="008F5B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5D09CD" w:rsidRPr="007D6EC7" w:rsidRDefault="005D09CD" w:rsidP="000F1F54">
            <w:pPr>
              <w:pStyle w:val="Tables"/>
              <w:spacing w:after="0"/>
              <w:rPr>
                <w:b w:val="0"/>
                <w:sz w:val="20"/>
              </w:rPr>
            </w:pPr>
            <w:r w:rsidRPr="007D6EC7">
              <w:rPr>
                <w:b w:val="0"/>
                <w:sz w:val="20"/>
              </w:rPr>
              <w:t>S</w:t>
            </w:r>
            <w:r w:rsidR="00170AAE">
              <w:rPr>
                <w:b w:val="0"/>
                <w:sz w:val="20"/>
              </w:rPr>
              <w:t>erial Number</w:t>
            </w:r>
          </w:p>
        </w:tc>
        <w:tc>
          <w:tcPr>
            <w:tcW w:w="2013" w:type="dxa"/>
          </w:tcPr>
          <w:p w:rsidR="005D09CD" w:rsidRPr="007D6EC7" w:rsidRDefault="005D09CD" w:rsidP="000F1F54">
            <w:pPr>
              <w:pStyle w:val="Tables"/>
              <w:spacing w:after="0"/>
              <w:cnfStyle w:val="100000000000" w:firstRow="1" w:lastRow="0" w:firstColumn="0" w:lastColumn="0" w:oddVBand="0" w:evenVBand="0" w:oddHBand="0" w:evenHBand="0" w:firstRowFirstColumn="0" w:firstRowLastColumn="0" w:lastRowFirstColumn="0" w:lastRowLastColumn="0"/>
              <w:rPr>
                <w:b w:val="0"/>
                <w:sz w:val="20"/>
              </w:rPr>
            </w:pPr>
            <w:r w:rsidRPr="007D6EC7">
              <w:rPr>
                <w:b w:val="0"/>
                <w:sz w:val="20"/>
              </w:rPr>
              <w:t>Suspended Solid</w:t>
            </w:r>
          </w:p>
        </w:tc>
        <w:tc>
          <w:tcPr>
            <w:tcW w:w="1710" w:type="dxa"/>
          </w:tcPr>
          <w:p w:rsidR="005D09CD" w:rsidRPr="007D6EC7" w:rsidRDefault="005D09CD" w:rsidP="000F1F54">
            <w:pPr>
              <w:pStyle w:val="Tables"/>
              <w:spacing w:after="0"/>
              <w:cnfStyle w:val="100000000000" w:firstRow="1" w:lastRow="0" w:firstColumn="0" w:lastColumn="0" w:oddVBand="0" w:evenVBand="0" w:oddHBand="0" w:evenHBand="0" w:firstRowFirstColumn="0" w:firstRowLastColumn="0" w:lastRowFirstColumn="0" w:lastRowLastColumn="0"/>
              <w:rPr>
                <w:b w:val="0"/>
                <w:sz w:val="20"/>
              </w:rPr>
            </w:pPr>
            <w:r w:rsidRPr="007D6EC7">
              <w:rPr>
                <w:b w:val="0"/>
                <w:sz w:val="20"/>
              </w:rPr>
              <w:t>Diameter [mm]</w:t>
            </w:r>
          </w:p>
        </w:tc>
        <w:tc>
          <w:tcPr>
            <w:tcW w:w="1980" w:type="dxa"/>
          </w:tcPr>
          <w:p w:rsidR="005D09CD" w:rsidRPr="007D6EC7" w:rsidRDefault="005D09CD" w:rsidP="000F1F54">
            <w:pPr>
              <w:pStyle w:val="Tables"/>
              <w:spacing w:after="0"/>
              <w:cnfStyle w:val="100000000000" w:firstRow="1" w:lastRow="0" w:firstColumn="0" w:lastColumn="0" w:oddVBand="0" w:evenVBand="0" w:oddHBand="0" w:evenHBand="0" w:firstRowFirstColumn="0" w:firstRowLastColumn="0" w:lastRowFirstColumn="0" w:lastRowLastColumn="0"/>
              <w:rPr>
                <w:b w:val="0"/>
                <w:sz w:val="20"/>
              </w:rPr>
            </w:pPr>
            <w:r w:rsidRPr="007D6EC7">
              <w:rPr>
                <w:b w:val="0"/>
                <w:sz w:val="20"/>
              </w:rPr>
              <w:t>Fall Velocity [m/s]</w:t>
            </w:r>
          </w:p>
        </w:tc>
        <w:tc>
          <w:tcPr>
            <w:tcW w:w="2340" w:type="dxa"/>
          </w:tcPr>
          <w:p w:rsidR="005D09CD" w:rsidRPr="007D6EC7" w:rsidRDefault="005D09CD" w:rsidP="000F1F54">
            <w:pPr>
              <w:pStyle w:val="Tables"/>
              <w:spacing w:after="0"/>
              <w:cnfStyle w:val="100000000000" w:firstRow="1" w:lastRow="0" w:firstColumn="0" w:lastColumn="0" w:oddVBand="0" w:evenVBand="0" w:oddHBand="0" w:evenHBand="0" w:firstRowFirstColumn="0" w:firstRowLastColumn="0" w:lastRowFirstColumn="0" w:lastRowLastColumn="0"/>
              <w:rPr>
                <w:b w:val="0"/>
                <w:sz w:val="20"/>
              </w:rPr>
            </w:pPr>
            <w:r w:rsidRPr="007D6EC7">
              <w:rPr>
                <w:b w:val="0"/>
                <w:sz w:val="20"/>
              </w:rPr>
              <w:t>Input Boundary Condition</w:t>
            </w:r>
          </w:p>
        </w:tc>
      </w:tr>
      <w:tr w:rsidR="005D09CD" w:rsidRPr="007D6EC7" w:rsidTr="008F5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5D09CD" w:rsidRPr="007D6EC7" w:rsidRDefault="005D09CD" w:rsidP="000F1F54">
            <w:pPr>
              <w:pStyle w:val="Tables"/>
              <w:spacing w:after="0"/>
              <w:rPr>
                <w:b w:val="0"/>
                <w:sz w:val="20"/>
              </w:rPr>
            </w:pPr>
            <w:r w:rsidRPr="007D6EC7">
              <w:rPr>
                <w:b w:val="0"/>
                <w:sz w:val="20"/>
              </w:rPr>
              <w:t>1</w:t>
            </w:r>
          </w:p>
        </w:tc>
        <w:tc>
          <w:tcPr>
            <w:tcW w:w="2013" w:type="dxa"/>
          </w:tcPr>
          <w:p w:rsidR="005D09CD" w:rsidRPr="007D6EC7" w:rsidRDefault="005D09CD" w:rsidP="000F1F54">
            <w:pPr>
              <w:pStyle w:val="Tables"/>
              <w:spacing w:after="0"/>
              <w:cnfStyle w:val="000000100000" w:firstRow="0" w:lastRow="0" w:firstColumn="0" w:lastColumn="0" w:oddVBand="0" w:evenVBand="0" w:oddHBand="1" w:evenHBand="0" w:firstRowFirstColumn="0" w:firstRowLastColumn="0" w:lastRowFirstColumn="0" w:lastRowLastColumn="0"/>
              <w:rPr>
                <w:sz w:val="20"/>
              </w:rPr>
            </w:pPr>
            <w:r w:rsidRPr="007D6EC7">
              <w:rPr>
                <w:sz w:val="20"/>
              </w:rPr>
              <w:t>Sand</w:t>
            </w:r>
          </w:p>
        </w:tc>
        <w:tc>
          <w:tcPr>
            <w:tcW w:w="1710" w:type="dxa"/>
          </w:tcPr>
          <w:p w:rsidR="005D09CD" w:rsidRPr="007D6EC7" w:rsidRDefault="005D09CD" w:rsidP="000F1F54">
            <w:pPr>
              <w:pStyle w:val="Tables"/>
              <w:spacing w:after="0"/>
              <w:cnfStyle w:val="000000100000" w:firstRow="0" w:lastRow="0" w:firstColumn="0" w:lastColumn="0" w:oddVBand="0" w:evenVBand="0" w:oddHBand="1" w:evenHBand="0" w:firstRowFirstColumn="0" w:firstRowLastColumn="0" w:lastRowFirstColumn="0" w:lastRowLastColumn="0"/>
              <w:rPr>
                <w:sz w:val="20"/>
              </w:rPr>
            </w:pPr>
            <w:r w:rsidRPr="007D6EC7">
              <w:rPr>
                <w:sz w:val="20"/>
              </w:rPr>
              <w:t>0.3</w:t>
            </w:r>
          </w:p>
        </w:tc>
        <w:tc>
          <w:tcPr>
            <w:tcW w:w="1980" w:type="dxa"/>
          </w:tcPr>
          <w:p w:rsidR="005D09CD" w:rsidRPr="007D6EC7" w:rsidRDefault="005D09CD" w:rsidP="000F1F54">
            <w:pPr>
              <w:pStyle w:val="Tables"/>
              <w:spacing w:after="0"/>
              <w:cnfStyle w:val="000000100000" w:firstRow="0" w:lastRow="0" w:firstColumn="0" w:lastColumn="0" w:oddVBand="0" w:evenVBand="0" w:oddHBand="1" w:evenHBand="0" w:firstRowFirstColumn="0" w:firstRowLastColumn="0" w:lastRowFirstColumn="0" w:lastRowLastColumn="0"/>
              <w:rPr>
                <w:sz w:val="20"/>
              </w:rPr>
            </w:pPr>
            <w:r w:rsidRPr="007D6EC7">
              <w:rPr>
                <w:sz w:val="20"/>
              </w:rPr>
              <w:t>0.036</w:t>
            </w:r>
          </w:p>
        </w:tc>
        <w:tc>
          <w:tcPr>
            <w:tcW w:w="2340" w:type="dxa"/>
            <w:vMerge w:val="restart"/>
          </w:tcPr>
          <w:p w:rsidR="005D09CD" w:rsidRPr="007D6EC7" w:rsidRDefault="005D09CD" w:rsidP="000F1F54">
            <w:pPr>
              <w:pStyle w:val="Tables"/>
              <w:spacing w:after="0"/>
              <w:cnfStyle w:val="000000100000" w:firstRow="0" w:lastRow="0" w:firstColumn="0" w:lastColumn="0" w:oddVBand="0" w:evenVBand="0" w:oddHBand="1" w:evenHBand="0" w:firstRowFirstColumn="0" w:firstRowLastColumn="0" w:lastRowFirstColumn="0" w:lastRowLastColumn="0"/>
              <w:rPr>
                <w:sz w:val="20"/>
              </w:rPr>
            </w:pPr>
            <w:r w:rsidRPr="007D6EC7">
              <w:rPr>
                <w:sz w:val="20"/>
              </w:rPr>
              <w:t>Output from Reservoir model RF_80</w:t>
            </w:r>
          </w:p>
        </w:tc>
      </w:tr>
      <w:tr w:rsidR="005D09CD" w:rsidRPr="007D6EC7" w:rsidTr="008F5BFB">
        <w:tc>
          <w:tcPr>
            <w:cnfStyle w:val="001000000000" w:firstRow="0" w:lastRow="0" w:firstColumn="1" w:lastColumn="0" w:oddVBand="0" w:evenVBand="0" w:oddHBand="0" w:evenHBand="0" w:firstRowFirstColumn="0" w:firstRowLastColumn="0" w:lastRowFirstColumn="0" w:lastRowLastColumn="0"/>
            <w:tcW w:w="572" w:type="dxa"/>
          </w:tcPr>
          <w:p w:rsidR="005D09CD" w:rsidRPr="007D6EC7" w:rsidRDefault="005D09CD" w:rsidP="000F1F54">
            <w:pPr>
              <w:pStyle w:val="Tables"/>
              <w:spacing w:after="0"/>
              <w:rPr>
                <w:b w:val="0"/>
                <w:sz w:val="20"/>
              </w:rPr>
            </w:pPr>
            <w:r w:rsidRPr="007D6EC7">
              <w:rPr>
                <w:b w:val="0"/>
                <w:sz w:val="20"/>
              </w:rPr>
              <w:t>2</w:t>
            </w:r>
          </w:p>
        </w:tc>
        <w:tc>
          <w:tcPr>
            <w:tcW w:w="2013" w:type="dxa"/>
          </w:tcPr>
          <w:p w:rsidR="005D09CD" w:rsidRPr="007D6EC7" w:rsidRDefault="005D09CD" w:rsidP="000F1F54">
            <w:pPr>
              <w:pStyle w:val="Tables"/>
              <w:spacing w:after="0"/>
              <w:cnfStyle w:val="000000000000" w:firstRow="0" w:lastRow="0" w:firstColumn="0" w:lastColumn="0" w:oddVBand="0" w:evenVBand="0" w:oddHBand="0" w:evenHBand="0" w:firstRowFirstColumn="0" w:firstRowLastColumn="0" w:lastRowFirstColumn="0" w:lastRowLastColumn="0"/>
              <w:rPr>
                <w:sz w:val="20"/>
              </w:rPr>
            </w:pPr>
            <w:r w:rsidRPr="007D6EC7">
              <w:rPr>
                <w:sz w:val="20"/>
              </w:rPr>
              <w:t>Silt</w:t>
            </w:r>
          </w:p>
        </w:tc>
        <w:tc>
          <w:tcPr>
            <w:tcW w:w="1710" w:type="dxa"/>
          </w:tcPr>
          <w:p w:rsidR="005D09CD" w:rsidRPr="007D6EC7" w:rsidRDefault="005D09CD" w:rsidP="000F1F54">
            <w:pPr>
              <w:pStyle w:val="Tables"/>
              <w:spacing w:after="0"/>
              <w:cnfStyle w:val="000000000000" w:firstRow="0" w:lastRow="0" w:firstColumn="0" w:lastColumn="0" w:oddVBand="0" w:evenVBand="0" w:oddHBand="0" w:evenHBand="0" w:firstRowFirstColumn="0" w:firstRowLastColumn="0" w:lastRowFirstColumn="0" w:lastRowLastColumn="0"/>
              <w:rPr>
                <w:sz w:val="20"/>
              </w:rPr>
            </w:pPr>
            <w:r w:rsidRPr="007D6EC7">
              <w:rPr>
                <w:sz w:val="20"/>
              </w:rPr>
              <w:t>0.063-0.03</w:t>
            </w:r>
          </w:p>
        </w:tc>
        <w:tc>
          <w:tcPr>
            <w:tcW w:w="1980" w:type="dxa"/>
          </w:tcPr>
          <w:p w:rsidR="005D09CD" w:rsidRPr="007D6EC7" w:rsidRDefault="005D09CD" w:rsidP="000F1F54">
            <w:pPr>
              <w:pStyle w:val="Tables"/>
              <w:spacing w:after="0"/>
              <w:cnfStyle w:val="000000000000" w:firstRow="0" w:lastRow="0" w:firstColumn="0" w:lastColumn="0" w:oddVBand="0" w:evenVBand="0" w:oddHBand="0" w:evenHBand="0" w:firstRowFirstColumn="0" w:firstRowLastColumn="0" w:lastRowFirstColumn="0" w:lastRowLastColumn="0"/>
              <w:rPr>
                <w:sz w:val="20"/>
              </w:rPr>
            </w:pPr>
            <w:r w:rsidRPr="007D6EC7">
              <w:rPr>
                <w:sz w:val="20"/>
              </w:rPr>
              <w:t>0.0008</w:t>
            </w:r>
          </w:p>
        </w:tc>
        <w:tc>
          <w:tcPr>
            <w:tcW w:w="2340" w:type="dxa"/>
            <w:vMerge/>
          </w:tcPr>
          <w:p w:rsidR="005D09CD" w:rsidRPr="007D6EC7" w:rsidRDefault="005D09CD" w:rsidP="000F1F54">
            <w:pPr>
              <w:pStyle w:val="Tables"/>
              <w:spacing w:after="0"/>
              <w:cnfStyle w:val="000000000000" w:firstRow="0" w:lastRow="0" w:firstColumn="0" w:lastColumn="0" w:oddVBand="0" w:evenVBand="0" w:oddHBand="0" w:evenHBand="0" w:firstRowFirstColumn="0" w:firstRowLastColumn="0" w:lastRowFirstColumn="0" w:lastRowLastColumn="0"/>
              <w:rPr>
                <w:sz w:val="20"/>
              </w:rPr>
            </w:pPr>
          </w:p>
        </w:tc>
      </w:tr>
      <w:tr w:rsidR="005D09CD" w:rsidRPr="007D6EC7" w:rsidTr="008F5B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2" w:type="dxa"/>
          </w:tcPr>
          <w:p w:rsidR="005D09CD" w:rsidRPr="007D6EC7" w:rsidRDefault="005D09CD" w:rsidP="000F1F54">
            <w:pPr>
              <w:pStyle w:val="Tables"/>
              <w:spacing w:after="0"/>
              <w:rPr>
                <w:b w:val="0"/>
                <w:sz w:val="20"/>
              </w:rPr>
            </w:pPr>
            <w:r w:rsidRPr="007D6EC7">
              <w:rPr>
                <w:b w:val="0"/>
                <w:sz w:val="20"/>
              </w:rPr>
              <w:t>3</w:t>
            </w:r>
          </w:p>
        </w:tc>
        <w:tc>
          <w:tcPr>
            <w:tcW w:w="2013" w:type="dxa"/>
          </w:tcPr>
          <w:p w:rsidR="005D09CD" w:rsidRPr="007D6EC7" w:rsidRDefault="005D09CD" w:rsidP="000F1F54">
            <w:pPr>
              <w:pStyle w:val="Tables"/>
              <w:spacing w:after="0"/>
              <w:cnfStyle w:val="000000100000" w:firstRow="0" w:lastRow="0" w:firstColumn="0" w:lastColumn="0" w:oddVBand="0" w:evenVBand="0" w:oddHBand="1" w:evenHBand="0" w:firstRowFirstColumn="0" w:firstRowLastColumn="0" w:lastRowFirstColumn="0" w:lastRowLastColumn="0"/>
              <w:rPr>
                <w:sz w:val="20"/>
              </w:rPr>
            </w:pPr>
            <w:r w:rsidRPr="007D6EC7">
              <w:rPr>
                <w:sz w:val="20"/>
              </w:rPr>
              <w:t>Clay</w:t>
            </w:r>
          </w:p>
        </w:tc>
        <w:tc>
          <w:tcPr>
            <w:tcW w:w="1710" w:type="dxa"/>
          </w:tcPr>
          <w:p w:rsidR="005D09CD" w:rsidRPr="007D6EC7" w:rsidRDefault="005D09CD" w:rsidP="000F1F54">
            <w:pPr>
              <w:pStyle w:val="Tables"/>
              <w:spacing w:after="0"/>
              <w:cnfStyle w:val="000000100000" w:firstRow="0" w:lastRow="0" w:firstColumn="0" w:lastColumn="0" w:oddVBand="0" w:evenVBand="0" w:oddHBand="1" w:evenHBand="0" w:firstRowFirstColumn="0" w:firstRowLastColumn="0" w:lastRowFirstColumn="0" w:lastRowLastColumn="0"/>
              <w:rPr>
                <w:sz w:val="20"/>
              </w:rPr>
            </w:pPr>
            <w:r w:rsidRPr="007D6EC7">
              <w:rPr>
                <w:sz w:val="20"/>
              </w:rPr>
              <w:t>&lt;0.002</w:t>
            </w:r>
          </w:p>
        </w:tc>
        <w:tc>
          <w:tcPr>
            <w:tcW w:w="1980" w:type="dxa"/>
          </w:tcPr>
          <w:p w:rsidR="005D09CD" w:rsidRPr="007D6EC7" w:rsidRDefault="005D09CD" w:rsidP="000F1F54">
            <w:pPr>
              <w:pStyle w:val="Tables"/>
              <w:spacing w:after="0"/>
              <w:cnfStyle w:val="000000100000" w:firstRow="0" w:lastRow="0" w:firstColumn="0" w:lastColumn="0" w:oddVBand="0" w:evenVBand="0" w:oddHBand="1" w:evenHBand="0" w:firstRowFirstColumn="0" w:firstRowLastColumn="0" w:lastRowFirstColumn="0" w:lastRowLastColumn="0"/>
              <w:rPr>
                <w:sz w:val="20"/>
              </w:rPr>
            </w:pPr>
            <w:r w:rsidRPr="007D6EC7">
              <w:rPr>
                <w:sz w:val="20"/>
              </w:rPr>
              <w:t>0.000003</w:t>
            </w:r>
          </w:p>
        </w:tc>
        <w:tc>
          <w:tcPr>
            <w:tcW w:w="2340" w:type="dxa"/>
            <w:vMerge/>
          </w:tcPr>
          <w:p w:rsidR="005D09CD" w:rsidRPr="007D6EC7" w:rsidRDefault="005D09CD" w:rsidP="005D09CD">
            <w:pPr>
              <w:pStyle w:val="Tables"/>
              <w:spacing w:after="0"/>
              <w:cnfStyle w:val="000000100000" w:firstRow="0" w:lastRow="0" w:firstColumn="0" w:lastColumn="0" w:oddVBand="0" w:evenVBand="0" w:oddHBand="1" w:evenHBand="0" w:firstRowFirstColumn="0" w:firstRowLastColumn="0" w:lastRowFirstColumn="0" w:lastRowLastColumn="0"/>
              <w:rPr>
                <w:sz w:val="20"/>
              </w:rPr>
            </w:pPr>
          </w:p>
        </w:tc>
      </w:tr>
    </w:tbl>
    <w:p w:rsidR="002D4B66" w:rsidRDefault="002D4B66"/>
    <w:p w:rsidR="00A622FC" w:rsidRDefault="00A622FC"/>
    <w:p w:rsidR="00A622FC" w:rsidRDefault="00A622FC"/>
    <w:p w:rsidR="002D4B66" w:rsidRDefault="005D09CD" w:rsidP="00A622FC">
      <w:pPr>
        <w:jc w:val="center"/>
      </w:pPr>
      <w:r>
        <w:rPr>
          <w:noProof/>
        </w:rPr>
        <w:drawing>
          <wp:inline distT="0" distB="0" distL="0" distR="0">
            <wp:extent cx="4762500" cy="2860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62500" cy="2860040"/>
                    </a:xfrm>
                    <a:prstGeom prst="rect">
                      <a:avLst/>
                    </a:prstGeom>
                    <a:noFill/>
                    <a:ln>
                      <a:noFill/>
                    </a:ln>
                  </pic:spPr>
                </pic:pic>
              </a:graphicData>
            </a:graphic>
          </wp:inline>
        </w:drawing>
      </w:r>
    </w:p>
    <w:p w:rsidR="002D4B66" w:rsidRDefault="002D4B66" w:rsidP="00A622FC">
      <w:pPr>
        <w:pStyle w:val="Caption"/>
      </w:pPr>
      <w:r w:rsidRPr="002D4B66">
        <w:t xml:space="preserve">Figure </w:t>
      </w:r>
      <w:r w:rsidR="005D09CD">
        <w:rPr>
          <w:noProof/>
        </w:rPr>
        <w:t>A1</w:t>
      </w:r>
      <w:r w:rsidRPr="002D4B66">
        <w:t xml:space="preserve"> </w:t>
      </w:r>
      <w:r w:rsidR="005D09CD" w:rsidRPr="007D6EC7">
        <w:t>Inflow discharge and suspended solids concentration for natural flood and flushing scenarios. The little diamond, circle and triangle on the discharge hydrograph indicate the moment of gate opening for scenario RF_20, RF_50 and RF_80 of Table 1, respectively.</w:t>
      </w:r>
    </w:p>
    <w:p w:rsidR="00170AAE" w:rsidRDefault="00170AAE" w:rsidP="00170AAE">
      <w:pPr>
        <w:keepNext/>
      </w:pPr>
      <w:r w:rsidRPr="007D6EC7">
        <w:rPr>
          <w:noProof/>
          <w:lang w:val="en-GB" w:eastAsia="en-GB"/>
        </w:rPr>
        <w:lastRenderedPageBreak/>
        <w:drawing>
          <wp:inline distT="0" distB="0" distL="0" distR="0" wp14:anchorId="4113E952" wp14:editId="33EAC555">
            <wp:extent cx="5943600" cy="38334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833495"/>
                    </a:xfrm>
                    <a:prstGeom prst="rect">
                      <a:avLst/>
                    </a:prstGeom>
                  </pic:spPr>
                </pic:pic>
              </a:graphicData>
            </a:graphic>
          </wp:inline>
        </w:drawing>
      </w:r>
    </w:p>
    <w:p w:rsidR="00170AAE" w:rsidRPr="007D6EC7" w:rsidRDefault="00170AAE" w:rsidP="00170AAE">
      <w:pPr>
        <w:pStyle w:val="Caption"/>
      </w:pPr>
      <w:bookmarkStart w:id="2" w:name="_Ref87862433"/>
      <w:r w:rsidRPr="007D6EC7">
        <w:t xml:space="preserve">Figure </w:t>
      </w:r>
      <w:bookmarkEnd w:id="2"/>
      <w:r>
        <w:t>A2</w:t>
      </w:r>
      <w:r w:rsidRPr="007D6EC7">
        <w:t xml:space="preserve"> Temporal variation of concentration of sand, silt and clay in the Sandy River 200 m downstream of the dam location (light grey line), at the start of the gorge, 2,300 m (grey line), after the end of gorge 8,000 m (dark grey line) and before the confluence of the Bull Run River 18,000 m (black line). The left panels cover the entire simulation period of 300 hours whereas the right panels focus on the first 10 hours.</w:t>
      </w:r>
    </w:p>
    <w:p w:rsidR="00170AAE" w:rsidRPr="00170AAE" w:rsidRDefault="00170AAE" w:rsidP="00170AAE">
      <w:pPr>
        <w:rPr>
          <w:lang w:bidi="sa-IN"/>
        </w:rPr>
      </w:pPr>
    </w:p>
    <w:p w:rsidR="002D4B66" w:rsidRPr="001475A3" w:rsidRDefault="002D4B66" w:rsidP="002D4B66">
      <w:pPr>
        <w:keepNext/>
        <w:jc w:val="center"/>
        <w:rPr>
          <w:highlight w:val="yellow"/>
        </w:rPr>
      </w:pPr>
    </w:p>
    <w:p w:rsidR="002D4B66" w:rsidRDefault="002D4B66" w:rsidP="002D4B66">
      <w:pPr>
        <w:rPr>
          <w:lang w:bidi="sa-IN"/>
        </w:rPr>
      </w:pPr>
    </w:p>
    <w:p w:rsidR="002D4B66" w:rsidRPr="002D4B66" w:rsidRDefault="002D4B66" w:rsidP="002D4B66">
      <w:pPr>
        <w:rPr>
          <w:lang w:bidi="sa-IN"/>
        </w:rPr>
      </w:pPr>
    </w:p>
    <w:p w:rsidR="002D4B66" w:rsidRDefault="002D4B66"/>
    <w:sectPr w:rsidR="002D4B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B66"/>
    <w:rsid w:val="00170AAE"/>
    <w:rsid w:val="00274CDA"/>
    <w:rsid w:val="002D4B66"/>
    <w:rsid w:val="003A26B0"/>
    <w:rsid w:val="00527266"/>
    <w:rsid w:val="005D09CD"/>
    <w:rsid w:val="00871917"/>
    <w:rsid w:val="008D7952"/>
    <w:rsid w:val="008F5BFB"/>
    <w:rsid w:val="00A622FC"/>
    <w:rsid w:val="00B40FE6"/>
    <w:rsid w:val="00BC5E5E"/>
    <w:rsid w:val="00C743D6"/>
    <w:rsid w:val="00CD3CDC"/>
    <w:rsid w:val="00D41AB9"/>
    <w:rsid w:val="00D62B6D"/>
    <w:rsid w:val="00F03EAC"/>
    <w:rsid w:val="00F42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2351C"/>
  <w15:chartTrackingRefBased/>
  <w15:docId w15:val="{DD10A405-B272-4280-BD4E-91DBE052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9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D4B66"/>
    <w:pPr>
      <w:spacing w:after="200" w:line="240" w:lineRule="auto"/>
    </w:pPr>
    <w:rPr>
      <w:rFonts w:ascii="Times New Roman" w:hAnsi="Times New Roman"/>
      <w:i/>
      <w:iCs/>
      <w:color w:val="44546A" w:themeColor="text2"/>
      <w:sz w:val="18"/>
      <w:szCs w:val="16"/>
      <w:lang w:bidi="sa-IN"/>
    </w:rPr>
  </w:style>
  <w:style w:type="character" w:styleId="CommentReference">
    <w:name w:val="annotation reference"/>
    <w:basedOn w:val="DefaultParagraphFont"/>
    <w:uiPriority w:val="99"/>
    <w:semiHidden/>
    <w:unhideWhenUsed/>
    <w:rsid w:val="002D4B66"/>
    <w:rPr>
      <w:sz w:val="16"/>
      <w:szCs w:val="16"/>
    </w:rPr>
  </w:style>
  <w:style w:type="paragraph" w:styleId="CommentText">
    <w:name w:val="annotation text"/>
    <w:basedOn w:val="Normal"/>
    <w:link w:val="CommentTextChar"/>
    <w:uiPriority w:val="99"/>
    <w:unhideWhenUsed/>
    <w:rsid w:val="002D4B66"/>
    <w:pPr>
      <w:spacing w:line="240" w:lineRule="auto"/>
    </w:pPr>
    <w:rPr>
      <w:rFonts w:ascii="Times New Roman" w:hAnsi="Times New Roman"/>
      <w:sz w:val="20"/>
      <w:szCs w:val="18"/>
      <w:lang w:bidi="sa-IN"/>
    </w:rPr>
  </w:style>
  <w:style w:type="character" w:customStyle="1" w:styleId="CommentTextChar">
    <w:name w:val="Comment Text Char"/>
    <w:basedOn w:val="DefaultParagraphFont"/>
    <w:link w:val="CommentText"/>
    <w:uiPriority w:val="99"/>
    <w:rsid w:val="002D4B66"/>
    <w:rPr>
      <w:rFonts w:ascii="Times New Roman" w:hAnsi="Times New Roman"/>
      <w:sz w:val="20"/>
      <w:szCs w:val="18"/>
      <w:lang w:bidi="sa-IN"/>
    </w:rPr>
  </w:style>
  <w:style w:type="paragraph" w:styleId="BalloonText">
    <w:name w:val="Balloon Text"/>
    <w:basedOn w:val="Normal"/>
    <w:link w:val="BalloonTextChar"/>
    <w:uiPriority w:val="99"/>
    <w:semiHidden/>
    <w:unhideWhenUsed/>
    <w:rsid w:val="002D4B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B66"/>
    <w:rPr>
      <w:rFonts w:ascii="Segoe UI" w:hAnsi="Segoe UI" w:cs="Segoe UI"/>
      <w:sz w:val="18"/>
      <w:szCs w:val="18"/>
    </w:rPr>
  </w:style>
  <w:style w:type="table" w:styleId="PlainTable2">
    <w:name w:val="Plain Table 2"/>
    <w:basedOn w:val="TableNormal"/>
    <w:uiPriority w:val="42"/>
    <w:rsid w:val="005D09CD"/>
    <w:pPr>
      <w:spacing w:after="0" w:line="240" w:lineRule="auto"/>
    </w:pPr>
    <w:rPr>
      <w:szCs w:val="20"/>
      <w:lang w:bidi="sa-I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s">
    <w:name w:val="Tables"/>
    <w:basedOn w:val="Normal"/>
    <w:link w:val="TablesChar"/>
    <w:qFormat/>
    <w:rsid w:val="005D09CD"/>
    <w:pPr>
      <w:keepNext/>
      <w:keepLines/>
      <w:widowControl w:val="0"/>
      <w:spacing w:before="120" w:after="120" w:line="240" w:lineRule="auto"/>
    </w:pPr>
    <w:rPr>
      <w:rFonts w:ascii="Times New Roman" w:hAnsi="Times New Roman" w:cs="Times New Roman"/>
      <w:iCs/>
    </w:rPr>
  </w:style>
  <w:style w:type="character" w:customStyle="1" w:styleId="TablesChar">
    <w:name w:val="Tables Char"/>
    <w:basedOn w:val="DefaultParagraphFont"/>
    <w:link w:val="Tables"/>
    <w:rsid w:val="005D09CD"/>
    <w:rPr>
      <w:rFonts w:ascii="Times New Roman" w:hAnsi="Times New Roman" w:cs="Times New Roman"/>
      <w:iCs/>
    </w:rPr>
  </w:style>
  <w:style w:type="character" w:customStyle="1" w:styleId="Heading1Char">
    <w:name w:val="Heading 1 Char"/>
    <w:basedOn w:val="DefaultParagraphFont"/>
    <w:link w:val="Heading1"/>
    <w:uiPriority w:val="9"/>
    <w:rsid w:val="005D09CD"/>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871917"/>
    <w:pPr>
      <w:spacing w:before="120" w:after="0" w:line="240" w:lineRule="auto"/>
      <w:contextualSpacing/>
    </w:pPr>
    <w:rPr>
      <w:rFonts w:ascii="Times New Roman" w:eastAsiaTheme="majorEastAsia" w:hAnsi="Times New Roman" w:cstheme="majorBidi"/>
      <w:b/>
      <w:spacing w:val="-10"/>
      <w:kern w:val="28"/>
      <w:sz w:val="36"/>
      <w:szCs w:val="50"/>
      <w:lang w:bidi="sa-IN"/>
    </w:rPr>
  </w:style>
  <w:style w:type="character" w:customStyle="1" w:styleId="TitleChar">
    <w:name w:val="Title Char"/>
    <w:basedOn w:val="DefaultParagraphFont"/>
    <w:link w:val="Title"/>
    <w:uiPriority w:val="10"/>
    <w:rsid w:val="00871917"/>
    <w:rPr>
      <w:rFonts w:ascii="Times New Roman" w:eastAsiaTheme="majorEastAsia" w:hAnsi="Times New Roman" w:cstheme="majorBidi"/>
      <w:b/>
      <w:spacing w:val="-10"/>
      <w:kern w:val="28"/>
      <w:sz w:val="36"/>
      <w:szCs w:val="50"/>
      <w:lang w:bidi="sa-IN"/>
    </w:rPr>
  </w:style>
  <w:style w:type="paragraph" w:customStyle="1" w:styleId="Authors">
    <w:name w:val="Authors"/>
    <w:basedOn w:val="Normal"/>
    <w:rsid w:val="00871917"/>
    <w:pPr>
      <w:spacing w:before="120" w:after="360" w:line="240" w:lineRule="auto"/>
    </w:pPr>
    <w:rPr>
      <w:rFonts w:ascii="Times New Roman" w:eastAsia="Times New Roman" w:hAnsi="Times New Roman" w:cs="Times New Roman"/>
      <w:b/>
      <w:szCs w:val="24"/>
    </w:rPr>
  </w:style>
  <w:style w:type="character" w:styleId="Hyperlink">
    <w:name w:val="Hyperlink"/>
    <w:basedOn w:val="DefaultParagraphFont"/>
    <w:uiPriority w:val="99"/>
    <w:unhideWhenUsed/>
    <w:rsid w:val="00F42E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hyperlink" Target="mailto:manisha.panthi@usu.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776F-C0A1-4670-AEDA-3001DD3D3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Manisha Panthi</dc:creator>
  <cp:keywords/>
  <dc:description/>
  <cp:lastModifiedBy>Student</cp:lastModifiedBy>
  <cp:revision>9</cp:revision>
  <dcterms:created xsi:type="dcterms:W3CDTF">2022-08-03T17:28:00Z</dcterms:created>
  <dcterms:modified xsi:type="dcterms:W3CDTF">2022-08-10T17:15:00Z</dcterms:modified>
</cp:coreProperties>
</file>