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C5F6F" w14:textId="77777777" w:rsidR="005B77D1" w:rsidRPr="00045933" w:rsidRDefault="005B77D1" w:rsidP="00CE62AC">
      <w:pPr>
        <w:rPr>
          <w:b/>
        </w:rPr>
      </w:pPr>
      <w:r w:rsidRPr="00045933">
        <w:rPr>
          <w:b/>
        </w:rPr>
        <w:t xml:space="preserve">Genomic Epidemiology of </w:t>
      </w:r>
      <w:r w:rsidRPr="00045933">
        <w:rPr>
          <w:b/>
          <w:i/>
          <w:iCs/>
        </w:rPr>
        <w:t>Mycobacterium abscessus</w:t>
      </w:r>
      <w:r w:rsidRPr="00045933">
        <w:rPr>
          <w:b/>
        </w:rPr>
        <w:t xml:space="preserve"> in a Canadian Cystic Fibrosis Centre</w:t>
      </w:r>
    </w:p>
    <w:p w14:paraId="4ED618A3" w14:textId="77777777" w:rsidR="005B77D1" w:rsidRPr="00082F4E" w:rsidRDefault="005B77D1" w:rsidP="002B7AE4">
      <w:pPr>
        <w:rPr>
          <w:b/>
        </w:rPr>
      </w:pPr>
      <w:r w:rsidRPr="00082F4E">
        <w:rPr>
          <w:b/>
        </w:rPr>
        <w:t>Authors and Affiliations</w:t>
      </w:r>
    </w:p>
    <w:p w14:paraId="067C140A" w14:textId="77777777" w:rsidR="005B77D1" w:rsidRPr="009C56FA" w:rsidRDefault="005B77D1" w:rsidP="002B7AE4">
      <w:pPr>
        <w:spacing w:after="0"/>
      </w:pPr>
      <w:r>
        <w:t>Nicholas Waglechner</w:t>
      </w:r>
      <w:r w:rsidRPr="00082F4E">
        <w:rPr>
          <w:vertAlign w:val="superscript"/>
        </w:rPr>
        <w:t>1</w:t>
      </w:r>
      <w:r>
        <w:t>, Elizabeth Tullis</w:t>
      </w:r>
      <w:r w:rsidRPr="009C56FA">
        <w:rPr>
          <w:vertAlign w:val="superscript"/>
        </w:rPr>
        <w:t>2,3</w:t>
      </w:r>
      <w:r>
        <w:t>, Anne L. Stephenson</w:t>
      </w:r>
      <w:r w:rsidRPr="009C56FA">
        <w:rPr>
          <w:vertAlign w:val="superscript"/>
        </w:rPr>
        <w:t>2,3,4</w:t>
      </w:r>
      <w:r>
        <w:t>,</w:t>
      </w:r>
      <w:r w:rsidRPr="00B36669">
        <w:t xml:space="preserve"> Valerie Waters</w:t>
      </w:r>
      <w:r w:rsidRPr="00F834F1">
        <w:rPr>
          <w:vertAlign w:val="superscript"/>
        </w:rPr>
        <w:t>5</w:t>
      </w:r>
      <w:r>
        <w:t>, Fiona McIntosh</w:t>
      </w:r>
      <w:r>
        <w:rPr>
          <w:vertAlign w:val="superscript"/>
        </w:rPr>
        <w:t>6,7</w:t>
      </w:r>
      <w:r>
        <w:t>, Jennifer Ma</w:t>
      </w:r>
      <w:r>
        <w:rPr>
          <w:vertAlign w:val="superscript"/>
        </w:rPr>
        <w:t>8</w:t>
      </w:r>
      <w:r>
        <w:t xml:space="preserve">, </w:t>
      </w:r>
      <w:r w:rsidRPr="00AC48A7">
        <w:t xml:space="preserve">Frances </w:t>
      </w:r>
      <w:r>
        <w:t xml:space="preserve">B. </w:t>
      </w:r>
      <w:r w:rsidRPr="00AC48A7">
        <w:t>Jamieson</w:t>
      </w:r>
      <w:r>
        <w:rPr>
          <w:vertAlign w:val="superscript"/>
        </w:rPr>
        <w:t>8</w:t>
      </w:r>
      <w:r>
        <w:t>, Marcel A. Behr</w:t>
      </w:r>
      <w:r>
        <w:rPr>
          <w:vertAlign w:val="superscript"/>
        </w:rPr>
        <w:t>6,7,9</w:t>
      </w:r>
      <w:r>
        <w:t>, Jane Batt*</w:t>
      </w:r>
      <w:r>
        <w:rPr>
          <w:vertAlign w:val="superscript"/>
        </w:rPr>
        <w:t>10</w:t>
      </w:r>
      <w:r w:rsidRPr="009C56FA">
        <w:rPr>
          <w:vertAlign w:val="superscript"/>
        </w:rPr>
        <w:t>,1</w:t>
      </w:r>
      <w:r>
        <w:rPr>
          <w:vertAlign w:val="superscript"/>
        </w:rPr>
        <w:t>1</w:t>
      </w:r>
      <w:r>
        <w:t>,</w:t>
      </w:r>
      <w:r w:rsidRPr="004A40D6">
        <w:t xml:space="preserve"> </w:t>
      </w:r>
      <w:r>
        <w:t>Robyn S. Lee*</w:t>
      </w:r>
      <w:r w:rsidRPr="009C56FA">
        <w:rPr>
          <w:vertAlign w:val="superscript"/>
        </w:rPr>
        <w:t>1</w:t>
      </w:r>
      <w:r>
        <w:rPr>
          <w:vertAlign w:val="superscript"/>
        </w:rPr>
        <w:t>,12</w:t>
      </w:r>
    </w:p>
    <w:p w14:paraId="6119698B" w14:textId="77777777" w:rsidR="005B77D1" w:rsidRPr="006C56C8" w:rsidRDefault="005B77D1" w:rsidP="002B7AE4">
      <w:pPr>
        <w:spacing w:after="0" w:line="240" w:lineRule="auto"/>
      </w:pPr>
    </w:p>
    <w:p w14:paraId="26F2F641" w14:textId="77777777" w:rsidR="005B77D1" w:rsidRDefault="005B77D1" w:rsidP="002B7AE4">
      <w:pPr>
        <w:spacing w:after="0"/>
      </w:pPr>
      <w:bookmarkStart w:id="0" w:name="_Hlk84418421"/>
      <w:r w:rsidRPr="00082F4E">
        <w:rPr>
          <w:vertAlign w:val="superscript"/>
        </w:rPr>
        <w:t>1</w:t>
      </w:r>
      <w:r>
        <w:t xml:space="preserve">Dalla Lana School of Public Health, University of Toronto, </w:t>
      </w:r>
      <w:r w:rsidRPr="008C1AA6">
        <w:t xml:space="preserve">155 College St., </w:t>
      </w:r>
      <w:r>
        <w:t xml:space="preserve">Toronto, Ontario, Canada </w:t>
      </w:r>
      <w:r w:rsidRPr="008C1AA6">
        <w:t>M5T 3M7</w:t>
      </w:r>
      <w:r>
        <w:t xml:space="preserve">.  </w:t>
      </w:r>
      <w:r w:rsidRPr="00082F4E">
        <w:rPr>
          <w:vertAlign w:val="superscript"/>
        </w:rPr>
        <w:t>2</w:t>
      </w:r>
      <w:r>
        <w:t xml:space="preserve">Adult Cystic Fibrosis Program, Division of Respirology, </w:t>
      </w:r>
      <w:r w:rsidRPr="00842CDB">
        <w:t>St</w:t>
      </w:r>
      <w:r>
        <w:t>.</w:t>
      </w:r>
      <w:r w:rsidRPr="00842CDB">
        <w:t xml:space="preserve"> Michael’s Hospital, </w:t>
      </w:r>
      <w:r>
        <w:t>Unity Health Toronto,</w:t>
      </w:r>
      <w:r w:rsidRPr="00842CDB">
        <w:t xml:space="preserve"> Toronto, Ontario, Canada</w:t>
      </w:r>
      <w:r>
        <w:t xml:space="preserve">. </w:t>
      </w:r>
      <w:r w:rsidRPr="00082F4E">
        <w:rPr>
          <w:vertAlign w:val="superscript"/>
        </w:rPr>
        <w:t>3</w:t>
      </w:r>
      <w:r>
        <w:t xml:space="preserve">Li Ka Shing Knowledge Institute, </w:t>
      </w:r>
      <w:r w:rsidRPr="00842CDB">
        <w:t>St</w:t>
      </w:r>
      <w:r>
        <w:t>.</w:t>
      </w:r>
      <w:r w:rsidRPr="00842CDB">
        <w:t xml:space="preserve"> Michael’s Hospital, Toronto, Ontario, Canada</w:t>
      </w:r>
      <w:r>
        <w:t>.</w:t>
      </w:r>
    </w:p>
    <w:p w14:paraId="51DDDFA6" w14:textId="77777777" w:rsidR="005B77D1" w:rsidRDefault="005B77D1" w:rsidP="002B7AE4">
      <w:pPr>
        <w:spacing w:after="0"/>
      </w:pPr>
      <w:r w:rsidRPr="00082F4E">
        <w:rPr>
          <w:vertAlign w:val="superscript"/>
        </w:rPr>
        <w:t>4</w:t>
      </w:r>
      <w:r>
        <w:t xml:space="preserve">Institute of Health Policy, Management and Evaluation, University of Toronto, Toronto, Ontario, Canada. </w:t>
      </w:r>
      <w:r w:rsidRPr="00890FC3">
        <w:rPr>
          <w:vertAlign w:val="superscript"/>
        </w:rPr>
        <w:t>5</w:t>
      </w:r>
      <w:r w:rsidRPr="00F834F1">
        <w:t>Hospital for Sick Children, Department of Pediatrics, Division of Infectious Diseases, 555 University Avenue, Toronto</w:t>
      </w:r>
      <w:r>
        <w:t xml:space="preserve">, </w:t>
      </w:r>
      <w:r w:rsidRPr="00F834F1">
        <w:t>O</w:t>
      </w:r>
      <w:r>
        <w:t xml:space="preserve">ntario, </w:t>
      </w:r>
      <w:r w:rsidRPr="00F834F1">
        <w:t>Canada M5G 1X8</w:t>
      </w:r>
      <w:r>
        <w:t xml:space="preserve">. </w:t>
      </w:r>
      <w:r w:rsidRPr="00F834F1">
        <w:rPr>
          <w:vertAlign w:val="superscript"/>
        </w:rPr>
        <w:t>6</w:t>
      </w:r>
      <w:r>
        <w:t xml:space="preserve">Infectious Diseases and Immunity in Global Health Program, Research Institute of the McGill University Health Centre, Montreal, Quebec, Canada. </w:t>
      </w:r>
      <w:r>
        <w:rPr>
          <w:vertAlign w:val="superscript"/>
        </w:rPr>
        <w:t>7</w:t>
      </w:r>
      <w:r>
        <w:t xml:space="preserve">McGill International TB Centre, McGill University, Montreal, Quebec, Canada. </w:t>
      </w:r>
      <w:r>
        <w:rPr>
          <w:vertAlign w:val="superscript"/>
        </w:rPr>
        <w:t>8</w:t>
      </w:r>
      <w:r>
        <w:t xml:space="preserve">Public Health Ontario, Public Health Ontario Laboratories, 661 University Avenue, Suite 1701, Toronto, ON, Canada M5G 1V2. </w:t>
      </w:r>
      <w:r>
        <w:rPr>
          <w:vertAlign w:val="superscript"/>
        </w:rPr>
        <w:t>9</w:t>
      </w:r>
      <w:r>
        <w:t xml:space="preserve">Department of Epidemiology, Biostatistics and Occupational Health, McGill University, Montreal, Quebec. </w:t>
      </w:r>
      <w:r>
        <w:rPr>
          <w:vertAlign w:val="superscript"/>
        </w:rPr>
        <w:t>10</w:t>
      </w:r>
      <w:r>
        <w:t xml:space="preserve">Keenan Research Center for Biomedical Science, St. Michael’s Hospital, Toronto, Ontario, Canada. </w:t>
      </w:r>
      <w:r w:rsidRPr="00082F4E">
        <w:rPr>
          <w:vertAlign w:val="superscript"/>
        </w:rPr>
        <w:t>1</w:t>
      </w:r>
      <w:r>
        <w:rPr>
          <w:vertAlign w:val="superscript"/>
        </w:rPr>
        <w:t>1</w:t>
      </w:r>
      <w:r>
        <w:t xml:space="preserve">Tuberculosis Program, St. Michael’s Hospital Unity Health Toronto, Toronto, Ontario, Canada M5B 1WB. </w:t>
      </w:r>
      <w:r w:rsidRPr="00082F4E">
        <w:rPr>
          <w:vertAlign w:val="superscript"/>
        </w:rPr>
        <w:t>1</w:t>
      </w:r>
      <w:r>
        <w:rPr>
          <w:vertAlign w:val="superscript"/>
        </w:rPr>
        <w:t>2</w:t>
      </w:r>
      <w:r>
        <w:t>Center for Communicable Disease Dynamics, Harvard School of Public Health, Boston, MA, USA.</w:t>
      </w:r>
    </w:p>
    <w:bookmarkEnd w:id="0"/>
    <w:p w14:paraId="47D9BA72" w14:textId="77777777" w:rsidR="005B77D1" w:rsidRDefault="005B77D1" w:rsidP="002B7AE4"/>
    <w:p w14:paraId="06D28AC6" w14:textId="77777777" w:rsidR="005B77D1" w:rsidRDefault="005B77D1" w:rsidP="002B7AE4">
      <w:r>
        <w:t>*These authors contributed equally</w:t>
      </w:r>
    </w:p>
    <w:p w14:paraId="56227BDC" w14:textId="77777777" w:rsidR="005B77D1" w:rsidRDefault="005B77D1" w:rsidP="00E931BB"/>
    <w:p w14:paraId="03F68E07" w14:textId="77777777" w:rsidR="005B77D1" w:rsidRDefault="005B77D1" w:rsidP="00E931BB"/>
    <w:p w14:paraId="24B3539F" w14:textId="77777777" w:rsidR="005B77D1" w:rsidRDefault="005B77D1" w:rsidP="00E931BB"/>
    <w:p w14:paraId="0E9BD3A1" w14:textId="77777777" w:rsidR="005B77D1" w:rsidRDefault="005B77D1" w:rsidP="00045933">
      <w:pPr>
        <w:jc w:val="center"/>
      </w:pPr>
      <w:r>
        <w:rPr>
          <w:b/>
        </w:rPr>
        <w:t>Supplementary</w:t>
      </w:r>
      <w:r w:rsidRPr="00082F4E">
        <w:rPr>
          <w:b/>
        </w:rPr>
        <w:t xml:space="preserve"> </w:t>
      </w:r>
      <w:r>
        <w:rPr>
          <w:b/>
        </w:rPr>
        <w:t xml:space="preserve">Material </w:t>
      </w:r>
    </w:p>
    <w:p w14:paraId="0B128B4D" w14:textId="77777777" w:rsidR="005B77D1" w:rsidRDefault="005B77D1"/>
    <w:p w14:paraId="6176CB35" w14:textId="77777777" w:rsidR="005B77D1" w:rsidRDefault="005B77D1">
      <w:r>
        <w:br w:type="page"/>
      </w:r>
    </w:p>
    <w:p w14:paraId="5FDF0EAA" w14:textId="77777777" w:rsidR="005B77D1" w:rsidRDefault="005B77D1" w:rsidP="006F6E09">
      <w:r w:rsidRPr="000C4FFA">
        <w:lastRenderedPageBreak/>
        <w:t>Supplementary Tables</w:t>
      </w:r>
    </w:p>
    <w:p w14:paraId="0B427CEF" w14:textId="77777777" w:rsidR="005B77D1" w:rsidRDefault="005B77D1" w:rsidP="00501B1A">
      <w:pPr>
        <w:spacing w:line="480" w:lineRule="auto"/>
      </w:pPr>
    </w:p>
    <w:p w14:paraId="10BF82E4" w14:textId="77777777" w:rsidR="005B77D1" w:rsidRPr="00A22729" w:rsidRDefault="005B77D1" w:rsidP="00501B1A">
      <w:pPr>
        <w:spacing w:line="480" w:lineRule="auto"/>
        <w:rPr>
          <w:b/>
          <w:bCs/>
          <w:u w:val="single"/>
        </w:rPr>
      </w:pPr>
      <w:r w:rsidRPr="00A22729">
        <w:rPr>
          <w:b/>
          <w:bCs/>
          <w:u w:val="single"/>
        </w:rPr>
        <w:t xml:space="preserve">Supplementary Table 1: </w:t>
      </w:r>
      <w:r>
        <w:rPr>
          <w:b/>
          <w:bCs/>
          <w:u w:val="single"/>
        </w:rPr>
        <w:t>Isolate</w:t>
      </w:r>
      <w:r w:rsidRPr="00A22729">
        <w:rPr>
          <w:b/>
          <w:bCs/>
          <w:u w:val="single"/>
        </w:rPr>
        <w:t xml:space="preserve"> Sequencing statistics and quality control.</w:t>
      </w:r>
    </w:p>
    <w:p w14:paraId="1E0D22CC" w14:textId="77777777" w:rsidR="005B77D1" w:rsidRDefault="005B77D1" w:rsidP="00501B1A">
      <w:pPr>
        <w:spacing w:line="480" w:lineRule="auto"/>
      </w:pPr>
      <w:r>
        <w:t>See attached file.</w:t>
      </w:r>
    </w:p>
    <w:p w14:paraId="78FCA7E6" w14:textId="77777777" w:rsidR="005B77D1" w:rsidRDefault="005B77D1" w:rsidP="00501B1A">
      <w:pPr>
        <w:spacing w:line="480" w:lineRule="auto"/>
        <w:rPr>
          <w:b/>
          <w:bCs/>
          <w:u w:val="single"/>
        </w:rPr>
      </w:pPr>
    </w:p>
    <w:p w14:paraId="6F4C332A" w14:textId="77777777" w:rsidR="007C4B7F" w:rsidRPr="00A22729" w:rsidRDefault="007C4B7F" w:rsidP="007C4B7F">
      <w:pPr>
        <w:spacing w:line="480" w:lineRule="auto"/>
        <w:rPr>
          <w:b/>
          <w:u w:val="single"/>
        </w:rPr>
      </w:pPr>
      <w:r w:rsidRPr="00A22729">
        <w:rPr>
          <w:b/>
          <w:u w:val="single"/>
        </w:rPr>
        <w:t xml:space="preserve">Supplementary Table </w:t>
      </w:r>
      <w:r>
        <w:rPr>
          <w:b/>
          <w:u w:val="single"/>
        </w:rPr>
        <w:t>2</w:t>
      </w:r>
      <w:r w:rsidRPr="00A22729">
        <w:rPr>
          <w:b/>
          <w:u w:val="single"/>
        </w:rPr>
        <w:t>: Ontario isolate SNV statistics</w:t>
      </w:r>
    </w:p>
    <w:p w14:paraId="5953C51F" w14:textId="77777777" w:rsidR="007C4B7F" w:rsidRDefault="007C4B7F" w:rsidP="007C4B7F">
      <w:pPr>
        <w:spacing w:line="480" w:lineRule="auto"/>
      </w:pPr>
      <w:r>
        <w:t>See attached file.</w:t>
      </w:r>
    </w:p>
    <w:p w14:paraId="021D28DC" w14:textId="77777777" w:rsidR="007C4B7F" w:rsidRDefault="007C4B7F" w:rsidP="00501B1A">
      <w:pPr>
        <w:spacing w:line="480" w:lineRule="auto"/>
        <w:rPr>
          <w:b/>
          <w:bCs/>
          <w:u w:val="single"/>
        </w:rPr>
      </w:pPr>
    </w:p>
    <w:p w14:paraId="0FC220D0" w14:textId="0C00F83B" w:rsidR="005B77D1" w:rsidRPr="00A22729" w:rsidRDefault="005B77D1" w:rsidP="00501B1A">
      <w:pPr>
        <w:spacing w:line="480" w:lineRule="auto"/>
        <w:rPr>
          <w:b/>
          <w:bCs/>
          <w:u w:val="single"/>
        </w:rPr>
      </w:pPr>
      <w:r w:rsidRPr="00A22729">
        <w:rPr>
          <w:b/>
          <w:bCs/>
          <w:u w:val="single"/>
        </w:rPr>
        <w:t xml:space="preserve">Supplementary Table </w:t>
      </w:r>
      <w:r w:rsidR="007C4B7F">
        <w:rPr>
          <w:b/>
          <w:bCs/>
          <w:u w:val="single"/>
        </w:rPr>
        <w:t>3</w:t>
      </w:r>
      <w:r w:rsidRPr="00A22729">
        <w:rPr>
          <w:b/>
          <w:bCs/>
          <w:u w:val="single"/>
        </w:rPr>
        <w:t>: Public SRA sequences used for global comparison.</w:t>
      </w:r>
    </w:p>
    <w:p w14:paraId="25718196" w14:textId="77777777" w:rsidR="005B77D1" w:rsidRDefault="005B77D1" w:rsidP="00501B1A">
      <w:pPr>
        <w:spacing w:line="480" w:lineRule="auto"/>
      </w:pPr>
      <w:r>
        <w:t>See attached file.</w:t>
      </w:r>
    </w:p>
    <w:p w14:paraId="13B6A669" w14:textId="77777777" w:rsidR="005B77D1" w:rsidRDefault="005B77D1" w:rsidP="00501B1A">
      <w:pPr>
        <w:spacing w:line="480" w:lineRule="auto"/>
        <w:rPr>
          <w:b/>
          <w:u w:val="single"/>
        </w:rPr>
      </w:pPr>
    </w:p>
    <w:p w14:paraId="611ACC14" w14:textId="77777777" w:rsidR="005B77D1" w:rsidRDefault="005B77D1" w:rsidP="00501B1A">
      <w:pPr>
        <w:spacing w:line="480" w:lineRule="auto"/>
        <w:rPr>
          <w:b/>
          <w:u w:val="single"/>
        </w:rPr>
      </w:pPr>
      <w:r w:rsidRPr="009A1281">
        <w:rPr>
          <w:b/>
          <w:u w:val="single"/>
        </w:rPr>
        <w:t>Su</w:t>
      </w:r>
      <w:r>
        <w:rPr>
          <w:b/>
          <w:u w:val="single"/>
        </w:rPr>
        <w:t>pplementar</w:t>
      </w:r>
      <w:bookmarkStart w:id="1" w:name="_GoBack"/>
      <w:bookmarkEnd w:id="1"/>
      <w:r>
        <w:rPr>
          <w:b/>
          <w:u w:val="single"/>
        </w:rPr>
        <w:t>y Table 4: Possible transmission pairs</w:t>
      </w:r>
    </w:p>
    <w:p w14:paraId="5C141579" w14:textId="77777777" w:rsidR="005B77D1" w:rsidRPr="009A1281" w:rsidRDefault="005B77D1" w:rsidP="00501B1A">
      <w:pPr>
        <w:spacing w:line="480" w:lineRule="auto"/>
        <w:rPr>
          <w:u w:val="single"/>
        </w:rPr>
      </w:pPr>
      <w:r w:rsidRPr="009A1281">
        <w:rPr>
          <w:u w:val="single"/>
        </w:rPr>
        <w:t>See attached file.</w:t>
      </w:r>
    </w:p>
    <w:p w14:paraId="0988A69E" w14:textId="77777777" w:rsidR="005B77D1" w:rsidRDefault="005B77D1" w:rsidP="00501B1A">
      <w:pPr>
        <w:spacing w:line="480" w:lineRule="auto"/>
        <w:rPr>
          <w:b/>
          <w:u w:val="single"/>
        </w:rPr>
      </w:pPr>
    </w:p>
    <w:p w14:paraId="5A6C9ED7" w14:textId="77777777" w:rsidR="005B77D1" w:rsidRPr="00A22729" w:rsidRDefault="005B77D1" w:rsidP="00501B1A">
      <w:pPr>
        <w:spacing w:line="480" w:lineRule="auto"/>
        <w:rPr>
          <w:b/>
          <w:u w:val="single"/>
        </w:rPr>
      </w:pPr>
      <w:r w:rsidRPr="00A22729">
        <w:rPr>
          <w:b/>
          <w:u w:val="single"/>
        </w:rPr>
        <w:t xml:space="preserve">Supplementary Table </w:t>
      </w:r>
      <w:r>
        <w:rPr>
          <w:b/>
          <w:u w:val="single"/>
        </w:rPr>
        <w:t>5</w:t>
      </w:r>
      <w:r w:rsidRPr="00A22729">
        <w:rPr>
          <w:b/>
          <w:u w:val="single"/>
        </w:rPr>
        <w:t>: SRA sample statistics and quality control.</w:t>
      </w:r>
    </w:p>
    <w:p w14:paraId="141674BA" w14:textId="77777777" w:rsidR="005B77D1" w:rsidRPr="006C56C8" w:rsidRDefault="005B77D1" w:rsidP="00501B1A">
      <w:pPr>
        <w:spacing w:line="480" w:lineRule="auto"/>
      </w:pPr>
      <w:r>
        <w:t>See attached file.</w:t>
      </w:r>
    </w:p>
    <w:p w14:paraId="3C88B626" w14:textId="77777777" w:rsidR="005B77D1" w:rsidRDefault="005B77D1" w:rsidP="00501B1A">
      <w:pPr>
        <w:spacing w:line="480" w:lineRule="auto"/>
        <w:rPr>
          <w:b/>
          <w:u w:val="single"/>
        </w:rPr>
      </w:pPr>
    </w:p>
    <w:p w14:paraId="63C09A95" w14:textId="77777777" w:rsidR="005B77D1" w:rsidRPr="00A22729" w:rsidRDefault="005B77D1" w:rsidP="00501B1A">
      <w:pPr>
        <w:spacing w:line="480" w:lineRule="auto"/>
        <w:rPr>
          <w:b/>
          <w:u w:val="single"/>
        </w:rPr>
      </w:pPr>
      <w:r w:rsidRPr="00A22729">
        <w:rPr>
          <w:b/>
          <w:u w:val="single"/>
        </w:rPr>
        <w:t xml:space="preserve">Supplementary Table </w:t>
      </w:r>
      <w:r>
        <w:rPr>
          <w:b/>
          <w:u w:val="single"/>
        </w:rPr>
        <w:t>6</w:t>
      </w:r>
      <w:r w:rsidRPr="00A22729">
        <w:rPr>
          <w:b/>
          <w:u w:val="single"/>
        </w:rPr>
        <w:t xml:space="preserve">: Global </w:t>
      </w:r>
      <w:r w:rsidRPr="00A22729">
        <w:rPr>
          <w:b/>
          <w:i/>
          <w:u w:val="single"/>
        </w:rPr>
        <w:t xml:space="preserve">M. abscessus </w:t>
      </w:r>
      <w:r w:rsidRPr="00A22729">
        <w:rPr>
          <w:b/>
          <w:u w:val="single"/>
        </w:rPr>
        <w:t>isolate SNV statistics.</w:t>
      </w:r>
    </w:p>
    <w:p w14:paraId="1B2A6C67" w14:textId="6827B82C" w:rsidR="005B77D1" w:rsidRDefault="005B77D1">
      <w:pPr>
        <w:rPr>
          <w:rFonts w:eastAsiaTheme="majorEastAsia" w:cstheme="majorBidi"/>
          <w:b/>
          <w:color w:val="000000" w:themeColor="text1"/>
          <w:szCs w:val="32"/>
        </w:rPr>
      </w:pPr>
      <w:r>
        <w:t>See attached file</w:t>
      </w:r>
    </w:p>
    <w:p w14:paraId="458D7B11" w14:textId="77777777" w:rsidR="005B77D1" w:rsidRDefault="005B77D1" w:rsidP="00501B1A">
      <w:pPr>
        <w:pStyle w:val="Heading1"/>
      </w:pPr>
      <w:r w:rsidRPr="000C4FFA">
        <w:lastRenderedPageBreak/>
        <w:t>Supplementary Figure</w:t>
      </w:r>
      <w:r>
        <w:t xml:space="preserve"> Legend</w:t>
      </w:r>
      <w:r w:rsidRPr="000C4FFA">
        <w:t>s</w:t>
      </w:r>
    </w:p>
    <w:p w14:paraId="5FB7183C" w14:textId="77777777" w:rsidR="005B77D1" w:rsidRPr="000812D7" w:rsidRDefault="005B77D1" w:rsidP="00E644D0"/>
    <w:p w14:paraId="0E29A691" w14:textId="77777777" w:rsidR="005B77D1" w:rsidRDefault="005B77D1" w:rsidP="00501B1A">
      <w:pPr>
        <w:spacing w:line="480" w:lineRule="auto"/>
      </w:pPr>
      <w:r w:rsidRPr="00AE0ED1">
        <w:rPr>
          <w:b/>
          <w:bCs/>
        </w:rPr>
        <w:t>Supplementary Figure 1 - Assembly contiguity vs length.</w:t>
      </w:r>
      <w:r>
        <w:t xml:space="preserve"> </w:t>
      </w:r>
      <w:r w:rsidRPr="00AE0ED1">
        <w:t xml:space="preserve">Four </w:t>
      </w:r>
      <w:r>
        <w:t>isolates</w:t>
      </w:r>
      <w:r w:rsidRPr="00AE0ED1">
        <w:t xml:space="preserve"> are outliers with respect to both length and number of contigs (orange) compared to the </w:t>
      </w:r>
      <w:r>
        <w:t>other</w:t>
      </w:r>
      <w:r w:rsidRPr="00AE0ED1">
        <w:t xml:space="preserve"> </w:t>
      </w:r>
      <w:r>
        <w:t>isolate</w:t>
      </w:r>
      <w:r w:rsidRPr="00AE0ED1">
        <w:t>s (blue).</w:t>
      </w:r>
    </w:p>
    <w:p w14:paraId="6EE7CA4F" w14:textId="77777777" w:rsidR="005B77D1" w:rsidRDefault="005B77D1" w:rsidP="00501B1A">
      <w:pPr>
        <w:spacing w:line="480" w:lineRule="auto"/>
        <w:rPr>
          <w:b/>
          <w:bCs/>
        </w:rPr>
      </w:pPr>
    </w:p>
    <w:p w14:paraId="4D493D66" w14:textId="77777777" w:rsidR="005B77D1" w:rsidRPr="00D35010" w:rsidRDefault="005B77D1" w:rsidP="00501B1A">
      <w:pPr>
        <w:spacing w:line="480" w:lineRule="auto"/>
      </w:pPr>
      <w:r w:rsidRPr="00D35010">
        <w:rPr>
          <w:b/>
          <w:bCs/>
        </w:rPr>
        <w:t xml:space="preserve">Supplementary Figure 2 – Pairwise distance matrix of </w:t>
      </w:r>
      <w:r w:rsidRPr="00D35010">
        <w:rPr>
          <w:b/>
          <w:bCs/>
          <w:i/>
          <w:iCs/>
        </w:rPr>
        <w:t>M. abscessus</w:t>
      </w:r>
      <w:r w:rsidRPr="00D35010">
        <w:rPr>
          <w:b/>
          <w:bCs/>
        </w:rPr>
        <w:t xml:space="preserve"> </w:t>
      </w:r>
      <w:r>
        <w:rPr>
          <w:b/>
          <w:bCs/>
        </w:rPr>
        <w:t>Isolates</w:t>
      </w:r>
      <w:r w:rsidRPr="00D35010">
        <w:rPr>
          <w:b/>
          <w:bCs/>
        </w:rPr>
        <w:t>.</w:t>
      </w:r>
      <w:r>
        <w:rPr>
          <w:b/>
          <w:bCs/>
        </w:rPr>
        <w:t xml:space="preserve"> </w:t>
      </w:r>
      <w:r>
        <w:t>Number of SNVs between each pair of isolates from the recombination masked SNV alignment used to generate the maximum-likelihood phylogeny in Figure 2.</w:t>
      </w:r>
    </w:p>
    <w:p w14:paraId="0DC53FE9" w14:textId="77777777" w:rsidR="005B77D1" w:rsidRDefault="005B77D1" w:rsidP="00501B1A">
      <w:pPr>
        <w:spacing w:line="480" w:lineRule="auto"/>
        <w:rPr>
          <w:b/>
          <w:bCs/>
        </w:rPr>
      </w:pPr>
    </w:p>
    <w:p w14:paraId="6331768E" w14:textId="77777777" w:rsidR="005B77D1" w:rsidRDefault="005B77D1" w:rsidP="00501B1A">
      <w:pPr>
        <w:spacing w:line="480" w:lineRule="auto"/>
      </w:pPr>
      <w:r w:rsidRPr="00E737CB">
        <w:rPr>
          <w:b/>
          <w:bCs/>
        </w:rPr>
        <w:t xml:space="preserve">Supplementary Figure 3 – Pairwise distance matrix of </w:t>
      </w:r>
      <w:r w:rsidRPr="00E737CB">
        <w:rPr>
          <w:b/>
          <w:bCs/>
          <w:i/>
          <w:iCs/>
        </w:rPr>
        <w:t>M. massiliense</w:t>
      </w:r>
      <w:r w:rsidRPr="00E737CB">
        <w:rPr>
          <w:b/>
          <w:bCs/>
        </w:rPr>
        <w:t xml:space="preserve"> </w:t>
      </w:r>
      <w:r>
        <w:rPr>
          <w:b/>
          <w:bCs/>
        </w:rPr>
        <w:t>isolate</w:t>
      </w:r>
      <w:r w:rsidRPr="00E737CB">
        <w:rPr>
          <w:b/>
          <w:bCs/>
        </w:rPr>
        <w:t>s.</w:t>
      </w:r>
      <w:r>
        <w:t xml:space="preserve"> Number of SNVs between each pair of isolates from the recombination masked SNV alignment used to generate the maximum-likelihood phylogeny in Figure 2.</w:t>
      </w:r>
    </w:p>
    <w:p w14:paraId="7B9E062A" w14:textId="77777777" w:rsidR="005B77D1" w:rsidRDefault="005B77D1" w:rsidP="00501B1A">
      <w:pPr>
        <w:spacing w:line="480" w:lineRule="auto"/>
        <w:rPr>
          <w:b/>
          <w:bCs/>
        </w:rPr>
      </w:pPr>
    </w:p>
    <w:p w14:paraId="785F7EA1" w14:textId="77777777" w:rsidR="005B77D1" w:rsidRDefault="005B77D1" w:rsidP="00501B1A">
      <w:pPr>
        <w:spacing w:line="480" w:lineRule="auto"/>
      </w:pPr>
      <w:r w:rsidRPr="000C4FFA">
        <w:rPr>
          <w:b/>
          <w:bCs/>
        </w:rPr>
        <w:t>Supplementary Figure 4 – Timeline of interactions between patient</w:t>
      </w:r>
      <w:r>
        <w:rPr>
          <w:b/>
          <w:bCs/>
        </w:rPr>
        <w:t>s</w:t>
      </w:r>
      <w:r w:rsidRPr="000C4FFA">
        <w:rPr>
          <w:b/>
          <w:bCs/>
        </w:rPr>
        <w:t>.</w:t>
      </w:r>
      <w:r>
        <w:t xml:space="preserve"> </w:t>
      </w:r>
      <w:r w:rsidRPr="00702867">
        <w:rPr>
          <w:b/>
        </w:rPr>
        <w:t>a</w:t>
      </w:r>
      <w:r>
        <w:t xml:space="preserve"> Patients 1 and 4. </w:t>
      </w:r>
      <w:r w:rsidRPr="00ED2F0A">
        <w:rPr>
          <w:b/>
        </w:rPr>
        <w:t>b</w:t>
      </w:r>
      <w:r>
        <w:t xml:space="preserve"> Patients 1 and 22. </w:t>
      </w:r>
      <w:r>
        <w:rPr>
          <w:b/>
        </w:rPr>
        <w:t>c</w:t>
      </w:r>
      <w:r>
        <w:t xml:space="preserve"> Patients 4 and 22.  For each patient, available visit data, microbiology results, and isolate data are indicated. Hospital visits are shown on the timeline as bars for clinic (gold), pulmonary function testing (PFT, purple), hospitalization (blue) events. Spirometry during CF clinic visits occurs in the patient clinic room, post-2014, rather than a central location. Contact recorded as a grey vertical bar for overlapping visits when they occur on the same day for both patients. </w:t>
      </w:r>
      <w:r>
        <w:rPr>
          <w:i/>
        </w:rPr>
        <w:t>Mycobacterium-</w:t>
      </w:r>
      <w:r w:rsidRPr="00ED2F0A">
        <w:t>specific</w:t>
      </w:r>
      <w:r>
        <w:rPr>
          <w:i/>
        </w:rPr>
        <w:t xml:space="preserve"> </w:t>
      </w:r>
      <w:r>
        <w:t xml:space="preserve">microbiology results are indicated by circles for no growth (open grey), growth of other </w:t>
      </w:r>
      <w:r>
        <w:rPr>
          <w:i/>
        </w:rPr>
        <w:t xml:space="preserve">Mycobacterium </w:t>
      </w:r>
      <w:r>
        <w:t xml:space="preserve">spp. (filled grey) and growth of </w:t>
      </w:r>
      <w:r>
        <w:rPr>
          <w:i/>
        </w:rPr>
        <w:t xml:space="preserve">Mycobacterium abscessus </w:t>
      </w:r>
      <w:r>
        <w:t xml:space="preserve">complex organisms (filled green). Sequencing of collected isolates is indicated for </w:t>
      </w:r>
      <w:proofErr w:type="spellStart"/>
      <w:r>
        <w:t>unsequenced</w:t>
      </w:r>
      <w:proofErr w:type="spellEnd"/>
      <w:r>
        <w:t xml:space="preserve"> (open dark red) and sequenced (filled red) isolates and labelled with the isolate identifier.</w:t>
      </w:r>
    </w:p>
    <w:p w14:paraId="0289CC9F" w14:textId="77777777" w:rsidR="005B77D1" w:rsidRDefault="005B77D1" w:rsidP="00501B1A">
      <w:pPr>
        <w:spacing w:line="480" w:lineRule="auto"/>
        <w:rPr>
          <w:b/>
        </w:rPr>
      </w:pPr>
    </w:p>
    <w:p w14:paraId="7B7B930D" w14:textId="77777777" w:rsidR="005B77D1" w:rsidRDefault="005B77D1" w:rsidP="00501B1A">
      <w:pPr>
        <w:spacing w:line="480" w:lineRule="auto"/>
      </w:pPr>
      <w:r w:rsidRPr="00A22729">
        <w:rPr>
          <w:b/>
        </w:rPr>
        <w:t xml:space="preserve">Supplementary Figure 5 – Maximum-likelihood unadjusted SNV phylogeny of global </w:t>
      </w:r>
      <w:r w:rsidRPr="00A22729">
        <w:rPr>
          <w:b/>
          <w:i/>
        </w:rPr>
        <w:t xml:space="preserve">M. abscessus </w:t>
      </w:r>
      <w:r w:rsidRPr="00A22729">
        <w:rPr>
          <w:b/>
        </w:rPr>
        <w:t>isolates.</w:t>
      </w:r>
      <w:r>
        <w:rPr>
          <w:b/>
        </w:rPr>
        <w:t xml:space="preserve"> </w:t>
      </w:r>
      <w:r w:rsidRPr="00A22729">
        <w:t xml:space="preserve">This phylogeny includes </w:t>
      </w:r>
      <w:r>
        <w:t xml:space="preserve">a total </w:t>
      </w:r>
      <w:r w:rsidRPr="00A22729">
        <w:t>2</w:t>
      </w:r>
      <w:r>
        <w:t>6</w:t>
      </w:r>
      <w:r w:rsidRPr="00A22729">
        <w:t>6</w:t>
      </w:r>
      <w:r>
        <w:t>9</w:t>
      </w:r>
      <w:r w:rsidRPr="00A22729">
        <w:t xml:space="preserve"> </w:t>
      </w:r>
      <w:r w:rsidRPr="00921BF5">
        <w:rPr>
          <w:i/>
        </w:rPr>
        <w:t xml:space="preserve">M. abscessus </w:t>
      </w:r>
      <w:r>
        <w:t>isolate</w:t>
      </w:r>
      <w:r w:rsidRPr="00A22729">
        <w:t>s</w:t>
      </w:r>
      <w:r>
        <w:t>.</w:t>
      </w:r>
      <w:r w:rsidRPr="00921BF5">
        <w:t xml:space="preserve"> The country of sampling, where available is indicated by the colour used for leaf branches and </w:t>
      </w:r>
      <w:r>
        <w:t>o</w:t>
      </w:r>
      <w:r w:rsidRPr="00921BF5">
        <w:t xml:space="preserve">n the </w:t>
      </w:r>
      <w:r>
        <w:t xml:space="preserve">outer </w:t>
      </w:r>
      <w:r w:rsidRPr="00921BF5">
        <w:t>ring. The position</w:t>
      </w:r>
      <w:r>
        <w:t>s</w:t>
      </w:r>
      <w:r w:rsidRPr="00921BF5">
        <w:t xml:space="preserve"> of Ontario patients are indicated.</w:t>
      </w:r>
    </w:p>
    <w:p w14:paraId="4EC548C5" w14:textId="77777777" w:rsidR="005B77D1" w:rsidRDefault="005B77D1" w:rsidP="00501B1A">
      <w:pPr>
        <w:spacing w:line="480" w:lineRule="auto"/>
        <w:rPr>
          <w:b/>
        </w:rPr>
      </w:pPr>
    </w:p>
    <w:p w14:paraId="01857F78" w14:textId="77777777" w:rsidR="005B77D1" w:rsidRDefault="005B77D1" w:rsidP="00501B1A">
      <w:pPr>
        <w:spacing w:line="480" w:lineRule="auto"/>
      </w:pPr>
      <w:r w:rsidRPr="00A22729">
        <w:rPr>
          <w:b/>
        </w:rPr>
        <w:t xml:space="preserve">Supplementary Figure 6 – Maximum-likelihood unadjusted SNV phylogeny of global </w:t>
      </w:r>
      <w:r w:rsidRPr="00A22729">
        <w:rPr>
          <w:b/>
          <w:i/>
        </w:rPr>
        <w:t xml:space="preserve">M. massiliense </w:t>
      </w:r>
      <w:r w:rsidRPr="00A22729">
        <w:rPr>
          <w:b/>
        </w:rPr>
        <w:t>isolates.</w:t>
      </w:r>
      <w:r>
        <w:rPr>
          <w:b/>
        </w:rPr>
        <w:t xml:space="preserve"> </w:t>
      </w:r>
      <w:r w:rsidRPr="009C56FA">
        <w:t xml:space="preserve">This phylogeny includes </w:t>
      </w:r>
      <w:r>
        <w:t>a total 983</w:t>
      </w:r>
      <w:r w:rsidRPr="009C56FA">
        <w:t xml:space="preserve"> </w:t>
      </w:r>
      <w:r w:rsidRPr="009C56FA">
        <w:rPr>
          <w:i/>
        </w:rPr>
        <w:t xml:space="preserve">M. </w:t>
      </w:r>
      <w:r>
        <w:rPr>
          <w:i/>
        </w:rPr>
        <w:t>massiliense</w:t>
      </w:r>
      <w:r w:rsidRPr="009C56FA">
        <w:rPr>
          <w:i/>
        </w:rPr>
        <w:t xml:space="preserve"> </w:t>
      </w:r>
      <w:r>
        <w:t>isolates.</w:t>
      </w:r>
      <w:r w:rsidRPr="009C56FA">
        <w:t xml:space="preserve"> The country of sampling, where available is indicated by the colour used for leaf branches and </w:t>
      </w:r>
      <w:r>
        <w:t>o</w:t>
      </w:r>
      <w:r w:rsidRPr="009C56FA">
        <w:t xml:space="preserve">n the </w:t>
      </w:r>
      <w:r>
        <w:t xml:space="preserve">outer </w:t>
      </w:r>
      <w:r w:rsidRPr="009C56FA">
        <w:t>ring. The position</w:t>
      </w:r>
      <w:r>
        <w:t>s</w:t>
      </w:r>
      <w:r w:rsidRPr="009C56FA">
        <w:t xml:space="preserve"> of Ontario patients </w:t>
      </w:r>
      <w:r>
        <w:t>are</w:t>
      </w:r>
      <w:r w:rsidRPr="009C56FA">
        <w:t xml:space="preserve"> indicated.</w:t>
      </w:r>
      <w:r>
        <w:t xml:space="preserve"> Country colours follow Supplementary Figure 5.</w:t>
      </w:r>
    </w:p>
    <w:p w14:paraId="7977C029" w14:textId="77777777" w:rsidR="005B77D1" w:rsidRDefault="005B77D1" w:rsidP="00501B1A">
      <w:pPr>
        <w:spacing w:line="480" w:lineRule="auto"/>
      </w:pPr>
    </w:p>
    <w:p w14:paraId="0213CD20" w14:textId="77777777" w:rsidR="005B77D1" w:rsidRDefault="005B77D1" w:rsidP="00501B1A">
      <w:pPr>
        <w:spacing w:line="480" w:lineRule="auto"/>
      </w:pPr>
      <w:r w:rsidRPr="00A22729">
        <w:rPr>
          <w:b/>
        </w:rPr>
        <w:t xml:space="preserve">Supplementary Figure 7 – Maximum-likelihood unadjusted SNV phylogeny of </w:t>
      </w:r>
      <w:r w:rsidRPr="00A22729">
        <w:rPr>
          <w:b/>
          <w:i/>
        </w:rPr>
        <w:t xml:space="preserve">M. </w:t>
      </w:r>
      <w:proofErr w:type="spellStart"/>
      <w:r w:rsidRPr="00A22729">
        <w:rPr>
          <w:b/>
          <w:i/>
        </w:rPr>
        <w:t>bolletii</w:t>
      </w:r>
      <w:proofErr w:type="spellEnd"/>
      <w:r w:rsidRPr="00A22729">
        <w:rPr>
          <w:b/>
          <w:i/>
        </w:rPr>
        <w:t xml:space="preserve"> </w:t>
      </w:r>
      <w:r w:rsidRPr="00A22729">
        <w:rPr>
          <w:b/>
        </w:rPr>
        <w:t>isolates.</w:t>
      </w:r>
      <w:r w:rsidRPr="00C1588B">
        <w:t xml:space="preserve"> </w:t>
      </w:r>
      <w:r w:rsidRPr="009C56FA">
        <w:t xml:space="preserve">This phylogeny includes </w:t>
      </w:r>
      <w:r>
        <w:t xml:space="preserve">a total </w:t>
      </w:r>
      <w:r w:rsidRPr="009C56FA">
        <w:t>2</w:t>
      </w:r>
      <w:r>
        <w:t>19</w:t>
      </w:r>
      <w:r w:rsidRPr="009C56FA">
        <w:t xml:space="preserve"> </w:t>
      </w:r>
      <w:r w:rsidRPr="009C56FA">
        <w:rPr>
          <w:i/>
        </w:rPr>
        <w:t xml:space="preserve">M. </w:t>
      </w:r>
      <w:proofErr w:type="spellStart"/>
      <w:r>
        <w:rPr>
          <w:i/>
        </w:rPr>
        <w:t>bolletii</w:t>
      </w:r>
      <w:proofErr w:type="spellEnd"/>
      <w:r w:rsidRPr="009C56FA">
        <w:rPr>
          <w:i/>
        </w:rPr>
        <w:t xml:space="preserve"> </w:t>
      </w:r>
      <w:r>
        <w:t>isolates.</w:t>
      </w:r>
      <w:r w:rsidRPr="009C56FA">
        <w:t xml:space="preserve"> The country of sampling, where available</w:t>
      </w:r>
      <w:r>
        <w:t>,</w:t>
      </w:r>
      <w:r w:rsidRPr="009C56FA">
        <w:t xml:space="preserve"> is indicated by the colour used for leaf branches and </w:t>
      </w:r>
      <w:r>
        <w:t>o</w:t>
      </w:r>
      <w:r w:rsidRPr="009C56FA">
        <w:t xml:space="preserve">n the </w:t>
      </w:r>
      <w:r>
        <w:t xml:space="preserve">outer </w:t>
      </w:r>
      <w:r w:rsidRPr="009C56FA">
        <w:t xml:space="preserve">ring. The position of </w:t>
      </w:r>
      <w:r>
        <w:t xml:space="preserve">the </w:t>
      </w:r>
      <w:r w:rsidRPr="009C56FA">
        <w:t xml:space="preserve">Ontario patient </w:t>
      </w:r>
      <w:r>
        <w:t>is</w:t>
      </w:r>
      <w:r w:rsidRPr="009C56FA">
        <w:t xml:space="preserve"> </w:t>
      </w:r>
      <w:r>
        <w:t>i</w:t>
      </w:r>
      <w:r w:rsidRPr="009C56FA">
        <w:t>ndicated.</w:t>
      </w:r>
      <w:r>
        <w:t xml:space="preserve"> Country colours follow Supplementary Figure 5.</w:t>
      </w:r>
    </w:p>
    <w:p w14:paraId="4CB0F6C0" w14:textId="77777777" w:rsidR="005B77D1" w:rsidRDefault="005B77D1" w:rsidP="00501B1A">
      <w:pPr>
        <w:rPr>
          <w:b/>
        </w:rPr>
      </w:pPr>
      <w:r>
        <w:rPr>
          <w:b/>
        </w:rPr>
        <w:br w:type="page"/>
      </w:r>
    </w:p>
    <w:p w14:paraId="3BF71173" w14:textId="77777777" w:rsidR="005B77D1" w:rsidRPr="00501B1A" w:rsidRDefault="005B77D1" w:rsidP="00501B1A">
      <w:pPr>
        <w:pStyle w:val="Heading1"/>
      </w:pPr>
      <w:r w:rsidRPr="006C56C8">
        <w:lastRenderedPageBreak/>
        <w:t>S</w:t>
      </w:r>
      <w:r w:rsidRPr="00A5773F">
        <w:t>upplementary Figures</w:t>
      </w:r>
    </w:p>
    <w:p w14:paraId="10653043" w14:textId="77777777" w:rsidR="005B77D1" w:rsidRDefault="005B77D1" w:rsidP="00501B1A">
      <w:pPr>
        <w:rPr>
          <w:b/>
        </w:rPr>
      </w:pPr>
    </w:p>
    <w:p w14:paraId="14F938C2" w14:textId="77777777" w:rsidR="005B77D1" w:rsidRDefault="005B77D1" w:rsidP="00501B1A">
      <w:pPr>
        <w:rPr>
          <w:b/>
        </w:rPr>
      </w:pPr>
      <w:r w:rsidRPr="00A22729">
        <w:rPr>
          <w:b/>
        </w:rPr>
        <w:t>Supplementary Figure 1</w:t>
      </w:r>
    </w:p>
    <w:p w14:paraId="380329B8" w14:textId="77777777" w:rsidR="005B77D1" w:rsidRDefault="005B77D1" w:rsidP="00501B1A">
      <w:r>
        <w:rPr>
          <w:noProof/>
        </w:rPr>
        <w:drawing>
          <wp:inline distT="0" distB="0" distL="0" distR="0" wp14:anchorId="15BF2DE2" wp14:editId="624FED7F">
            <wp:extent cx="6705600" cy="502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_Figure_1-Assembly_Scatte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13959" cy="5035469"/>
                    </a:xfrm>
                    <a:prstGeom prst="rect">
                      <a:avLst/>
                    </a:prstGeom>
                  </pic:spPr>
                </pic:pic>
              </a:graphicData>
            </a:graphic>
          </wp:inline>
        </w:drawing>
      </w:r>
    </w:p>
    <w:p w14:paraId="6C643702" w14:textId="77777777" w:rsidR="005B77D1" w:rsidRDefault="005B77D1" w:rsidP="00501B1A">
      <w:r>
        <w:br w:type="page"/>
      </w:r>
    </w:p>
    <w:p w14:paraId="5B9F2649" w14:textId="77777777" w:rsidR="005B77D1" w:rsidRPr="00A22729" w:rsidRDefault="005B77D1" w:rsidP="00501B1A">
      <w:pPr>
        <w:rPr>
          <w:b/>
        </w:rPr>
      </w:pPr>
      <w:r w:rsidRPr="00A22729">
        <w:rPr>
          <w:b/>
        </w:rPr>
        <w:lastRenderedPageBreak/>
        <w:t>Supplementary Figure 2</w:t>
      </w:r>
    </w:p>
    <w:p w14:paraId="038CA15B" w14:textId="77777777" w:rsidR="005B77D1" w:rsidRDefault="005B77D1" w:rsidP="00501B1A">
      <w:r>
        <w:rPr>
          <w:noProof/>
        </w:rPr>
        <w:drawing>
          <wp:inline distT="0" distB="0" distL="0" distR="0" wp14:anchorId="2F571C65" wp14:editId="3BE920D0">
            <wp:extent cx="6866453" cy="4931228"/>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_Figure_2-Mabs-heatmap.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75368" cy="4937631"/>
                    </a:xfrm>
                    <a:prstGeom prst="rect">
                      <a:avLst/>
                    </a:prstGeom>
                  </pic:spPr>
                </pic:pic>
              </a:graphicData>
            </a:graphic>
          </wp:inline>
        </w:drawing>
      </w:r>
    </w:p>
    <w:p w14:paraId="4516C393" w14:textId="77777777" w:rsidR="005B77D1" w:rsidRDefault="005B77D1" w:rsidP="00501B1A">
      <w:r>
        <w:br w:type="page"/>
      </w:r>
    </w:p>
    <w:p w14:paraId="1559BBFE" w14:textId="77777777" w:rsidR="005B77D1" w:rsidRDefault="005B77D1" w:rsidP="00501B1A">
      <w:pPr>
        <w:rPr>
          <w:b/>
        </w:rPr>
      </w:pPr>
      <w:r w:rsidRPr="00A22729">
        <w:rPr>
          <w:b/>
        </w:rPr>
        <w:lastRenderedPageBreak/>
        <w:t>Supplementary Figure 3</w:t>
      </w:r>
    </w:p>
    <w:p w14:paraId="2E8DADBB" w14:textId="77777777" w:rsidR="005B77D1" w:rsidRDefault="005B77D1" w:rsidP="00501B1A">
      <w:pPr>
        <w:rPr>
          <w:b/>
        </w:rPr>
      </w:pPr>
      <w:r>
        <w:rPr>
          <w:b/>
          <w:noProof/>
        </w:rPr>
        <w:drawing>
          <wp:inline distT="0" distB="0" distL="0" distR="0" wp14:anchorId="799CA865" wp14:editId="09F52CEC">
            <wp:extent cx="6839268" cy="52741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_Figure_3-Mmas-heatma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48858" cy="5281524"/>
                    </a:xfrm>
                    <a:prstGeom prst="rect">
                      <a:avLst/>
                    </a:prstGeom>
                  </pic:spPr>
                </pic:pic>
              </a:graphicData>
            </a:graphic>
          </wp:inline>
        </w:drawing>
      </w:r>
    </w:p>
    <w:p w14:paraId="0C4EAA17" w14:textId="77777777" w:rsidR="005B77D1" w:rsidRDefault="005B77D1" w:rsidP="00501B1A">
      <w:pPr>
        <w:rPr>
          <w:b/>
        </w:rPr>
      </w:pPr>
      <w:r>
        <w:rPr>
          <w:b/>
        </w:rPr>
        <w:br w:type="page"/>
      </w:r>
    </w:p>
    <w:p w14:paraId="40DFEEF3" w14:textId="77777777" w:rsidR="005B77D1" w:rsidRDefault="005B77D1" w:rsidP="00501B1A">
      <w:pPr>
        <w:rPr>
          <w:b/>
        </w:rPr>
      </w:pPr>
      <w:r>
        <w:rPr>
          <w:b/>
        </w:rPr>
        <w:lastRenderedPageBreak/>
        <w:t>Supplementary Figure 4</w:t>
      </w:r>
    </w:p>
    <w:p w14:paraId="69DEBBC3" w14:textId="12BE13B5" w:rsidR="005B77D1" w:rsidRDefault="00E229B1" w:rsidP="00501B1A">
      <w:pPr>
        <w:rPr>
          <w:b/>
        </w:rPr>
      </w:pPr>
      <w:r>
        <w:rPr>
          <w:b/>
          <w:noProof/>
        </w:rPr>
        <w:drawing>
          <wp:inline distT="0" distB="0" distL="0" distR="0" wp14:anchorId="2106BA3B" wp14:editId="7F6DF6C0">
            <wp:extent cx="5943600" cy="5848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_Figure_4v4-Interactio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848985"/>
                    </a:xfrm>
                    <a:prstGeom prst="rect">
                      <a:avLst/>
                    </a:prstGeom>
                  </pic:spPr>
                </pic:pic>
              </a:graphicData>
            </a:graphic>
          </wp:inline>
        </w:drawing>
      </w:r>
    </w:p>
    <w:p w14:paraId="20D61FBA" w14:textId="4451253C" w:rsidR="005B77D1" w:rsidRDefault="005B77D1" w:rsidP="00501B1A">
      <w:pPr>
        <w:rPr>
          <w:b/>
        </w:rPr>
      </w:pPr>
      <w:r>
        <w:rPr>
          <w:b/>
        </w:rPr>
        <w:br w:type="page"/>
      </w:r>
    </w:p>
    <w:p w14:paraId="518BEE06" w14:textId="77777777" w:rsidR="005B77D1" w:rsidRDefault="005B77D1" w:rsidP="00501B1A">
      <w:pPr>
        <w:rPr>
          <w:b/>
        </w:rPr>
      </w:pPr>
      <w:r>
        <w:rPr>
          <w:b/>
        </w:rPr>
        <w:lastRenderedPageBreak/>
        <w:t>Supplementary Figure 5</w:t>
      </w:r>
    </w:p>
    <w:p w14:paraId="003732A7" w14:textId="174EA180" w:rsidR="005B77D1" w:rsidRDefault="00CE62AC" w:rsidP="00501B1A">
      <w:pPr>
        <w:rPr>
          <w:b/>
        </w:rPr>
      </w:pPr>
      <w:r>
        <w:rPr>
          <w:b/>
          <w:noProof/>
        </w:rPr>
        <w:drawing>
          <wp:inline distT="0" distB="0" distL="0" distR="0" wp14:anchorId="6BD1E3B3" wp14:editId="251779C5">
            <wp:extent cx="5943600" cy="51606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_Figure_5-mabs.circular - Cop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160645"/>
                    </a:xfrm>
                    <a:prstGeom prst="rect">
                      <a:avLst/>
                    </a:prstGeom>
                  </pic:spPr>
                </pic:pic>
              </a:graphicData>
            </a:graphic>
          </wp:inline>
        </w:drawing>
      </w:r>
      <w:r w:rsidR="005B77D1">
        <w:rPr>
          <w:b/>
        </w:rPr>
        <w:br w:type="page"/>
      </w:r>
    </w:p>
    <w:p w14:paraId="609ED54E" w14:textId="77777777" w:rsidR="005B77D1" w:rsidRDefault="005B77D1" w:rsidP="00501B1A">
      <w:pPr>
        <w:rPr>
          <w:b/>
        </w:rPr>
      </w:pPr>
      <w:r>
        <w:rPr>
          <w:b/>
        </w:rPr>
        <w:lastRenderedPageBreak/>
        <w:t>Supplementary Figure 6</w:t>
      </w:r>
    </w:p>
    <w:p w14:paraId="486A0AB9" w14:textId="56D6234F" w:rsidR="005B77D1" w:rsidRDefault="00CE62AC" w:rsidP="00501B1A">
      <w:pPr>
        <w:rPr>
          <w:b/>
        </w:rPr>
      </w:pPr>
      <w:r>
        <w:rPr>
          <w:b/>
          <w:noProof/>
        </w:rPr>
        <w:drawing>
          <wp:inline distT="0" distB="0" distL="0" distR="0" wp14:anchorId="2605F647" wp14:editId="79F46022">
            <wp:extent cx="5943600" cy="59080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_Figure_6-mmas.circula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908040"/>
                    </a:xfrm>
                    <a:prstGeom prst="rect">
                      <a:avLst/>
                    </a:prstGeom>
                  </pic:spPr>
                </pic:pic>
              </a:graphicData>
            </a:graphic>
          </wp:inline>
        </w:drawing>
      </w:r>
    </w:p>
    <w:p w14:paraId="272A26F6" w14:textId="77777777" w:rsidR="005B77D1" w:rsidRDefault="005B77D1" w:rsidP="00501B1A">
      <w:pPr>
        <w:rPr>
          <w:b/>
        </w:rPr>
      </w:pPr>
      <w:r>
        <w:rPr>
          <w:b/>
        </w:rPr>
        <w:br w:type="page"/>
      </w:r>
    </w:p>
    <w:p w14:paraId="17257759" w14:textId="77777777" w:rsidR="005B77D1" w:rsidRDefault="005B77D1" w:rsidP="00501B1A">
      <w:pPr>
        <w:rPr>
          <w:b/>
        </w:rPr>
      </w:pPr>
      <w:r>
        <w:rPr>
          <w:b/>
        </w:rPr>
        <w:lastRenderedPageBreak/>
        <w:t>Supplementary Figure 7</w:t>
      </w:r>
    </w:p>
    <w:p w14:paraId="13604BDB" w14:textId="5D2AE9E0" w:rsidR="005B77D1" w:rsidRDefault="00CE62AC" w:rsidP="00501B1A">
      <w:pPr>
        <w:rPr>
          <w:b/>
        </w:rPr>
      </w:pPr>
      <w:r>
        <w:rPr>
          <w:b/>
          <w:noProof/>
        </w:rPr>
        <w:drawing>
          <wp:inline distT="0" distB="0" distL="0" distR="0" wp14:anchorId="0290FEC6" wp14:editId="2564A7A8">
            <wp:extent cx="5943600" cy="59588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_Figure_7-mbol.circula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58840"/>
                    </a:xfrm>
                    <a:prstGeom prst="rect">
                      <a:avLst/>
                    </a:prstGeom>
                  </pic:spPr>
                </pic:pic>
              </a:graphicData>
            </a:graphic>
          </wp:inline>
        </w:drawing>
      </w:r>
      <w:r w:rsidR="005B77D1">
        <w:rPr>
          <w:b/>
        </w:rPr>
        <w:br/>
      </w:r>
    </w:p>
    <w:p w14:paraId="704ABEB6" w14:textId="77777777" w:rsidR="005B77D1" w:rsidRDefault="005B77D1" w:rsidP="00501B1A">
      <w:pPr>
        <w:rPr>
          <w:b/>
        </w:rPr>
      </w:pPr>
      <w:r>
        <w:rPr>
          <w:b/>
        </w:rPr>
        <w:br w:type="page"/>
      </w:r>
    </w:p>
    <w:p w14:paraId="7E83481F" w14:textId="77777777" w:rsidR="005B77D1" w:rsidRDefault="005B77D1" w:rsidP="00501B1A">
      <w:pPr>
        <w:rPr>
          <w:b/>
        </w:rPr>
      </w:pPr>
      <w:r>
        <w:rPr>
          <w:b/>
        </w:rPr>
        <w:lastRenderedPageBreak/>
        <w:t>Supplementary Figure 8</w:t>
      </w:r>
    </w:p>
    <w:p w14:paraId="0D72BEC8" w14:textId="7647CFDF" w:rsidR="005B77D1" w:rsidRPr="008924C4" w:rsidRDefault="00CE62AC" w:rsidP="00501B1A">
      <w:pPr>
        <w:rPr>
          <w:b/>
        </w:rPr>
      </w:pPr>
      <w:r>
        <w:rPr>
          <w:b/>
          <w:noProof/>
        </w:rPr>
        <w:drawing>
          <wp:inline distT="0" distB="0" distL="0" distR="0" wp14:anchorId="373E147D" wp14:editId="11819351">
            <wp:extent cx="5943600" cy="61690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_Figure_8-mbol.recomb.circula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169025"/>
                    </a:xfrm>
                    <a:prstGeom prst="rect">
                      <a:avLst/>
                    </a:prstGeom>
                  </pic:spPr>
                </pic:pic>
              </a:graphicData>
            </a:graphic>
          </wp:inline>
        </w:drawing>
      </w:r>
    </w:p>
    <w:p w14:paraId="060DB954" w14:textId="77777777" w:rsidR="005B77D1" w:rsidRDefault="005B77D1" w:rsidP="00501B1A">
      <w:pPr>
        <w:pStyle w:val="Heading1"/>
      </w:pPr>
    </w:p>
    <w:p w14:paraId="578B879B" w14:textId="77777777" w:rsidR="005B77D1" w:rsidRDefault="005B77D1" w:rsidP="00501B1A">
      <w:pPr>
        <w:pStyle w:val="Heading1"/>
      </w:pPr>
    </w:p>
    <w:p w14:paraId="1EDE3913" w14:textId="77777777" w:rsidR="005B77D1" w:rsidRPr="00501B1A" w:rsidRDefault="005B77D1" w:rsidP="00501B1A">
      <w:pPr>
        <w:pStyle w:val="Heading1"/>
      </w:pPr>
    </w:p>
    <w:p w14:paraId="4E4059BB" w14:textId="77777777" w:rsidR="005C5D33" w:rsidRDefault="005C5D33"/>
    <w:sectPr w:rsidR="005C5D3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98464" w14:textId="77777777" w:rsidR="00EB49BF" w:rsidRDefault="00EB49BF">
      <w:pPr>
        <w:spacing w:after="0" w:line="240" w:lineRule="auto"/>
      </w:pPr>
      <w:r>
        <w:separator/>
      </w:r>
    </w:p>
  </w:endnote>
  <w:endnote w:type="continuationSeparator" w:id="0">
    <w:p w14:paraId="0F1329E5" w14:textId="77777777" w:rsidR="00EB49BF" w:rsidRDefault="00EB4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988847"/>
      <w:docPartObj>
        <w:docPartGallery w:val="Page Numbers (Bottom of Page)"/>
        <w:docPartUnique/>
      </w:docPartObj>
    </w:sdtPr>
    <w:sdtEndPr>
      <w:rPr>
        <w:noProof/>
      </w:rPr>
    </w:sdtEndPr>
    <w:sdtContent>
      <w:p w14:paraId="512CA789" w14:textId="77777777" w:rsidR="00A47E06" w:rsidRDefault="005B77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241D18" w14:textId="77777777" w:rsidR="00A47E06" w:rsidRDefault="00EB4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9C378" w14:textId="77777777" w:rsidR="00EB49BF" w:rsidRDefault="00EB49BF">
      <w:pPr>
        <w:spacing w:after="0" w:line="240" w:lineRule="auto"/>
      </w:pPr>
      <w:r>
        <w:separator/>
      </w:r>
    </w:p>
  </w:footnote>
  <w:footnote w:type="continuationSeparator" w:id="0">
    <w:p w14:paraId="1937F246" w14:textId="77777777" w:rsidR="00EB49BF" w:rsidRDefault="00EB49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1&lt;/Suspended&gt;&lt;/ENInstantFormat&gt;"/>
  </w:docVars>
  <w:rsids>
    <w:rsidRoot w:val="005B77D1"/>
    <w:rsid w:val="003007B8"/>
    <w:rsid w:val="00453629"/>
    <w:rsid w:val="005B77D1"/>
    <w:rsid w:val="005C5D33"/>
    <w:rsid w:val="00643ADA"/>
    <w:rsid w:val="006F6E09"/>
    <w:rsid w:val="007159EF"/>
    <w:rsid w:val="007C4B7F"/>
    <w:rsid w:val="009320AA"/>
    <w:rsid w:val="00A65066"/>
    <w:rsid w:val="00A91BF7"/>
    <w:rsid w:val="00C52BFA"/>
    <w:rsid w:val="00CE62AC"/>
    <w:rsid w:val="00E229B1"/>
    <w:rsid w:val="00EB49BF"/>
    <w:rsid w:val="00ED326F"/>
    <w:rsid w:val="00EE2DEC"/>
    <w:rsid w:val="00F466E6"/>
    <w:rsid w:val="00FB4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733C"/>
  <w15:chartTrackingRefBased/>
  <w15:docId w15:val="{AA7781F4-54CD-4A77-BCEB-C2C2C406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77D1"/>
  </w:style>
  <w:style w:type="paragraph" w:styleId="Heading1">
    <w:name w:val="heading 1"/>
    <w:basedOn w:val="Normal"/>
    <w:next w:val="Normal"/>
    <w:link w:val="Heading1Char"/>
    <w:uiPriority w:val="9"/>
    <w:qFormat/>
    <w:rsid w:val="005B77D1"/>
    <w:pPr>
      <w:keepNext/>
      <w:keepLines/>
      <w:spacing w:before="240" w:after="0"/>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7D1"/>
    <w:rPr>
      <w:rFonts w:eastAsiaTheme="majorEastAsia" w:cstheme="majorBidi"/>
      <w:b/>
      <w:color w:val="000000" w:themeColor="text1"/>
      <w:szCs w:val="32"/>
    </w:rPr>
  </w:style>
  <w:style w:type="character" w:styleId="CommentReference">
    <w:name w:val="annotation reference"/>
    <w:basedOn w:val="DefaultParagraphFont"/>
    <w:uiPriority w:val="99"/>
    <w:semiHidden/>
    <w:unhideWhenUsed/>
    <w:rsid w:val="005B77D1"/>
    <w:rPr>
      <w:sz w:val="16"/>
      <w:szCs w:val="16"/>
    </w:rPr>
  </w:style>
  <w:style w:type="paragraph" w:styleId="CommentText">
    <w:name w:val="annotation text"/>
    <w:basedOn w:val="Normal"/>
    <w:link w:val="CommentTextChar"/>
    <w:uiPriority w:val="99"/>
    <w:unhideWhenUsed/>
    <w:rsid w:val="005B77D1"/>
    <w:pPr>
      <w:spacing w:line="240" w:lineRule="auto"/>
    </w:pPr>
    <w:rPr>
      <w:sz w:val="20"/>
      <w:szCs w:val="20"/>
    </w:rPr>
  </w:style>
  <w:style w:type="character" w:customStyle="1" w:styleId="CommentTextChar">
    <w:name w:val="Comment Text Char"/>
    <w:basedOn w:val="DefaultParagraphFont"/>
    <w:link w:val="CommentText"/>
    <w:uiPriority w:val="99"/>
    <w:rsid w:val="005B77D1"/>
    <w:rPr>
      <w:sz w:val="20"/>
      <w:szCs w:val="20"/>
    </w:rPr>
  </w:style>
  <w:style w:type="character" w:styleId="Hyperlink">
    <w:name w:val="Hyperlink"/>
    <w:basedOn w:val="DefaultParagraphFont"/>
    <w:uiPriority w:val="99"/>
    <w:unhideWhenUsed/>
    <w:rsid w:val="005B77D1"/>
    <w:rPr>
      <w:color w:val="0563C1" w:themeColor="hyperlink"/>
      <w:u w:val="single"/>
    </w:rPr>
  </w:style>
  <w:style w:type="paragraph" w:styleId="BalloonText">
    <w:name w:val="Balloon Text"/>
    <w:basedOn w:val="Normal"/>
    <w:link w:val="BalloonTextChar"/>
    <w:uiPriority w:val="99"/>
    <w:semiHidden/>
    <w:unhideWhenUsed/>
    <w:rsid w:val="005B77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7D1"/>
    <w:rPr>
      <w:rFonts w:ascii="Segoe UI" w:hAnsi="Segoe UI" w:cs="Segoe UI"/>
      <w:sz w:val="18"/>
      <w:szCs w:val="18"/>
    </w:rPr>
  </w:style>
  <w:style w:type="paragraph" w:customStyle="1" w:styleId="EndNoteBibliographyTitle">
    <w:name w:val="EndNote Bibliography Title"/>
    <w:basedOn w:val="Normal"/>
    <w:link w:val="EndNoteBibliographyTitleChar"/>
    <w:rsid w:val="005B77D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B77D1"/>
    <w:rPr>
      <w:rFonts w:ascii="Calibri" w:hAnsi="Calibri" w:cs="Calibri"/>
      <w:noProof/>
    </w:rPr>
  </w:style>
  <w:style w:type="paragraph" w:customStyle="1" w:styleId="EndNoteBibliography">
    <w:name w:val="EndNote Bibliography"/>
    <w:basedOn w:val="Normal"/>
    <w:link w:val="EndNoteBibliographyChar"/>
    <w:rsid w:val="005B77D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B77D1"/>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5B77D1"/>
    <w:rPr>
      <w:b/>
      <w:bCs/>
    </w:rPr>
  </w:style>
  <w:style w:type="character" w:customStyle="1" w:styleId="CommentSubjectChar">
    <w:name w:val="Comment Subject Char"/>
    <w:basedOn w:val="CommentTextChar"/>
    <w:link w:val="CommentSubject"/>
    <w:uiPriority w:val="99"/>
    <w:semiHidden/>
    <w:rsid w:val="005B77D1"/>
    <w:rPr>
      <w:b/>
      <w:bCs/>
      <w:sz w:val="20"/>
      <w:szCs w:val="20"/>
    </w:rPr>
  </w:style>
  <w:style w:type="character" w:styleId="UnresolvedMention">
    <w:name w:val="Unresolved Mention"/>
    <w:basedOn w:val="DefaultParagraphFont"/>
    <w:uiPriority w:val="99"/>
    <w:semiHidden/>
    <w:unhideWhenUsed/>
    <w:rsid w:val="005B77D1"/>
    <w:rPr>
      <w:color w:val="605E5C"/>
      <w:shd w:val="clear" w:color="auto" w:fill="E1DFDD"/>
    </w:rPr>
  </w:style>
  <w:style w:type="paragraph" w:styleId="Revision">
    <w:name w:val="Revision"/>
    <w:hidden/>
    <w:uiPriority w:val="99"/>
    <w:semiHidden/>
    <w:rsid w:val="005B77D1"/>
    <w:pPr>
      <w:spacing w:after="0" w:line="240" w:lineRule="auto"/>
    </w:pPr>
  </w:style>
  <w:style w:type="paragraph" w:styleId="Header">
    <w:name w:val="header"/>
    <w:basedOn w:val="Normal"/>
    <w:link w:val="HeaderChar"/>
    <w:uiPriority w:val="99"/>
    <w:unhideWhenUsed/>
    <w:rsid w:val="005B7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7D1"/>
  </w:style>
  <w:style w:type="paragraph" w:styleId="Footer">
    <w:name w:val="footer"/>
    <w:basedOn w:val="Normal"/>
    <w:link w:val="FooterChar"/>
    <w:uiPriority w:val="99"/>
    <w:unhideWhenUsed/>
    <w:rsid w:val="005B7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Waglechner</dc:creator>
  <cp:keywords/>
  <dc:description/>
  <cp:lastModifiedBy>Nicholas Waglechner</cp:lastModifiedBy>
  <cp:revision>9</cp:revision>
  <dcterms:created xsi:type="dcterms:W3CDTF">2022-03-19T01:27:00Z</dcterms:created>
  <dcterms:modified xsi:type="dcterms:W3CDTF">2022-06-19T21:27:00Z</dcterms:modified>
</cp:coreProperties>
</file>