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B61CF" w14:textId="77777777" w:rsidR="00274225" w:rsidRPr="007F10F4" w:rsidRDefault="00274225" w:rsidP="00274225">
      <w:pPr>
        <w:pStyle w:val="Heading3"/>
        <w:spacing w:line="22" w:lineRule="atLeast"/>
        <w:rPr>
          <w:b/>
          <w:bCs/>
        </w:rPr>
      </w:pPr>
      <w:r w:rsidRPr="007F10F4">
        <w:rPr>
          <w:b/>
          <w:bCs/>
        </w:rPr>
        <w:t>Supplementary Material</w:t>
      </w:r>
    </w:p>
    <w:p w14:paraId="4EB402CA" w14:textId="77777777" w:rsidR="00274225" w:rsidRPr="007F10F4" w:rsidRDefault="00274225" w:rsidP="00274225">
      <w:pPr>
        <w:pStyle w:val="Heading3"/>
        <w:spacing w:line="22" w:lineRule="atLeast"/>
        <w:rPr>
          <w:b/>
          <w:bCs/>
          <w:sz w:val="22"/>
          <w:szCs w:val="22"/>
        </w:rPr>
      </w:pPr>
    </w:p>
    <w:p w14:paraId="6ADBD463" w14:textId="77777777" w:rsidR="00274225" w:rsidRPr="007F10F4" w:rsidRDefault="00274225" w:rsidP="00274225">
      <w:pPr>
        <w:spacing w:line="22" w:lineRule="atLeast"/>
        <w:jc w:val="both"/>
        <w:rPr>
          <w:rFonts w:ascii="Times New Roman" w:hAnsi="Times New Roman" w:cs="Times New Roman"/>
          <w:shd w:val="clear" w:color="auto" w:fill="FFFFFF"/>
        </w:rPr>
      </w:pPr>
      <w:r w:rsidRPr="007F10F4">
        <w:rPr>
          <w:rFonts w:ascii="Times New Roman" w:hAnsi="Times New Roman" w:cs="Times New Roman"/>
          <w:b/>
          <w:bCs/>
          <w:lang w:eastAsia="pt-BR"/>
        </w:rPr>
        <w:t xml:space="preserve">Table S1. </w:t>
      </w:r>
      <w:r w:rsidRPr="007F10F4">
        <w:rPr>
          <w:rFonts w:ascii="Times New Roman" w:hAnsi="Times New Roman" w:cs="Times New Roman"/>
        </w:rPr>
        <w:t xml:space="preserve">Network parameters from metabolic and correlation-based networks integrating anatomical, metabolic and physiological data. Metabolic network (metabolite </w:t>
      </w:r>
      <w:r w:rsidRPr="007F10F4">
        <w:rPr>
          <w:rFonts w:ascii="Times New Roman" w:hAnsi="Times New Roman" w:cs="Times New Roman"/>
          <w:i/>
          <w:iCs/>
        </w:rPr>
        <w:t>vs</w:t>
      </w:r>
      <w:r w:rsidRPr="007F10F4">
        <w:rPr>
          <w:rFonts w:ascii="Times New Roman" w:hAnsi="Times New Roman" w:cs="Times New Roman"/>
        </w:rPr>
        <w:t xml:space="preserve"> metabolite) corresponds to a network in which the metabolites are the nodes and the links are the correlation among them. The other network (physiological parameter </w:t>
      </w:r>
      <w:r w:rsidRPr="007F10F4">
        <w:rPr>
          <w:rFonts w:ascii="Times New Roman" w:hAnsi="Times New Roman" w:cs="Times New Roman"/>
          <w:i/>
          <w:iCs/>
        </w:rPr>
        <w:t>vs</w:t>
      </w:r>
      <w:r w:rsidRPr="007F10F4">
        <w:rPr>
          <w:rFonts w:ascii="Times New Roman" w:hAnsi="Times New Roman" w:cs="Times New Roman"/>
        </w:rPr>
        <w:t xml:space="preserve"> metabolite) corresponds to a network created by correlating metabolites with physiological and biochemical parameters. All netw</w:t>
      </w:r>
      <w:bookmarkStart w:id="0" w:name="_GoBack"/>
      <w:bookmarkEnd w:id="0"/>
      <w:r w:rsidRPr="007F10F4">
        <w:rPr>
          <w:rFonts w:ascii="Times New Roman" w:hAnsi="Times New Roman" w:cs="Times New Roman"/>
        </w:rPr>
        <w:t xml:space="preserve">ork parameters were </w:t>
      </w:r>
      <w:r w:rsidRPr="007F10F4">
        <w:rPr>
          <w:rFonts w:ascii="Times New Roman" w:hAnsi="Times New Roman" w:cs="Times New Roman"/>
          <w:shd w:val="clear" w:color="auto" w:fill="FFFFFF"/>
        </w:rPr>
        <w:t xml:space="preserve"> obtained by Network Analysis in </w:t>
      </w:r>
      <w:proofErr w:type="spellStart"/>
      <w:r w:rsidRPr="007F10F4">
        <w:rPr>
          <w:rFonts w:ascii="Times New Roman" w:hAnsi="Times New Roman" w:cs="Times New Roman"/>
          <w:shd w:val="clear" w:color="auto" w:fill="FFFFFF"/>
        </w:rPr>
        <w:t>Cytoscape</w:t>
      </w:r>
      <w:proofErr w:type="spellEnd"/>
      <w:r w:rsidRPr="007F10F4">
        <w:rPr>
          <w:rFonts w:ascii="Times New Roman" w:hAnsi="Times New Roman" w:cs="Times New Roman"/>
          <w:shd w:val="clear" w:color="auto" w:fill="FFFFFF"/>
        </w:rPr>
        <w:t xml:space="preserve"> </w:t>
      </w:r>
      <w:r w:rsidRPr="007F10F4">
        <w:rPr>
          <w:rFonts w:ascii="Times New Roman" w:hAnsi="Times New Roman" w:cs="Times New Roman"/>
          <w:shd w:val="clear" w:color="auto" w:fill="FFFFFF"/>
        </w:rPr>
        <w:fldChar w:fldCharType="begin" w:fldLock="1"/>
      </w:r>
      <w:r w:rsidRPr="007F10F4">
        <w:rPr>
          <w:rFonts w:ascii="Times New Roman" w:hAnsi="Times New Roman" w:cs="Times New Roman"/>
          <w:shd w:val="clear" w:color="auto" w:fill="FFFFFF"/>
        </w:rPr>
        <w:instrText>ADDIN CSL_CITATION {"citationItems":[{"id":"ITEM-1","itemData":{"DOI":"10.1093/bioinformatics/btm554","ISSN":"1460-2059","author":[{"dropping-particle":"","family":"Assenov","given":"Yassen","non-dropping-particle":"","parse-names":false,"suffix":""},{"dropping-particle":"","family":"Ramírez","given":"Fidel","non-dropping-particle":"","parse-names":false,"suffix":""},{"dropping-particle":"","family":"Schelhorn","given":"Sven-Eric","non-dropping-particle":"","parse-names":false,"suffix":""},{"dropping-particle":"","family":"Lengauer","given":"Thomas","non-dropping-particle":"","parse-names":false,"suffix":""},{"dropping-particle":"","family":"Albrecht","given":"Mario","non-dropping-particle":"","parse-names":false,"suffix":""}],"container-title":"Bioinformatics","id":"ITEM-1","issue":"2","issued":{"date-parts":[["2008","1"]]},"page":"282-284","title":"Computing topological parameters of biological networks","type":"article-journal","volume":"24"},"uris":["http://www.mendeley.com/documents/?uuid=b7a571c1-268c-460c-95af-8d22d5b78b26"]}],"mendeley":{"formattedCitation":"(Assenov &lt;i&gt;et al.&lt;/i&gt;, 2008)","plainTextFormattedCitation":"(Assenov et al., 2008)","previouslyFormattedCitation":"(Assenov &lt;i&gt;et al.&lt;/i&gt;, 2008)"},"properties":{"noteIndex":0},"schema":"https://github.com/citation-style-language/schema/raw/master/csl-citation.json"}</w:instrText>
      </w:r>
      <w:r w:rsidRPr="007F10F4">
        <w:rPr>
          <w:rFonts w:ascii="Times New Roman" w:hAnsi="Times New Roman" w:cs="Times New Roman"/>
          <w:shd w:val="clear" w:color="auto" w:fill="FFFFFF"/>
        </w:rPr>
        <w:fldChar w:fldCharType="separate"/>
      </w:r>
      <w:r w:rsidRPr="007F10F4">
        <w:rPr>
          <w:rFonts w:ascii="Times New Roman" w:hAnsi="Times New Roman" w:cs="Times New Roman"/>
          <w:noProof/>
          <w:shd w:val="clear" w:color="auto" w:fill="FFFFFF"/>
        </w:rPr>
        <w:t xml:space="preserve">(Assenov </w:t>
      </w:r>
      <w:r w:rsidRPr="007F10F4">
        <w:rPr>
          <w:rFonts w:ascii="Times New Roman" w:hAnsi="Times New Roman" w:cs="Times New Roman"/>
          <w:i/>
          <w:noProof/>
          <w:shd w:val="clear" w:color="auto" w:fill="FFFFFF"/>
        </w:rPr>
        <w:t>et al.</w:t>
      </w:r>
      <w:r w:rsidRPr="007F10F4">
        <w:rPr>
          <w:rFonts w:ascii="Times New Roman" w:hAnsi="Times New Roman" w:cs="Times New Roman"/>
          <w:noProof/>
          <w:shd w:val="clear" w:color="auto" w:fill="FFFFFF"/>
        </w:rPr>
        <w:t>, 2008)</w:t>
      </w:r>
      <w:r w:rsidRPr="007F10F4">
        <w:rPr>
          <w:rFonts w:ascii="Times New Roman" w:hAnsi="Times New Roman" w:cs="Times New Roman"/>
          <w:shd w:val="clear" w:color="auto" w:fill="FFFFFF"/>
        </w:rPr>
        <w:fldChar w:fldCharType="end"/>
      </w:r>
      <w:r w:rsidRPr="007F10F4">
        <w:rPr>
          <w:rFonts w:ascii="Times New Roman" w:hAnsi="Times New Roman" w:cs="Times New Roman"/>
          <w:shd w:val="clear" w:color="auto" w:fill="FFFFFF"/>
        </w:rPr>
        <w:t>.</w:t>
      </w:r>
    </w:p>
    <w:tbl>
      <w:tblPr>
        <w:tblStyle w:val="TableGrid"/>
        <w:tblW w:w="887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711"/>
        <w:gridCol w:w="931"/>
        <w:gridCol w:w="931"/>
        <w:gridCol w:w="1039"/>
        <w:gridCol w:w="222"/>
        <w:gridCol w:w="711"/>
        <w:gridCol w:w="931"/>
        <w:gridCol w:w="931"/>
        <w:gridCol w:w="1039"/>
      </w:tblGrid>
      <w:tr w:rsidR="007F10F4" w:rsidRPr="007F10F4" w14:paraId="21BA3ABD" w14:textId="77777777" w:rsidTr="00D737A6">
        <w:tc>
          <w:tcPr>
            <w:tcW w:w="1990" w:type="dxa"/>
            <w:tcBorders>
              <w:top w:val="single" w:sz="4" w:space="0" w:color="auto"/>
            </w:tcBorders>
          </w:tcPr>
          <w:p w14:paraId="0E6FC9C3"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Network parameter</w:t>
            </w:r>
          </w:p>
        </w:tc>
        <w:tc>
          <w:tcPr>
            <w:tcW w:w="3324" w:type="dxa"/>
            <w:gridSpan w:val="4"/>
            <w:tcBorders>
              <w:top w:val="single" w:sz="4" w:space="0" w:color="auto"/>
              <w:bottom w:val="single" w:sz="4" w:space="0" w:color="auto"/>
            </w:tcBorders>
          </w:tcPr>
          <w:p w14:paraId="719BF19D"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Metabolite vs metabolite</w:t>
            </w:r>
          </w:p>
        </w:tc>
        <w:tc>
          <w:tcPr>
            <w:tcW w:w="236" w:type="dxa"/>
            <w:tcBorders>
              <w:top w:val="single" w:sz="4" w:space="0" w:color="auto"/>
            </w:tcBorders>
          </w:tcPr>
          <w:p w14:paraId="06910196" w14:textId="77777777" w:rsidR="00274225" w:rsidRPr="007F10F4" w:rsidRDefault="00274225" w:rsidP="00D737A6">
            <w:pPr>
              <w:spacing w:after="160" w:line="22" w:lineRule="atLeast"/>
              <w:jc w:val="both"/>
              <w:rPr>
                <w:rFonts w:ascii="Times New Roman" w:hAnsi="Times New Roman" w:cs="Times New Roman"/>
                <w:b/>
                <w:bCs/>
                <w:lang w:eastAsia="pt-BR"/>
              </w:rPr>
            </w:pPr>
          </w:p>
        </w:tc>
        <w:tc>
          <w:tcPr>
            <w:tcW w:w="3321" w:type="dxa"/>
            <w:gridSpan w:val="4"/>
            <w:tcBorders>
              <w:top w:val="single" w:sz="4" w:space="0" w:color="auto"/>
              <w:bottom w:val="single" w:sz="4" w:space="0" w:color="auto"/>
            </w:tcBorders>
          </w:tcPr>
          <w:p w14:paraId="03F67A30"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 xml:space="preserve">Physiological parameter </w:t>
            </w:r>
            <w:proofErr w:type="spellStart"/>
            <w:r w:rsidRPr="007F10F4">
              <w:rPr>
                <w:rFonts w:ascii="Times New Roman" w:hAnsi="Times New Roman" w:cs="Times New Roman"/>
                <w:b/>
                <w:bCs/>
                <w:lang w:eastAsia="pt-BR"/>
              </w:rPr>
              <w:t>vc</w:t>
            </w:r>
            <w:proofErr w:type="spellEnd"/>
            <w:r w:rsidRPr="007F10F4">
              <w:rPr>
                <w:rFonts w:ascii="Times New Roman" w:hAnsi="Times New Roman" w:cs="Times New Roman"/>
                <w:b/>
                <w:bCs/>
                <w:lang w:eastAsia="pt-BR"/>
              </w:rPr>
              <w:t xml:space="preserve"> metabolite</w:t>
            </w:r>
          </w:p>
        </w:tc>
      </w:tr>
      <w:tr w:rsidR="007F10F4" w:rsidRPr="007F10F4" w14:paraId="2650DB15" w14:textId="77777777" w:rsidTr="00D737A6">
        <w:tc>
          <w:tcPr>
            <w:tcW w:w="1990" w:type="dxa"/>
            <w:tcBorders>
              <w:bottom w:val="single" w:sz="4" w:space="0" w:color="auto"/>
            </w:tcBorders>
          </w:tcPr>
          <w:p w14:paraId="006C1A17" w14:textId="77777777" w:rsidR="00274225" w:rsidRPr="007F10F4" w:rsidRDefault="00274225" w:rsidP="00D737A6">
            <w:pPr>
              <w:spacing w:after="160" w:line="22" w:lineRule="atLeast"/>
              <w:jc w:val="both"/>
              <w:rPr>
                <w:rFonts w:ascii="Times New Roman" w:hAnsi="Times New Roman" w:cs="Times New Roman"/>
                <w:lang w:eastAsia="pt-BR"/>
              </w:rPr>
            </w:pPr>
          </w:p>
        </w:tc>
        <w:tc>
          <w:tcPr>
            <w:tcW w:w="708" w:type="dxa"/>
            <w:tcBorders>
              <w:top w:val="single" w:sz="4" w:space="0" w:color="auto"/>
              <w:bottom w:val="single" w:sz="4" w:space="0" w:color="auto"/>
            </w:tcBorders>
          </w:tcPr>
          <w:p w14:paraId="4E318506"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WW</w:t>
            </w:r>
          </w:p>
        </w:tc>
        <w:tc>
          <w:tcPr>
            <w:tcW w:w="866" w:type="dxa"/>
            <w:tcBorders>
              <w:top w:val="single" w:sz="4" w:space="0" w:color="auto"/>
              <w:bottom w:val="single" w:sz="4" w:space="0" w:color="auto"/>
            </w:tcBorders>
          </w:tcPr>
          <w:p w14:paraId="5CC91883"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WD</w:t>
            </w:r>
          </w:p>
        </w:tc>
        <w:tc>
          <w:tcPr>
            <w:tcW w:w="866" w:type="dxa"/>
            <w:tcBorders>
              <w:top w:val="single" w:sz="4" w:space="0" w:color="auto"/>
              <w:bottom w:val="single" w:sz="4" w:space="0" w:color="auto"/>
            </w:tcBorders>
          </w:tcPr>
          <w:p w14:paraId="29BE3D05"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HT</w:t>
            </w:r>
          </w:p>
        </w:tc>
        <w:tc>
          <w:tcPr>
            <w:tcW w:w="889" w:type="dxa"/>
            <w:tcBorders>
              <w:top w:val="single" w:sz="4" w:space="0" w:color="auto"/>
              <w:bottom w:val="single" w:sz="4" w:space="0" w:color="auto"/>
            </w:tcBorders>
          </w:tcPr>
          <w:p w14:paraId="0237C415"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WD+HT</w:t>
            </w:r>
          </w:p>
        </w:tc>
        <w:tc>
          <w:tcPr>
            <w:tcW w:w="236" w:type="dxa"/>
            <w:tcBorders>
              <w:bottom w:val="single" w:sz="4" w:space="0" w:color="auto"/>
            </w:tcBorders>
          </w:tcPr>
          <w:p w14:paraId="306A163F" w14:textId="77777777" w:rsidR="00274225" w:rsidRPr="007F10F4" w:rsidRDefault="00274225" w:rsidP="00D737A6">
            <w:pPr>
              <w:spacing w:after="160" w:line="22" w:lineRule="atLeast"/>
              <w:jc w:val="both"/>
              <w:rPr>
                <w:rFonts w:ascii="Times New Roman" w:hAnsi="Times New Roman" w:cs="Times New Roman"/>
                <w:b/>
                <w:bCs/>
                <w:lang w:eastAsia="pt-BR"/>
              </w:rPr>
            </w:pPr>
          </w:p>
        </w:tc>
        <w:tc>
          <w:tcPr>
            <w:tcW w:w="699" w:type="dxa"/>
            <w:tcBorders>
              <w:top w:val="single" w:sz="4" w:space="0" w:color="auto"/>
              <w:bottom w:val="single" w:sz="4" w:space="0" w:color="auto"/>
            </w:tcBorders>
          </w:tcPr>
          <w:p w14:paraId="70E446B4"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WW</w:t>
            </w:r>
          </w:p>
        </w:tc>
        <w:tc>
          <w:tcPr>
            <w:tcW w:w="866" w:type="dxa"/>
            <w:tcBorders>
              <w:top w:val="single" w:sz="4" w:space="0" w:color="auto"/>
              <w:bottom w:val="single" w:sz="4" w:space="0" w:color="auto"/>
            </w:tcBorders>
          </w:tcPr>
          <w:p w14:paraId="007953BE"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WD</w:t>
            </w:r>
          </w:p>
        </w:tc>
        <w:tc>
          <w:tcPr>
            <w:tcW w:w="866" w:type="dxa"/>
            <w:tcBorders>
              <w:top w:val="single" w:sz="4" w:space="0" w:color="auto"/>
              <w:bottom w:val="single" w:sz="4" w:space="0" w:color="auto"/>
            </w:tcBorders>
          </w:tcPr>
          <w:p w14:paraId="498E4650"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HT</w:t>
            </w:r>
          </w:p>
        </w:tc>
        <w:tc>
          <w:tcPr>
            <w:tcW w:w="890" w:type="dxa"/>
            <w:tcBorders>
              <w:top w:val="single" w:sz="4" w:space="0" w:color="auto"/>
              <w:bottom w:val="single" w:sz="4" w:space="0" w:color="auto"/>
            </w:tcBorders>
          </w:tcPr>
          <w:p w14:paraId="722C3DEE" w14:textId="77777777" w:rsidR="00274225" w:rsidRPr="007F10F4" w:rsidRDefault="00274225" w:rsidP="00D737A6">
            <w:pPr>
              <w:spacing w:after="160" w:line="22" w:lineRule="atLeast"/>
              <w:jc w:val="both"/>
              <w:rPr>
                <w:rFonts w:ascii="Times New Roman" w:hAnsi="Times New Roman" w:cs="Times New Roman"/>
                <w:b/>
                <w:bCs/>
                <w:lang w:eastAsia="pt-BR"/>
              </w:rPr>
            </w:pPr>
            <w:r w:rsidRPr="007F10F4">
              <w:rPr>
                <w:rFonts w:ascii="Times New Roman" w:hAnsi="Times New Roman" w:cs="Times New Roman"/>
                <w:b/>
                <w:bCs/>
                <w:lang w:eastAsia="pt-BR"/>
              </w:rPr>
              <w:t>WD+HT</w:t>
            </w:r>
          </w:p>
        </w:tc>
      </w:tr>
      <w:tr w:rsidR="007F10F4" w:rsidRPr="007F10F4" w14:paraId="55474407" w14:textId="77777777" w:rsidTr="00D737A6">
        <w:tc>
          <w:tcPr>
            <w:tcW w:w="1990" w:type="dxa"/>
            <w:tcBorders>
              <w:top w:val="single" w:sz="4" w:space="0" w:color="auto"/>
            </w:tcBorders>
          </w:tcPr>
          <w:p w14:paraId="06F185C8" w14:textId="77777777" w:rsidR="00274225" w:rsidRPr="007F10F4" w:rsidRDefault="00274225" w:rsidP="00D737A6">
            <w:pPr>
              <w:spacing w:after="160" w:line="22" w:lineRule="atLeast"/>
              <w:rPr>
                <w:rFonts w:ascii="Times New Roman" w:hAnsi="Times New Roman" w:cs="Times New Roman"/>
                <w:lang w:eastAsia="pt-BR"/>
              </w:rPr>
            </w:pPr>
            <w:r w:rsidRPr="007F10F4">
              <w:rPr>
                <w:rFonts w:ascii="Times New Roman" w:hAnsi="Times New Roman" w:cs="Times New Roman"/>
                <w:lang w:eastAsia="pt-BR"/>
              </w:rPr>
              <w:t>Network density</w:t>
            </w:r>
          </w:p>
        </w:tc>
        <w:tc>
          <w:tcPr>
            <w:tcW w:w="708" w:type="dxa"/>
            <w:tcBorders>
              <w:top w:val="single" w:sz="4" w:space="0" w:color="auto"/>
            </w:tcBorders>
          </w:tcPr>
          <w:p w14:paraId="7AA5F244"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0.032</w:t>
            </w:r>
          </w:p>
        </w:tc>
        <w:tc>
          <w:tcPr>
            <w:tcW w:w="866" w:type="dxa"/>
            <w:tcBorders>
              <w:top w:val="single" w:sz="4" w:space="0" w:color="auto"/>
            </w:tcBorders>
          </w:tcPr>
          <w:p w14:paraId="4B4C05C6"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0.044**</w:t>
            </w:r>
          </w:p>
        </w:tc>
        <w:tc>
          <w:tcPr>
            <w:tcW w:w="866" w:type="dxa"/>
            <w:tcBorders>
              <w:top w:val="single" w:sz="4" w:space="0" w:color="auto"/>
            </w:tcBorders>
          </w:tcPr>
          <w:p w14:paraId="3E866C80"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0.030*</w:t>
            </w:r>
          </w:p>
        </w:tc>
        <w:tc>
          <w:tcPr>
            <w:tcW w:w="889" w:type="dxa"/>
            <w:tcBorders>
              <w:top w:val="single" w:sz="4" w:space="0" w:color="auto"/>
            </w:tcBorders>
          </w:tcPr>
          <w:p w14:paraId="45FD2FBC"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0.037**</w:t>
            </w:r>
          </w:p>
        </w:tc>
        <w:tc>
          <w:tcPr>
            <w:tcW w:w="236" w:type="dxa"/>
            <w:tcBorders>
              <w:top w:val="single" w:sz="4" w:space="0" w:color="auto"/>
            </w:tcBorders>
          </w:tcPr>
          <w:p w14:paraId="1D1D12D8" w14:textId="77777777" w:rsidR="00274225" w:rsidRPr="007F10F4" w:rsidRDefault="00274225" w:rsidP="00D737A6">
            <w:pPr>
              <w:spacing w:after="160" w:line="22" w:lineRule="atLeast"/>
              <w:jc w:val="both"/>
              <w:rPr>
                <w:rFonts w:ascii="Times New Roman" w:hAnsi="Times New Roman" w:cs="Times New Roman"/>
                <w:lang w:eastAsia="pt-BR"/>
              </w:rPr>
            </w:pPr>
          </w:p>
        </w:tc>
        <w:tc>
          <w:tcPr>
            <w:tcW w:w="699" w:type="dxa"/>
            <w:tcBorders>
              <w:top w:val="single" w:sz="4" w:space="0" w:color="auto"/>
            </w:tcBorders>
          </w:tcPr>
          <w:p w14:paraId="7F68B03F"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0.017</w:t>
            </w:r>
          </w:p>
        </w:tc>
        <w:tc>
          <w:tcPr>
            <w:tcW w:w="866" w:type="dxa"/>
            <w:tcBorders>
              <w:top w:val="single" w:sz="4" w:space="0" w:color="auto"/>
            </w:tcBorders>
          </w:tcPr>
          <w:p w14:paraId="6E3E6189"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0.016*</w:t>
            </w:r>
          </w:p>
        </w:tc>
        <w:tc>
          <w:tcPr>
            <w:tcW w:w="866" w:type="dxa"/>
            <w:tcBorders>
              <w:top w:val="single" w:sz="4" w:space="0" w:color="auto"/>
            </w:tcBorders>
          </w:tcPr>
          <w:p w14:paraId="6A30C053"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0.014*</w:t>
            </w:r>
          </w:p>
        </w:tc>
        <w:tc>
          <w:tcPr>
            <w:tcW w:w="890" w:type="dxa"/>
            <w:tcBorders>
              <w:top w:val="single" w:sz="4" w:space="0" w:color="auto"/>
            </w:tcBorders>
          </w:tcPr>
          <w:p w14:paraId="6B4F1E38"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0.014*</w:t>
            </w:r>
          </w:p>
        </w:tc>
      </w:tr>
      <w:tr w:rsidR="007F10F4" w:rsidRPr="007F10F4" w14:paraId="36B3DAFC" w14:textId="77777777" w:rsidTr="00D737A6">
        <w:tc>
          <w:tcPr>
            <w:tcW w:w="1990" w:type="dxa"/>
          </w:tcPr>
          <w:p w14:paraId="2A0999C9"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Network centralization</w:t>
            </w:r>
          </w:p>
        </w:tc>
        <w:tc>
          <w:tcPr>
            <w:tcW w:w="708" w:type="dxa"/>
          </w:tcPr>
          <w:p w14:paraId="4D5D744F"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0.076</w:t>
            </w:r>
          </w:p>
        </w:tc>
        <w:tc>
          <w:tcPr>
            <w:tcW w:w="866" w:type="dxa"/>
          </w:tcPr>
          <w:p w14:paraId="1543CEB2"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0.064*</w:t>
            </w:r>
          </w:p>
        </w:tc>
        <w:tc>
          <w:tcPr>
            <w:tcW w:w="866" w:type="dxa"/>
          </w:tcPr>
          <w:p w14:paraId="655D4DE4"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0.042*</w:t>
            </w:r>
          </w:p>
        </w:tc>
        <w:tc>
          <w:tcPr>
            <w:tcW w:w="889" w:type="dxa"/>
          </w:tcPr>
          <w:p w14:paraId="47820BC1"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0.071*</w:t>
            </w:r>
          </w:p>
        </w:tc>
        <w:tc>
          <w:tcPr>
            <w:tcW w:w="236" w:type="dxa"/>
          </w:tcPr>
          <w:p w14:paraId="6309C27A" w14:textId="77777777" w:rsidR="00274225" w:rsidRPr="007F10F4" w:rsidRDefault="00274225" w:rsidP="00D737A6">
            <w:pPr>
              <w:spacing w:after="160" w:line="22" w:lineRule="atLeast"/>
              <w:jc w:val="both"/>
              <w:rPr>
                <w:rFonts w:ascii="Times New Roman" w:hAnsi="Times New Roman" w:cs="Times New Roman"/>
                <w:lang w:eastAsia="pt-BR"/>
              </w:rPr>
            </w:pPr>
          </w:p>
        </w:tc>
        <w:tc>
          <w:tcPr>
            <w:tcW w:w="699" w:type="dxa"/>
          </w:tcPr>
          <w:p w14:paraId="0876BA95"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0.024</w:t>
            </w:r>
          </w:p>
        </w:tc>
        <w:tc>
          <w:tcPr>
            <w:tcW w:w="866" w:type="dxa"/>
          </w:tcPr>
          <w:p w14:paraId="4DE0AE0F"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0.025**</w:t>
            </w:r>
          </w:p>
        </w:tc>
        <w:tc>
          <w:tcPr>
            <w:tcW w:w="866" w:type="dxa"/>
          </w:tcPr>
          <w:p w14:paraId="3F825DAD"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0.027**</w:t>
            </w:r>
          </w:p>
        </w:tc>
        <w:tc>
          <w:tcPr>
            <w:tcW w:w="890" w:type="dxa"/>
          </w:tcPr>
          <w:p w14:paraId="075082BA"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0.026**</w:t>
            </w:r>
          </w:p>
        </w:tc>
      </w:tr>
      <w:tr w:rsidR="007F10F4" w:rsidRPr="007F10F4" w14:paraId="56322F2C" w14:textId="77777777" w:rsidTr="00D737A6">
        <w:tc>
          <w:tcPr>
            <w:tcW w:w="1990" w:type="dxa"/>
            <w:tcBorders>
              <w:bottom w:val="single" w:sz="4" w:space="0" w:color="auto"/>
            </w:tcBorders>
          </w:tcPr>
          <w:p w14:paraId="2CE4BEFA"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Network heterogeneity</w:t>
            </w:r>
          </w:p>
        </w:tc>
        <w:tc>
          <w:tcPr>
            <w:tcW w:w="708" w:type="dxa"/>
            <w:tcBorders>
              <w:bottom w:val="single" w:sz="4" w:space="0" w:color="auto"/>
            </w:tcBorders>
          </w:tcPr>
          <w:p w14:paraId="5E7F56F5"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0.674</w:t>
            </w:r>
          </w:p>
        </w:tc>
        <w:tc>
          <w:tcPr>
            <w:tcW w:w="866" w:type="dxa"/>
            <w:tcBorders>
              <w:bottom w:val="single" w:sz="4" w:space="0" w:color="auto"/>
            </w:tcBorders>
          </w:tcPr>
          <w:p w14:paraId="5637E28C"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0.704**</w:t>
            </w:r>
          </w:p>
        </w:tc>
        <w:tc>
          <w:tcPr>
            <w:tcW w:w="866" w:type="dxa"/>
            <w:tcBorders>
              <w:bottom w:val="single" w:sz="4" w:space="0" w:color="auto"/>
            </w:tcBorders>
          </w:tcPr>
          <w:p w14:paraId="38FB0421"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0.828**</w:t>
            </w:r>
          </w:p>
        </w:tc>
        <w:tc>
          <w:tcPr>
            <w:tcW w:w="889" w:type="dxa"/>
            <w:tcBorders>
              <w:bottom w:val="single" w:sz="4" w:space="0" w:color="auto"/>
            </w:tcBorders>
          </w:tcPr>
          <w:p w14:paraId="10DA35B7"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0.723**</w:t>
            </w:r>
          </w:p>
        </w:tc>
        <w:tc>
          <w:tcPr>
            <w:tcW w:w="236" w:type="dxa"/>
            <w:tcBorders>
              <w:bottom w:val="single" w:sz="4" w:space="0" w:color="auto"/>
            </w:tcBorders>
          </w:tcPr>
          <w:p w14:paraId="1E4B6B26" w14:textId="77777777" w:rsidR="00274225" w:rsidRPr="007F10F4" w:rsidRDefault="00274225" w:rsidP="00D737A6">
            <w:pPr>
              <w:spacing w:after="160" w:line="22" w:lineRule="atLeast"/>
              <w:jc w:val="both"/>
              <w:rPr>
                <w:rFonts w:ascii="Times New Roman" w:hAnsi="Times New Roman" w:cs="Times New Roman"/>
                <w:lang w:eastAsia="pt-BR"/>
              </w:rPr>
            </w:pPr>
          </w:p>
        </w:tc>
        <w:tc>
          <w:tcPr>
            <w:tcW w:w="699" w:type="dxa"/>
            <w:tcBorders>
              <w:bottom w:val="single" w:sz="4" w:space="0" w:color="auto"/>
            </w:tcBorders>
          </w:tcPr>
          <w:p w14:paraId="4E5A5716"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0.535</w:t>
            </w:r>
          </w:p>
        </w:tc>
        <w:tc>
          <w:tcPr>
            <w:tcW w:w="866" w:type="dxa"/>
            <w:tcBorders>
              <w:bottom w:val="single" w:sz="4" w:space="0" w:color="auto"/>
            </w:tcBorders>
          </w:tcPr>
          <w:p w14:paraId="7ACBCF5D"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0.604**</w:t>
            </w:r>
          </w:p>
        </w:tc>
        <w:tc>
          <w:tcPr>
            <w:tcW w:w="866" w:type="dxa"/>
            <w:tcBorders>
              <w:bottom w:val="single" w:sz="4" w:space="0" w:color="auto"/>
            </w:tcBorders>
          </w:tcPr>
          <w:p w14:paraId="77DF23F5"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0.688**</w:t>
            </w:r>
          </w:p>
        </w:tc>
        <w:tc>
          <w:tcPr>
            <w:tcW w:w="890" w:type="dxa"/>
            <w:tcBorders>
              <w:bottom w:val="single" w:sz="4" w:space="0" w:color="auto"/>
            </w:tcBorders>
          </w:tcPr>
          <w:p w14:paraId="467373E7" w14:textId="77777777" w:rsidR="00274225" w:rsidRPr="007F10F4" w:rsidRDefault="00274225" w:rsidP="00D737A6">
            <w:pPr>
              <w:spacing w:after="160" w:line="22" w:lineRule="atLeast"/>
              <w:jc w:val="both"/>
              <w:rPr>
                <w:rFonts w:ascii="Times New Roman" w:hAnsi="Times New Roman" w:cs="Times New Roman"/>
                <w:lang w:eastAsia="pt-BR"/>
              </w:rPr>
            </w:pPr>
            <w:r w:rsidRPr="007F10F4">
              <w:rPr>
                <w:rFonts w:ascii="Times New Roman" w:hAnsi="Times New Roman" w:cs="Times New Roman"/>
                <w:lang w:eastAsia="pt-BR"/>
              </w:rPr>
              <w:t>0.634**</w:t>
            </w:r>
          </w:p>
        </w:tc>
      </w:tr>
    </w:tbl>
    <w:p w14:paraId="5E48850C" w14:textId="77777777" w:rsidR="00274225" w:rsidRPr="007F10F4" w:rsidRDefault="00274225" w:rsidP="00274225">
      <w:pPr>
        <w:spacing w:after="0" w:line="240" w:lineRule="auto"/>
        <w:jc w:val="both"/>
        <w:rPr>
          <w:rFonts w:ascii="Times New Roman" w:hAnsi="Times New Roman" w:cs="Times New Roman"/>
          <w:sz w:val="20"/>
          <w:szCs w:val="20"/>
          <w:shd w:val="clear" w:color="auto" w:fill="FFFFFF"/>
        </w:rPr>
      </w:pPr>
      <w:r w:rsidRPr="007F10F4">
        <w:rPr>
          <w:rFonts w:ascii="Times New Roman" w:hAnsi="Times New Roman" w:cs="Times New Roman"/>
          <w:sz w:val="20"/>
          <w:szCs w:val="20"/>
          <w:shd w:val="clear" w:color="auto" w:fill="FFFFFF"/>
        </w:rPr>
        <w:t>*decreased in relation to WW</w:t>
      </w:r>
    </w:p>
    <w:p w14:paraId="1F2503F0" w14:textId="77777777" w:rsidR="00274225" w:rsidRPr="007F10F4" w:rsidRDefault="00274225" w:rsidP="00274225">
      <w:pPr>
        <w:pStyle w:val="Heading3"/>
        <w:spacing w:after="0" w:line="240" w:lineRule="auto"/>
        <w:rPr>
          <w:sz w:val="20"/>
          <w:szCs w:val="20"/>
        </w:rPr>
      </w:pPr>
      <w:r w:rsidRPr="007F10F4">
        <w:rPr>
          <w:sz w:val="20"/>
          <w:szCs w:val="20"/>
          <w:shd w:val="clear" w:color="auto" w:fill="FFFFFF"/>
        </w:rPr>
        <w:t>**increased in relation to WW</w:t>
      </w:r>
    </w:p>
    <w:p w14:paraId="6A14DB36" w14:textId="77777777" w:rsidR="00274225" w:rsidRPr="007F10F4" w:rsidRDefault="00274225" w:rsidP="00274225">
      <w:pPr>
        <w:spacing w:line="22" w:lineRule="atLeast"/>
        <w:jc w:val="both"/>
        <w:rPr>
          <w:rFonts w:ascii="Times New Roman" w:hAnsi="Times New Roman" w:cs="Times New Roman"/>
          <w:bCs/>
          <w:lang w:eastAsia="pt-BR"/>
        </w:rPr>
      </w:pPr>
      <w:r w:rsidRPr="007F10F4">
        <w:rPr>
          <w:rFonts w:ascii="Times New Roman" w:hAnsi="Times New Roman" w:cs="Times New Roman"/>
        </w:rPr>
        <w:object w:dxaOrig="19729" w:dyaOrig="19825" w14:anchorId="45B666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pt;height:453.2pt" o:ole="">
            <v:imagedata r:id="rId5" o:title=""/>
          </v:shape>
          <o:OLEObject Type="Embed" ProgID="Unknown" ShapeID="_x0000_i1025" DrawAspect="Content" ObjectID="_1725375239" r:id="rId6"/>
        </w:object>
      </w:r>
      <w:r w:rsidRPr="007F10F4">
        <w:rPr>
          <w:rFonts w:ascii="Times New Roman" w:hAnsi="Times New Roman" w:cs="Times New Roman"/>
          <w:b/>
          <w:lang w:eastAsia="pt-BR"/>
        </w:rPr>
        <w:t xml:space="preserve">Figure S1. </w:t>
      </w:r>
      <w:r w:rsidRPr="007F10F4">
        <w:rPr>
          <w:rFonts w:ascii="Times New Roman" w:hAnsi="Times New Roman" w:cs="Times New Roman"/>
          <w:bCs/>
          <w:lang w:eastAsia="pt-BR"/>
        </w:rPr>
        <w:t>Leaf</w:t>
      </w:r>
      <w:r w:rsidRPr="007F10F4">
        <w:rPr>
          <w:rFonts w:ascii="Times New Roman" w:hAnsi="Times New Roman" w:cs="Times New Roman"/>
          <w:b/>
          <w:lang w:eastAsia="pt-BR"/>
        </w:rPr>
        <w:t xml:space="preserve"> </w:t>
      </w:r>
      <w:r w:rsidRPr="007F10F4">
        <w:rPr>
          <w:rFonts w:ascii="Times New Roman" w:hAnsi="Times New Roman" w:cs="Times New Roman"/>
          <w:bCs/>
          <w:lang w:eastAsia="pt-BR"/>
        </w:rPr>
        <w:t xml:space="preserve">anatomical characterization of </w:t>
      </w:r>
      <w:r w:rsidRPr="007F10F4">
        <w:rPr>
          <w:rFonts w:ascii="Times New Roman" w:hAnsi="Times New Roman" w:cs="Times New Roman"/>
          <w:lang w:eastAsia="pt-BR"/>
        </w:rPr>
        <w:t xml:space="preserve">soybean plants maintained for eight days under well-watered (WW; 100% holding water capacity HWC, 25ºC), water deficit (WD; 40% HWC, 25ºC), high temperature (HT; 100% HWC, 40ºC) and water deficit plus high temperature (WD+HT; 40% HWC; 40°C) conditions. A) </w:t>
      </w:r>
      <w:r w:rsidRPr="007F10F4">
        <w:rPr>
          <w:rFonts w:ascii="Times New Roman" w:hAnsi="Times New Roman" w:cs="Times New Roman"/>
          <w:bCs/>
          <w:lang w:eastAsia="pt-BR"/>
        </w:rPr>
        <w:t>Palisade parenchyma thickness (µm). B)</w:t>
      </w:r>
      <w:r w:rsidRPr="007F10F4" w:rsidDel="00871227">
        <w:rPr>
          <w:rFonts w:ascii="Times New Roman" w:hAnsi="Times New Roman" w:cs="Times New Roman"/>
          <w:bCs/>
          <w:lang w:eastAsia="pt-BR"/>
        </w:rPr>
        <w:t xml:space="preserve"> </w:t>
      </w:r>
      <w:r w:rsidRPr="007F10F4">
        <w:rPr>
          <w:rFonts w:ascii="Times New Roman" w:hAnsi="Times New Roman" w:cs="Times New Roman"/>
          <w:bCs/>
          <w:lang w:eastAsia="pt-BR"/>
        </w:rPr>
        <w:t>Spongy parenchyma thickness (µm). C)</w:t>
      </w:r>
      <w:r w:rsidRPr="007F10F4" w:rsidDel="00871227">
        <w:rPr>
          <w:rFonts w:ascii="Times New Roman" w:hAnsi="Times New Roman" w:cs="Times New Roman"/>
          <w:bCs/>
          <w:lang w:eastAsia="pt-BR"/>
        </w:rPr>
        <w:t xml:space="preserve"> </w:t>
      </w:r>
      <w:r w:rsidRPr="007F10F4">
        <w:rPr>
          <w:rFonts w:ascii="Times New Roman" w:hAnsi="Times New Roman" w:cs="Times New Roman"/>
          <w:bCs/>
          <w:lang w:eastAsia="pt-BR"/>
        </w:rPr>
        <w:t xml:space="preserve"> Mesophyll cell </w:t>
      </w:r>
      <w:bookmarkStart w:id="1" w:name="_Hlk78543842"/>
      <w:r w:rsidRPr="007F10F4">
        <w:rPr>
          <w:rFonts w:ascii="Times New Roman" w:hAnsi="Times New Roman" w:cs="Times New Roman"/>
          <w:bCs/>
          <w:lang w:eastAsia="pt-BR"/>
        </w:rPr>
        <w:t xml:space="preserve">thickness </w:t>
      </w:r>
      <w:bookmarkEnd w:id="1"/>
      <w:r w:rsidRPr="007F10F4">
        <w:rPr>
          <w:rFonts w:ascii="Times New Roman" w:hAnsi="Times New Roman" w:cs="Times New Roman"/>
          <w:bCs/>
          <w:lang w:eastAsia="pt-BR"/>
        </w:rPr>
        <w:t xml:space="preserve">(µm). D) leaf thickness (µm). E) Epidermis adaxial thickness (µm). F) Epidermis abaxial thickness (µm). </w:t>
      </w:r>
      <w:r w:rsidRPr="007F10F4">
        <w:rPr>
          <w:rFonts w:ascii="Times New Roman" w:hAnsi="Times New Roman" w:cs="Times New Roman"/>
          <w:lang w:eastAsia="pt-BR"/>
        </w:rPr>
        <w:t>Bars represent mean ± SE (</w:t>
      </w:r>
      <w:r w:rsidRPr="007F10F4">
        <w:rPr>
          <w:rFonts w:ascii="Times New Roman" w:hAnsi="Times New Roman" w:cs="Times New Roman"/>
          <w:i/>
          <w:iCs/>
          <w:lang w:eastAsia="pt-BR"/>
        </w:rPr>
        <w:t xml:space="preserve">n </w:t>
      </w:r>
      <w:r w:rsidRPr="007F10F4">
        <w:rPr>
          <w:rFonts w:ascii="Times New Roman" w:hAnsi="Times New Roman" w:cs="Times New Roman"/>
          <w:lang w:eastAsia="pt-BR"/>
        </w:rPr>
        <w:t xml:space="preserve">= 5). </w:t>
      </w:r>
      <w:r w:rsidRPr="007F10F4">
        <w:rPr>
          <w:rFonts w:ascii="Times New Roman" w:hAnsi="Times New Roman" w:cs="Times New Roman"/>
          <w:bCs/>
          <w:lang w:eastAsia="pt-BR"/>
        </w:rPr>
        <w:t>Means followed by the same uppercase letters compare cultivars within the same water and temperature treatment. Means followed by the same lowercase letters compare water and temperature treatments within the same cultivar, as determined by Tukey test at 5% of probability.</w:t>
      </w:r>
    </w:p>
    <w:p w14:paraId="3D2A9C54" w14:textId="77777777" w:rsidR="00274225" w:rsidRPr="007F10F4" w:rsidRDefault="00274225" w:rsidP="00274225">
      <w:pPr>
        <w:pStyle w:val="Heading3"/>
        <w:spacing w:line="22" w:lineRule="atLeast"/>
        <w:rPr>
          <w:bCs/>
          <w:sz w:val="22"/>
          <w:szCs w:val="22"/>
          <w:lang w:eastAsia="pt-BR"/>
        </w:rPr>
      </w:pPr>
      <w:r w:rsidRPr="007F10F4">
        <w:rPr>
          <w:sz w:val="22"/>
          <w:szCs w:val="22"/>
        </w:rPr>
        <w:object w:dxaOrig="19705" w:dyaOrig="19835" w14:anchorId="0196A382">
          <v:shape id="_x0000_i1026" type="#_x0000_t75" style="width:451.2pt;height:454.4pt" o:ole="">
            <v:imagedata r:id="rId7" o:title=""/>
          </v:shape>
          <o:OLEObject Type="Embed" ProgID="Unknown" ShapeID="_x0000_i1026" DrawAspect="Content" ObjectID="_1725375240" r:id="rId8"/>
        </w:object>
      </w:r>
      <w:r w:rsidRPr="007F10F4">
        <w:rPr>
          <w:b/>
          <w:sz w:val="22"/>
          <w:szCs w:val="22"/>
          <w:lang w:eastAsia="pt-BR"/>
        </w:rPr>
        <w:t xml:space="preserve">Figure S2. </w:t>
      </w:r>
      <w:r w:rsidRPr="007F10F4">
        <w:rPr>
          <w:bCs/>
          <w:sz w:val="22"/>
          <w:szCs w:val="22"/>
          <w:lang w:eastAsia="pt-BR"/>
        </w:rPr>
        <w:t xml:space="preserve">Growth parameters of </w:t>
      </w:r>
      <w:r w:rsidRPr="007F10F4">
        <w:rPr>
          <w:sz w:val="22"/>
          <w:szCs w:val="22"/>
          <w:lang w:eastAsia="pt-BR"/>
        </w:rPr>
        <w:t xml:space="preserve">soybean plants maintained for eight days under well-watered (WW; 100% holding water capacity HWC, 25ºC), water deficit (WD; 40% HWC, 25ºC), high temperature (HT; 100% HWC, 40ºC) and water deficit plus high temperature (WD+HT; 40% HWC; 40°C) conditions. A) </w:t>
      </w:r>
      <w:r w:rsidRPr="007F10F4">
        <w:rPr>
          <w:bCs/>
          <w:sz w:val="22"/>
          <w:szCs w:val="22"/>
          <w:lang w:eastAsia="pt-BR"/>
        </w:rPr>
        <w:t>Plant height (PH, µm). B)</w:t>
      </w:r>
      <w:r w:rsidRPr="007F10F4" w:rsidDel="00871227">
        <w:rPr>
          <w:bCs/>
          <w:sz w:val="22"/>
          <w:szCs w:val="22"/>
          <w:lang w:eastAsia="pt-BR"/>
        </w:rPr>
        <w:t xml:space="preserve"> </w:t>
      </w:r>
      <w:r w:rsidRPr="007F10F4">
        <w:rPr>
          <w:bCs/>
          <w:sz w:val="22"/>
          <w:szCs w:val="22"/>
          <w:lang w:eastAsia="pt-BR"/>
        </w:rPr>
        <w:t>Stem diameter (SD, mm). C)</w:t>
      </w:r>
      <w:r w:rsidRPr="007F10F4" w:rsidDel="00871227">
        <w:rPr>
          <w:bCs/>
          <w:sz w:val="22"/>
          <w:szCs w:val="22"/>
          <w:lang w:eastAsia="pt-BR"/>
        </w:rPr>
        <w:t xml:space="preserve"> </w:t>
      </w:r>
      <w:r w:rsidRPr="007F10F4">
        <w:rPr>
          <w:bCs/>
          <w:sz w:val="22"/>
          <w:szCs w:val="22"/>
          <w:lang w:eastAsia="pt-BR"/>
        </w:rPr>
        <w:t xml:space="preserve"> Leaf area (LA, cm</w:t>
      </w:r>
      <w:r w:rsidRPr="007F10F4">
        <w:rPr>
          <w:bCs/>
          <w:sz w:val="22"/>
          <w:szCs w:val="22"/>
          <w:vertAlign w:val="superscript"/>
          <w:lang w:eastAsia="pt-BR"/>
        </w:rPr>
        <w:t>2</w:t>
      </w:r>
      <w:r w:rsidRPr="007F10F4">
        <w:rPr>
          <w:bCs/>
          <w:sz w:val="22"/>
          <w:szCs w:val="22"/>
          <w:lang w:eastAsia="pt-BR"/>
        </w:rPr>
        <w:t xml:space="preserve">). D) Shoot dry matter (SDM, g). E) Root dry matter (RDM, g). F) Ratio between RDM and SDM (RDM/SDM). </w:t>
      </w:r>
      <w:r w:rsidRPr="007F10F4">
        <w:rPr>
          <w:sz w:val="22"/>
          <w:szCs w:val="22"/>
          <w:lang w:eastAsia="pt-BR"/>
        </w:rPr>
        <w:t>Bars represent mean ± SE (</w:t>
      </w:r>
      <w:r w:rsidRPr="007F10F4">
        <w:rPr>
          <w:i/>
          <w:iCs/>
          <w:sz w:val="22"/>
          <w:szCs w:val="22"/>
          <w:lang w:eastAsia="pt-BR"/>
        </w:rPr>
        <w:t xml:space="preserve">n </w:t>
      </w:r>
      <w:r w:rsidRPr="007F10F4">
        <w:rPr>
          <w:sz w:val="22"/>
          <w:szCs w:val="22"/>
          <w:lang w:eastAsia="pt-BR"/>
        </w:rPr>
        <w:t xml:space="preserve">= 5). </w:t>
      </w:r>
      <w:r w:rsidRPr="007F10F4">
        <w:rPr>
          <w:bCs/>
          <w:sz w:val="22"/>
          <w:szCs w:val="22"/>
          <w:lang w:eastAsia="pt-BR"/>
        </w:rPr>
        <w:t>Means followed by the same uppercase letters compare cultivars within the same water and temperature treatment. Means followed by the same lowercase letters compare water and temperature treatments within the same cultivar, as determined by Tukey test at 5% of probability.</w:t>
      </w:r>
    </w:p>
    <w:p w14:paraId="26BC2A12" w14:textId="77777777" w:rsidR="00274225" w:rsidRPr="007F10F4" w:rsidRDefault="00274225" w:rsidP="00274225">
      <w:pPr>
        <w:spacing w:line="22" w:lineRule="atLeast"/>
        <w:jc w:val="both"/>
        <w:rPr>
          <w:rFonts w:ascii="Times New Roman" w:hAnsi="Times New Roman" w:cs="Times New Roman"/>
          <w:lang w:val="en-GB" w:eastAsia="pt-BR"/>
        </w:rPr>
      </w:pPr>
      <w:r w:rsidRPr="007F10F4">
        <w:rPr>
          <w:rFonts w:ascii="Times New Roman" w:hAnsi="Times New Roman" w:cs="Times New Roman"/>
          <w:noProof/>
        </w:rPr>
        <w:lastRenderedPageBreak/>
        <w:drawing>
          <wp:inline distT="0" distB="0" distL="0" distR="0" wp14:anchorId="355F5C1E" wp14:editId="265DBA8D">
            <wp:extent cx="5731510" cy="2487930"/>
            <wp:effectExtent l="0" t="0" r="0" b="0"/>
            <wp:docPr id="28" name="Picture 2"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A picture containing text, ligh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487930"/>
                    </a:xfrm>
                    <a:prstGeom prst="rect">
                      <a:avLst/>
                    </a:prstGeom>
                  </pic:spPr>
                </pic:pic>
              </a:graphicData>
            </a:graphic>
          </wp:inline>
        </w:drawing>
      </w:r>
    </w:p>
    <w:p w14:paraId="1BA6A911" w14:textId="77777777" w:rsidR="00274225" w:rsidRPr="007F10F4" w:rsidRDefault="00274225" w:rsidP="00274225">
      <w:pPr>
        <w:spacing w:line="22" w:lineRule="atLeast"/>
        <w:contextualSpacing/>
        <w:jc w:val="both"/>
        <w:rPr>
          <w:rFonts w:ascii="Times New Roman" w:hAnsi="Times New Roman" w:cs="Times New Roman"/>
          <w:lang w:val="en-GB" w:eastAsia="pt-PT" w:bidi="pt-PT"/>
        </w:rPr>
      </w:pPr>
      <w:r w:rsidRPr="007F10F4">
        <w:rPr>
          <w:rFonts w:ascii="Times New Roman" w:hAnsi="Times New Roman" w:cs="Times New Roman"/>
          <w:b/>
          <w:lang w:eastAsia="pt-BR"/>
        </w:rPr>
        <w:t xml:space="preserve">Figure S3. </w:t>
      </w:r>
      <w:r w:rsidRPr="007F10F4">
        <w:rPr>
          <w:rFonts w:ascii="Times New Roman" w:hAnsi="Times New Roman" w:cs="Times New Roman"/>
          <w:bCs/>
          <w:lang w:eastAsia="pt-BR"/>
        </w:rPr>
        <w:t>Cultivar-specific</w:t>
      </w:r>
      <w:r w:rsidRPr="007F10F4">
        <w:rPr>
          <w:rFonts w:ascii="Times New Roman" w:hAnsi="Times New Roman" w:cs="Times New Roman"/>
          <w:b/>
          <w:lang w:eastAsia="pt-BR"/>
        </w:rPr>
        <w:t xml:space="preserve"> </w:t>
      </w:r>
      <w:r w:rsidRPr="007F10F4">
        <w:rPr>
          <w:rFonts w:ascii="Times New Roman" w:hAnsi="Times New Roman" w:cs="Times New Roman"/>
          <w:bCs/>
          <w:lang w:eastAsia="pt-BR"/>
        </w:rPr>
        <w:t>metabolic</w:t>
      </w:r>
      <w:r w:rsidRPr="007F10F4">
        <w:rPr>
          <w:rFonts w:ascii="Times New Roman" w:hAnsi="Times New Roman" w:cs="Times New Roman"/>
          <w:b/>
          <w:lang w:eastAsia="pt-BR"/>
        </w:rPr>
        <w:t xml:space="preserve"> </w:t>
      </w:r>
      <w:r w:rsidRPr="007F10F4">
        <w:rPr>
          <w:rFonts w:ascii="Times New Roman" w:hAnsi="Times New Roman" w:cs="Times New Roman"/>
          <w:bCs/>
          <w:lang w:eastAsia="pt-BR"/>
        </w:rPr>
        <w:t xml:space="preserve">characterization of </w:t>
      </w:r>
      <w:r w:rsidRPr="007F10F4">
        <w:rPr>
          <w:rFonts w:ascii="Times New Roman" w:hAnsi="Times New Roman" w:cs="Times New Roman"/>
          <w:lang w:eastAsia="pt-BR"/>
        </w:rPr>
        <w:t xml:space="preserve">soybean plants maintained for eight days under well-watered (WW; 100% holding water capacity HWC, 25ºC), water deficit (WD; 40% HWC, 25ºC), high temperature (HT; 100% HWC, 40ºC) and water deficit plus high temperature (WD+HT; 40% HWC; 40°C) conditions. A-D) </w:t>
      </w:r>
      <w:r w:rsidRPr="007F10F4">
        <w:rPr>
          <w:rFonts w:ascii="Times New Roman" w:hAnsi="Times New Roman" w:cs="Times New Roman"/>
          <w:lang w:val="en-GB" w:eastAsia="pt-PT" w:bidi="pt-PT"/>
        </w:rPr>
        <w:t>Partial least square-discriminant analysis (PLS-DA). E-H</w:t>
      </w:r>
      <w:r w:rsidRPr="007F10F4">
        <w:rPr>
          <w:rFonts w:ascii="Times New Roman" w:hAnsi="Times New Roman" w:cs="Times New Roman"/>
          <w:lang w:eastAsia="pt-BR"/>
        </w:rPr>
        <w:t>) Variable importance in projection (VIP) scores of the PLS-DA model. Metabolites included in the VIP score lists have VIP score higher than 1, which indicates those that mostly contributed to the separation observed at the PLS-DA model of the respective cultivar. PL</w:t>
      </w:r>
      <w:r w:rsidRPr="007F10F4">
        <w:rPr>
          <w:rFonts w:ascii="Times New Roman" w:hAnsi="Times New Roman" w:cs="Times New Roman"/>
          <w:lang w:val="en-GB" w:eastAsia="pt-PT" w:bidi="pt-PT"/>
        </w:rPr>
        <w:t xml:space="preserve">S-DA was carried out combining data from all genotypes. The data was normalized by using Log and Auto-scaling transformations on the </w:t>
      </w:r>
      <w:proofErr w:type="spellStart"/>
      <w:r w:rsidRPr="007F10F4">
        <w:rPr>
          <w:rFonts w:ascii="Times New Roman" w:hAnsi="Times New Roman" w:cs="Times New Roman"/>
          <w:lang w:val="en-GB" w:eastAsia="pt-PT" w:bidi="pt-PT"/>
        </w:rPr>
        <w:t>MetaboAnalyst</w:t>
      </w:r>
      <w:proofErr w:type="spellEnd"/>
      <w:r w:rsidRPr="007F10F4">
        <w:rPr>
          <w:rFonts w:ascii="Times New Roman" w:hAnsi="Times New Roman" w:cs="Times New Roman"/>
          <w:lang w:val="en-GB" w:eastAsia="pt-PT" w:bidi="pt-PT"/>
        </w:rPr>
        <w:t xml:space="preserve"> platform </w:t>
      </w:r>
      <w:r w:rsidRPr="007F10F4">
        <w:rPr>
          <w:rFonts w:ascii="Times New Roman" w:hAnsi="Times New Roman" w:cs="Times New Roman"/>
          <w:lang w:val="en-GB" w:eastAsia="pt-PT" w:bidi="pt-PT"/>
        </w:rPr>
        <w:fldChar w:fldCharType="begin" w:fldLock="1"/>
      </w:r>
      <w:r w:rsidRPr="007F10F4">
        <w:rPr>
          <w:rFonts w:ascii="Times New Roman" w:hAnsi="Times New Roman" w:cs="Times New Roman"/>
          <w:lang w:val="en-GB" w:eastAsia="pt-PT" w:bidi="pt-PT"/>
        </w:rPr>
        <w:instrText>ADDIN CSL_CITATION {"citationItems":[{"id":"ITEM-1","itemData":{"DOI":"10.1093/nar/gky310","ISBN":"0305-1048","ISSN":"13624962","PMID":"29762782","abstract":"We present a new update to MetaboAnalyst (version 4.0) for comprehensive metabolomic data analysis, interpretation, and integration with other omics data. Since the last major update in 2015, MetaboAnalyst has continued to evolve based on user feedback and technological advancements in the field. For this year’s update, four newkey features have been added to MetaboAnalyst 4.0, including: (1) real-time R com- mand tracking and display coupled with the release of a companion P way activity from untargeted mass spectral data us- anal ing the eakstoP package; (2) a a ys module for prediction of path- ystR ysis m u module for robust biomarker identification mmic thwa hog MetaboAnal algorithm; (3) a Biomarker MS Meta- through the combination of multiple metabolomic datasets and (4) a Netw ork E tegrative analysis of metabolomics, metagenomics, xplorer module for in- and/or transcriptomics data. The user interface of MetaboAnalyst 4.0 has been reengineered to provide a more modern look and feel, as well as to give more space and flexibility to introduce new func- tions. The underlying knowledgebases (compound libraries, metabolite sets, and metabolic pathways) have also been updated based on the latest data from the Human Metabolome Database (HMDB). A Docker image of MetaboAnalyst is also available to facilitate download and local installation of Metabo- Analyst.MetaboAnalyst 4.0 is freely available at http: //metaboanalyst.ca","author":[{"dropping-particle":"","family":"Chong","given":"Jasmine","non-dropping-particle":"","parse-names":false,"suffix":""},{"dropping-particle":"","family":"Soufan","given":"Othman","non-dropping-particle":"","parse-names":false,"suffix":""},{"dropping-particle":"","family":"Li","given":"Carin","non-dropping-particle":"","parse-names":false,"suffix":""},{"dropping-particle":"","family":"Caraus","given":"Iurie","non-dropping-particle":"","parse-names":false,"suffix":""},{"dropping-particle":"","family":"Li","given":"Shuzhao","non-dropping-particle":"","parse-names":false,"suffix":""},{"dropping-particle":"","family":"Bourque","given":"Guillaume","non-dropping-particle":"","parse-names":false,"suffix":""},{"dropping-particle":"","family":"Wishart","given":"David S.","non-dropping-particle":"","parse-names":false,"suffix":""},{"dropping-particle":"","family":"Xia","given":"Jianguo","non-dropping-particle":"","parse-names":false,"suffix":""}],"container-title":"Nucleic Acids Research","id":"ITEM-1","issue":"W1","issued":{"date-parts":[["2018"]]},"page":"W486-W494","title":"MetaboAnalyst 4.0: Towards more transparent and integrative metabolomics analysis","type":"article-journal","volume":"46"},"uris":["http://www.mendeley.com/documents/?uuid=dc1c31f8-ff4a-4de0-b4df-0b56255d60e2"]}],"mendeley":{"formattedCitation":"(Chong &lt;i&gt;et al.&lt;/i&gt;, 2018)","plainTextFormattedCitation":"(Chong et al., 2018)","previouslyFormattedCitation":"(Chong &lt;i&gt;et al.&lt;/i&gt;, 2018)"},"properties":{"noteIndex":0},"schema":"https://github.com/citation-style-language/schema/raw/master/csl-citation.json"}</w:instrText>
      </w:r>
      <w:r w:rsidRPr="007F10F4">
        <w:rPr>
          <w:rFonts w:ascii="Times New Roman" w:hAnsi="Times New Roman" w:cs="Times New Roman"/>
          <w:lang w:val="en-GB" w:eastAsia="pt-PT" w:bidi="pt-PT"/>
        </w:rPr>
        <w:fldChar w:fldCharType="separate"/>
      </w:r>
      <w:r w:rsidRPr="007F10F4">
        <w:rPr>
          <w:rFonts w:ascii="Times New Roman" w:hAnsi="Times New Roman" w:cs="Times New Roman"/>
          <w:noProof/>
          <w:lang w:val="en-GB" w:eastAsia="pt-PT" w:bidi="pt-PT"/>
        </w:rPr>
        <w:t xml:space="preserve">(Chong </w:t>
      </w:r>
      <w:r w:rsidRPr="007F10F4">
        <w:rPr>
          <w:rFonts w:ascii="Times New Roman" w:hAnsi="Times New Roman" w:cs="Times New Roman"/>
          <w:i/>
          <w:noProof/>
          <w:lang w:val="en-GB" w:eastAsia="pt-PT" w:bidi="pt-PT"/>
        </w:rPr>
        <w:t>et al.</w:t>
      </w:r>
      <w:r w:rsidRPr="007F10F4">
        <w:rPr>
          <w:rFonts w:ascii="Times New Roman" w:hAnsi="Times New Roman" w:cs="Times New Roman"/>
          <w:noProof/>
          <w:lang w:val="en-GB" w:eastAsia="pt-PT" w:bidi="pt-PT"/>
        </w:rPr>
        <w:t>, 2018)</w:t>
      </w:r>
      <w:r w:rsidRPr="007F10F4">
        <w:rPr>
          <w:rFonts w:ascii="Times New Roman" w:hAnsi="Times New Roman" w:cs="Times New Roman"/>
          <w:lang w:val="en-GB" w:eastAsia="pt-PT" w:bidi="pt-PT"/>
        </w:rPr>
        <w:fldChar w:fldCharType="end"/>
      </w:r>
      <w:r w:rsidRPr="007F10F4">
        <w:rPr>
          <w:rFonts w:ascii="Times New Roman" w:hAnsi="Times New Roman" w:cs="Times New Roman"/>
          <w:lang w:val="en-GB" w:eastAsia="pt-PT" w:bidi="pt-PT"/>
        </w:rPr>
        <w:t xml:space="preserve"> (</w:t>
      </w:r>
      <w:r w:rsidRPr="007F10F4">
        <w:rPr>
          <w:rFonts w:ascii="Times New Roman" w:hAnsi="Times New Roman" w:cs="Times New Roman"/>
          <w:i/>
          <w:lang w:val="en-GB" w:eastAsia="pt-PT" w:bidi="pt-PT"/>
        </w:rPr>
        <w:t xml:space="preserve">n </w:t>
      </w:r>
      <w:r w:rsidRPr="007F10F4">
        <w:rPr>
          <w:rFonts w:ascii="Times New Roman" w:hAnsi="Times New Roman" w:cs="Times New Roman"/>
          <w:lang w:val="en-GB" w:eastAsia="pt-PT" w:bidi="pt-PT"/>
        </w:rPr>
        <w:t>= 5).</w:t>
      </w:r>
      <w:r w:rsidRPr="007F10F4">
        <w:rPr>
          <w:rFonts w:ascii="Times New Roman" w:hAnsi="Times New Roman" w:cs="Times New Roman"/>
          <w:lang w:eastAsia="pt-BR"/>
        </w:rPr>
        <w:br w:type="page"/>
      </w:r>
    </w:p>
    <w:p w14:paraId="63B0B150" w14:textId="77777777" w:rsidR="00274225" w:rsidRPr="007F10F4" w:rsidRDefault="00274225" w:rsidP="00274225">
      <w:pPr>
        <w:spacing w:line="22" w:lineRule="atLeast"/>
        <w:ind w:left="284" w:hanging="284"/>
        <w:jc w:val="both"/>
        <w:rPr>
          <w:rFonts w:ascii="Times New Roman" w:hAnsi="Times New Roman" w:cs="Times New Roman"/>
        </w:rPr>
      </w:pPr>
      <w:r w:rsidRPr="007F10F4">
        <w:rPr>
          <w:rFonts w:ascii="Times New Roman" w:hAnsi="Times New Roman" w:cs="Times New Roman"/>
          <w:noProof/>
        </w:rPr>
        <w:lastRenderedPageBreak/>
        <w:drawing>
          <wp:inline distT="0" distB="0" distL="0" distR="0" wp14:anchorId="74CA69EB" wp14:editId="144E4D24">
            <wp:extent cx="5731510" cy="5522595"/>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522595"/>
                    </a:xfrm>
                    <a:prstGeom prst="rect">
                      <a:avLst/>
                    </a:prstGeom>
                  </pic:spPr>
                </pic:pic>
              </a:graphicData>
            </a:graphic>
          </wp:inline>
        </w:drawing>
      </w:r>
    </w:p>
    <w:p w14:paraId="0C8F367D" w14:textId="77777777" w:rsidR="00274225" w:rsidRPr="007F10F4" w:rsidRDefault="00274225" w:rsidP="00274225">
      <w:pPr>
        <w:spacing w:line="22" w:lineRule="atLeast"/>
        <w:jc w:val="both"/>
        <w:rPr>
          <w:rFonts w:ascii="Times New Roman" w:hAnsi="Times New Roman" w:cs="Times New Roman"/>
          <w:lang w:val="en-GB"/>
        </w:rPr>
      </w:pPr>
      <w:r w:rsidRPr="007F10F4">
        <w:rPr>
          <w:rFonts w:ascii="Times New Roman" w:hAnsi="Times New Roman" w:cs="Times New Roman"/>
          <w:b/>
          <w:lang w:val="en-GB" w:eastAsia="pt-BR"/>
        </w:rPr>
        <w:t>Figure</w:t>
      </w:r>
      <w:r w:rsidRPr="007F10F4">
        <w:rPr>
          <w:rFonts w:ascii="Times New Roman" w:hAnsi="Times New Roman" w:cs="Times New Roman"/>
          <w:b/>
          <w:bCs/>
          <w:lang w:eastAsia="pt-BR"/>
        </w:rPr>
        <w:t xml:space="preserve"> S4. </w:t>
      </w:r>
      <w:r w:rsidRPr="007F10F4">
        <w:rPr>
          <w:rFonts w:ascii="Times New Roman" w:hAnsi="Times New Roman" w:cs="Times New Roman"/>
          <w:lang w:eastAsia="pt-BR"/>
        </w:rPr>
        <w:t>Metabolic</w:t>
      </w:r>
      <w:r w:rsidRPr="007F10F4">
        <w:rPr>
          <w:rFonts w:ascii="Times New Roman" w:hAnsi="Times New Roman" w:cs="Times New Roman"/>
          <w:b/>
          <w:bCs/>
          <w:lang w:eastAsia="pt-BR"/>
        </w:rPr>
        <w:t xml:space="preserve"> </w:t>
      </w:r>
      <w:r w:rsidRPr="007F10F4">
        <w:rPr>
          <w:rFonts w:ascii="Times New Roman" w:hAnsi="Times New Roman" w:cs="Times New Roman"/>
          <w:lang w:eastAsia="pt-BR"/>
        </w:rPr>
        <w:t xml:space="preserve">networks </w:t>
      </w:r>
      <w:r w:rsidRPr="007F10F4">
        <w:rPr>
          <w:rFonts w:ascii="Times New Roman" w:hAnsi="Times New Roman" w:cs="Times New Roman"/>
          <w:bCs/>
          <w:lang w:eastAsia="pt-BR"/>
        </w:rPr>
        <w:t xml:space="preserve">of </w:t>
      </w:r>
      <w:r w:rsidRPr="007F10F4">
        <w:rPr>
          <w:rFonts w:ascii="Times New Roman" w:hAnsi="Times New Roman" w:cs="Times New Roman"/>
          <w:lang w:eastAsia="pt-BR"/>
        </w:rPr>
        <w:t>soybean plants maintained for eight days under A) well-watered (WW; 100% holding water capacity HWC, 25ºC), B) water deficit (WD; 40% HWC, 25ºC), C) high temperature (HT; 100% HWC, 40ºC) and D) water deficit plus high temperature (WD+HT; 40% HWC; 40°C) conditions. The networks were created using metabolite profiling data from all genotypes</w:t>
      </w:r>
      <w:r w:rsidRPr="007F10F4">
        <w:rPr>
          <w:rFonts w:ascii="Times New Roman" w:hAnsi="Times New Roman" w:cs="Times New Roman"/>
          <w:lang w:val="en-GB" w:eastAsia="pt-BR"/>
        </w:rPr>
        <w:t xml:space="preserve">. The nodes are the parameters and the link is the </w:t>
      </w:r>
      <w:r w:rsidRPr="007F10F4">
        <w:rPr>
          <w:rFonts w:ascii="Times New Roman" w:hAnsi="Times New Roman" w:cs="Times New Roman"/>
          <w:lang w:val="en-GB"/>
        </w:rPr>
        <w:t>debiased sparse partial correlation coefficient</w:t>
      </w:r>
      <w:r w:rsidRPr="007F10F4">
        <w:rPr>
          <w:rFonts w:ascii="Times New Roman" w:hAnsi="Times New Roman" w:cs="Times New Roman"/>
          <w:lang w:val="en-GB" w:eastAsia="pt-BR"/>
        </w:rPr>
        <w:t xml:space="preserve"> (DSPC) among then, whenever is significant (</w:t>
      </w:r>
      <w:r w:rsidRPr="007F10F4">
        <w:rPr>
          <w:rFonts w:ascii="Times New Roman" w:hAnsi="Times New Roman" w:cs="Times New Roman"/>
          <w:i/>
          <w:iCs/>
          <w:lang w:val="en-GB" w:eastAsia="pt-BR"/>
        </w:rPr>
        <w:t>P</w:t>
      </w:r>
      <w:r w:rsidRPr="007F10F4">
        <w:rPr>
          <w:rFonts w:ascii="Times New Roman" w:hAnsi="Times New Roman" w:cs="Times New Roman"/>
          <w:lang w:val="en-GB" w:eastAsia="pt-BR"/>
        </w:rPr>
        <w:t xml:space="preserve"> &lt; 0.05). Thicker arrows </w:t>
      </w:r>
      <w:r w:rsidRPr="007F10F4">
        <w:rPr>
          <w:rFonts w:ascii="Times New Roman" w:hAnsi="Times New Roman" w:cs="Times New Roman"/>
          <w:lang w:val="en-GB"/>
        </w:rPr>
        <w:t xml:space="preserve">indicate higher DSPC coefficient, in module. Bigger nodes indicate higher degree of connection. This analysis was performed using </w:t>
      </w:r>
      <w:proofErr w:type="spellStart"/>
      <w:r w:rsidRPr="007F10F4">
        <w:rPr>
          <w:rFonts w:ascii="Times New Roman" w:hAnsi="Times New Roman" w:cs="Times New Roman"/>
          <w:lang w:val="en-GB"/>
        </w:rPr>
        <w:t>CorrelationCalculator</w:t>
      </w:r>
      <w:proofErr w:type="spellEnd"/>
      <w:r w:rsidRPr="007F10F4">
        <w:rPr>
          <w:rFonts w:ascii="Times New Roman" w:hAnsi="Times New Roman" w:cs="Times New Roman"/>
          <w:lang w:val="en-GB"/>
        </w:rPr>
        <w:t xml:space="preserve"> software and the networks designed by using </w:t>
      </w:r>
      <w:proofErr w:type="spellStart"/>
      <w:r w:rsidRPr="007F10F4">
        <w:rPr>
          <w:rFonts w:ascii="Times New Roman" w:hAnsi="Times New Roman" w:cs="Times New Roman"/>
          <w:lang w:val="en-GB"/>
        </w:rPr>
        <w:t>MetScape</w:t>
      </w:r>
      <w:proofErr w:type="spellEnd"/>
      <w:r w:rsidRPr="007F10F4">
        <w:rPr>
          <w:rFonts w:ascii="Times New Roman" w:hAnsi="Times New Roman" w:cs="Times New Roman"/>
          <w:lang w:val="en-GB"/>
        </w:rPr>
        <w:t xml:space="preserve"> on CYTOSCAPE software </w:t>
      </w:r>
      <w:r w:rsidRPr="007F10F4">
        <w:rPr>
          <w:rFonts w:ascii="Times New Roman" w:hAnsi="Times New Roman" w:cs="Times New Roman"/>
          <w:lang w:val="en-GB" w:eastAsia="pt-PT" w:bidi="pt-PT"/>
        </w:rPr>
        <w:t>(</w:t>
      </w:r>
      <w:r w:rsidRPr="007F10F4">
        <w:rPr>
          <w:rFonts w:ascii="Times New Roman" w:hAnsi="Times New Roman" w:cs="Times New Roman"/>
          <w:i/>
          <w:lang w:val="en-GB" w:eastAsia="pt-PT" w:bidi="pt-PT"/>
        </w:rPr>
        <w:t xml:space="preserve">n </w:t>
      </w:r>
      <w:r w:rsidRPr="007F10F4">
        <w:rPr>
          <w:rFonts w:ascii="Times New Roman" w:hAnsi="Times New Roman" w:cs="Times New Roman"/>
          <w:lang w:val="en-GB" w:eastAsia="pt-PT" w:bidi="pt-PT"/>
        </w:rPr>
        <w:t>= 5).</w:t>
      </w:r>
      <w:r w:rsidRPr="007F10F4">
        <w:rPr>
          <w:rFonts w:ascii="Times New Roman" w:hAnsi="Times New Roman" w:cs="Times New Roman"/>
          <w:lang w:val="en-GB"/>
        </w:rPr>
        <w:br w:type="page"/>
      </w:r>
    </w:p>
    <w:p w14:paraId="6D2A0684" w14:textId="77777777" w:rsidR="00274225" w:rsidRPr="007F10F4" w:rsidRDefault="00274225" w:rsidP="00274225">
      <w:pPr>
        <w:spacing w:line="22" w:lineRule="atLeast"/>
        <w:ind w:left="284" w:hanging="284"/>
        <w:jc w:val="both"/>
        <w:rPr>
          <w:rFonts w:ascii="Times New Roman" w:hAnsi="Times New Roman" w:cs="Times New Roman"/>
          <w:b/>
          <w:lang w:val="en-GB" w:eastAsia="pt-BR"/>
        </w:rPr>
      </w:pPr>
      <w:r w:rsidRPr="007F10F4">
        <w:rPr>
          <w:rFonts w:ascii="Times New Roman" w:hAnsi="Times New Roman" w:cs="Times New Roman"/>
          <w:b/>
          <w:noProof/>
        </w:rPr>
        <w:lastRenderedPageBreak/>
        <w:drawing>
          <wp:inline distT="0" distB="0" distL="0" distR="0" wp14:anchorId="1AF21FCB" wp14:editId="55BA6DAF">
            <wp:extent cx="5731510" cy="3916680"/>
            <wp:effectExtent l="0" t="0" r="2540" b="762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916680"/>
                    </a:xfrm>
                    <a:prstGeom prst="rect">
                      <a:avLst/>
                    </a:prstGeom>
                  </pic:spPr>
                </pic:pic>
              </a:graphicData>
            </a:graphic>
          </wp:inline>
        </w:drawing>
      </w:r>
    </w:p>
    <w:p w14:paraId="0048DD22" w14:textId="77777777" w:rsidR="00274225" w:rsidRPr="007F10F4" w:rsidRDefault="00274225" w:rsidP="00274225">
      <w:pPr>
        <w:spacing w:line="22" w:lineRule="atLeast"/>
        <w:jc w:val="both"/>
        <w:rPr>
          <w:rFonts w:ascii="Times New Roman" w:hAnsi="Times New Roman" w:cs="Times New Roman"/>
          <w:lang w:eastAsia="pt-BR"/>
        </w:rPr>
      </w:pPr>
      <w:r w:rsidRPr="007F10F4">
        <w:rPr>
          <w:rFonts w:ascii="Times New Roman" w:hAnsi="Times New Roman" w:cs="Times New Roman"/>
          <w:b/>
          <w:lang w:val="en-GB" w:eastAsia="pt-BR"/>
        </w:rPr>
        <w:t xml:space="preserve">Figure S5. </w:t>
      </w:r>
      <w:r w:rsidRPr="007F10F4">
        <w:rPr>
          <w:rFonts w:ascii="Times New Roman" w:hAnsi="Times New Roman" w:cs="Times New Roman"/>
          <w:lang w:eastAsia="pt-BR"/>
        </w:rPr>
        <w:t xml:space="preserve">Box plots of metabolites identified as water deficit (WD) biomarkers. Green and red box plots indicate the relative content of metabolites found in soybean plants under well-watered (WW) and WD conditions, respectively. Biomarkers were identified based in </w:t>
      </w:r>
      <w:r w:rsidRPr="007F10F4">
        <w:rPr>
          <w:rFonts w:ascii="Times New Roman" w:hAnsi="Times New Roman" w:cs="Times New Roman"/>
          <w:lang w:val="en-GB" w:eastAsia="pt-PT" w:bidi="pt-PT"/>
        </w:rPr>
        <w:t xml:space="preserve">receiver operating characteristic (ROC) curves using Log and Auto-scaling normalized data on the </w:t>
      </w:r>
      <w:proofErr w:type="spellStart"/>
      <w:r w:rsidRPr="007F10F4">
        <w:rPr>
          <w:rFonts w:ascii="Times New Roman" w:hAnsi="Times New Roman" w:cs="Times New Roman"/>
          <w:lang w:val="en-GB" w:eastAsia="pt-PT" w:bidi="pt-PT"/>
        </w:rPr>
        <w:t>MetaboAnalyst</w:t>
      </w:r>
      <w:proofErr w:type="spellEnd"/>
      <w:r w:rsidRPr="007F10F4">
        <w:rPr>
          <w:rFonts w:ascii="Times New Roman" w:hAnsi="Times New Roman" w:cs="Times New Roman"/>
          <w:lang w:val="en-GB" w:eastAsia="pt-PT" w:bidi="pt-PT"/>
        </w:rPr>
        <w:t xml:space="preserve"> platform </w:t>
      </w:r>
      <w:r w:rsidRPr="007F10F4">
        <w:rPr>
          <w:rFonts w:ascii="Times New Roman" w:hAnsi="Times New Roman" w:cs="Times New Roman"/>
          <w:lang w:val="en-GB" w:eastAsia="pt-PT" w:bidi="pt-PT"/>
        </w:rPr>
        <w:fldChar w:fldCharType="begin" w:fldLock="1"/>
      </w:r>
      <w:r w:rsidRPr="007F10F4">
        <w:rPr>
          <w:rFonts w:ascii="Times New Roman" w:hAnsi="Times New Roman" w:cs="Times New Roman"/>
          <w:lang w:val="en-GB" w:eastAsia="pt-PT" w:bidi="pt-PT"/>
        </w:rPr>
        <w:instrText>ADDIN CSL_CITATION {"citationItems":[{"id":"ITEM-1","itemData":{"DOI":"10.1093/nar/gky310","ISBN":"0305-1048","ISSN":"13624962","PMID":"29762782","abstract":"We present a new update to MetaboAnalyst (version 4.0) for comprehensive metabolomic data analysis, interpretation, and integration with other omics data. Since the last major update in 2015, MetaboAnalyst has continued to evolve based on user feedback and technological advancements in the field. For this year’s update, four newkey features have been added to MetaboAnalyst 4.0, including: (1) real-time R com- mand tracking and display coupled with the release of a companion P way activity from untargeted mass spectral data us- anal ing the eakstoP package; (2) a a ys module for prediction of path- ystR ysis m u module for robust biomarker identification mmic thwa hog MetaboAnal algorithm; (3) a Biomarker MS Meta- through the combination of multiple metabolomic datasets and (4) a Netw ork E tegrative analysis of metabolomics, metagenomics, xplorer module for in- and/or transcriptomics data. The user interface of MetaboAnalyst 4.0 has been reengineered to provide a more modern look and feel, as well as to give more space and flexibility to introduce new func- tions. The underlying knowledgebases (compound libraries, metabolite sets, and metabolic pathways) have also been updated based on the latest data from the Human Metabolome Database (HMDB). A Docker image of MetaboAnalyst is also available to facilitate download and local installation of Metabo- Analyst.MetaboAnalyst 4.0 is freely available at http: //metaboanalyst.ca","author":[{"dropping-particle":"","family":"Chong","given":"Jasmine","non-dropping-particle":"","parse-names":false,"suffix":""},{"dropping-particle":"","family":"Soufan","given":"Othman","non-dropping-particle":"","parse-names":false,"suffix":""},{"dropping-particle":"","family":"Li","given":"Carin","non-dropping-particle":"","parse-names":false,"suffix":""},{"dropping-particle":"","family":"Caraus","given":"Iurie","non-dropping-particle":"","parse-names":false,"suffix":""},{"dropping-particle":"","family":"Li","given":"Shuzhao","non-dropping-particle":"","parse-names":false,"suffix":""},{"dropping-particle":"","family":"Bourque","given":"Guillaume","non-dropping-particle":"","parse-names":false,"suffix":""},{"dropping-particle":"","family":"Wishart","given":"David S.","non-dropping-particle":"","parse-names":false,"suffix":""},{"dropping-particle":"","family":"Xia","given":"Jianguo","non-dropping-particle":"","parse-names":false,"suffix":""}],"container-title":"Nucleic Acids Research","id":"ITEM-1","issue":"W1","issued":{"date-parts":[["2018"]]},"page":"W486-W494","title":"MetaboAnalyst 4.0: Towards more transparent and integrative metabolomics analysis","type":"article-journal","volume":"46"},"uris":["http://www.mendeley.com/documents/?uuid=dc1c31f8-ff4a-4de0-b4df-0b56255d60e2"]}],"mendeley":{"formattedCitation":"(Chong &lt;i&gt;et al.&lt;/i&gt;, 2018)","plainTextFormattedCitation":"(Chong et al., 2018)","previouslyFormattedCitation":"(Chong &lt;i&gt;et al.&lt;/i&gt;, 2018)"},"properties":{"noteIndex":0},"schema":"https://github.com/citation-style-language/schema/raw/master/csl-citation.json"}</w:instrText>
      </w:r>
      <w:r w:rsidRPr="007F10F4">
        <w:rPr>
          <w:rFonts w:ascii="Times New Roman" w:hAnsi="Times New Roman" w:cs="Times New Roman"/>
          <w:lang w:val="en-GB" w:eastAsia="pt-PT" w:bidi="pt-PT"/>
        </w:rPr>
        <w:fldChar w:fldCharType="separate"/>
      </w:r>
      <w:r w:rsidRPr="007F10F4">
        <w:rPr>
          <w:rFonts w:ascii="Times New Roman" w:hAnsi="Times New Roman" w:cs="Times New Roman"/>
          <w:noProof/>
          <w:lang w:val="en-GB" w:eastAsia="pt-PT" w:bidi="pt-PT"/>
        </w:rPr>
        <w:t xml:space="preserve">(Chong </w:t>
      </w:r>
      <w:r w:rsidRPr="007F10F4">
        <w:rPr>
          <w:rFonts w:ascii="Times New Roman" w:hAnsi="Times New Roman" w:cs="Times New Roman"/>
          <w:i/>
          <w:noProof/>
          <w:lang w:val="en-GB" w:eastAsia="pt-PT" w:bidi="pt-PT"/>
        </w:rPr>
        <w:t>et al.</w:t>
      </w:r>
      <w:r w:rsidRPr="007F10F4">
        <w:rPr>
          <w:rFonts w:ascii="Times New Roman" w:hAnsi="Times New Roman" w:cs="Times New Roman"/>
          <w:noProof/>
          <w:lang w:val="en-GB" w:eastAsia="pt-PT" w:bidi="pt-PT"/>
        </w:rPr>
        <w:t>, 2018)</w:t>
      </w:r>
      <w:r w:rsidRPr="007F10F4">
        <w:rPr>
          <w:rFonts w:ascii="Times New Roman" w:hAnsi="Times New Roman" w:cs="Times New Roman"/>
          <w:lang w:val="en-GB" w:eastAsia="pt-PT" w:bidi="pt-PT"/>
        </w:rPr>
        <w:fldChar w:fldCharType="end"/>
      </w:r>
      <w:r w:rsidRPr="007F10F4">
        <w:rPr>
          <w:rFonts w:ascii="Times New Roman" w:hAnsi="Times New Roman" w:cs="Times New Roman"/>
          <w:lang w:val="en-GB" w:eastAsia="pt-PT" w:bidi="pt-PT"/>
        </w:rPr>
        <w:t xml:space="preserve">. </w:t>
      </w:r>
      <w:r w:rsidRPr="007F10F4">
        <w:rPr>
          <w:rFonts w:ascii="Times New Roman" w:hAnsi="Times New Roman" w:cs="Times New Roman"/>
          <w:lang w:eastAsia="pt-BR"/>
        </w:rPr>
        <w:t xml:space="preserve">Metabolites in black and red indicate </w:t>
      </w:r>
      <w:proofErr w:type="spellStart"/>
      <w:r w:rsidRPr="007F10F4">
        <w:rPr>
          <w:rFonts w:ascii="Times New Roman" w:hAnsi="Times New Roman" w:cs="Times New Roman"/>
          <w:lang w:eastAsia="pt-BR"/>
        </w:rPr>
        <w:t>statiscal</w:t>
      </w:r>
      <w:proofErr w:type="spellEnd"/>
      <w:r w:rsidRPr="007F10F4">
        <w:rPr>
          <w:rFonts w:ascii="Times New Roman" w:hAnsi="Times New Roman" w:cs="Times New Roman"/>
          <w:lang w:eastAsia="pt-BR"/>
        </w:rPr>
        <w:t xml:space="preserve"> difference at </w:t>
      </w:r>
      <w:r w:rsidRPr="007F10F4">
        <w:rPr>
          <w:rFonts w:ascii="Times New Roman" w:hAnsi="Times New Roman" w:cs="Times New Roman"/>
          <w:i/>
          <w:iCs/>
          <w:lang w:eastAsia="pt-BR"/>
        </w:rPr>
        <w:t>P</w:t>
      </w:r>
      <w:r w:rsidRPr="007F10F4">
        <w:rPr>
          <w:rFonts w:ascii="Times New Roman" w:hAnsi="Times New Roman" w:cs="Times New Roman"/>
          <w:lang w:eastAsia="pt-BR"/>
        </w:rPr>
        <w:t xml:space="preserve"> &lt; 0.001 and </w:t>
      </w:r>
      <w:r w:rsidRPr="007F10F4">
        <w:rPr>
          <w:rFonts w:ascii="Times New Roman" w:hAnsi="Times New Roman" w:cs="Times New Roman"/>
          <w:i/>
          <w:iCs/>
          <w:lang w:eastAsia="pt-BR"/>
        </w:rPr>
        <w:t>P</w:t>
      </w:r>
      <w:r w:rsidRPr="007F10F4">
        <w:rPr>
          <w:rFonts w:ascii="Times New Roman" w:hAnsi="Times New Roman" w:cs="Times New Roman"/>
          <w:lang w:eastAsia="pt-BR"/>
        </w:rPr>
        <w:t xml:space="preserve"> &lt; 0.05, respectively. </w:t>
      </w:r>
    </w:p>
    <w:p w14:paraId="0658197A" w14:textId="77777777" w:rsidR="00274225" w:rsidRPr="007F10F4" w:rsidRDefault="00274225" w:rsidP="00274225">
      <w:pPr>
        <w:spacing w:line="22" w:lineRule="atLeast"/>
        <w:jc w:val="both"/>
        <w:rPr>
          <w:rFonts w:ascii="Times New Roman" w:hAnsi="Times New Roman" w:cs="Times New Roman"/>
          <w:b/>
          <w:lang w:val="en-GB" w:eastAsia="pt-BR"/>
        </w:rPr>
      </w:pPr>
      <w:r w:rsidRPr="007F10F4">
        <w:rPr>
          <w:rFonts w:ascii="Times New Roman" w:hAnsi="Times New Roman" w:cs="Times New Roman"/>
          <w:b/>
          <w:noProof/>
        </w:rPr>
        <w:lastRenderedPageBreak/>
        <w:drawing>
          <wp:inline distT="0" distB="0" distL="0" distR="0" wp14:anchorId="6C0EC297" wp14:editId="0D4C09E7">
            <wp:extent cx="5731510" cy="3822700"/>
            <wp:effectExtent l="0" t="0" r="2540" b="6350"/>
            <wp:docPr id="4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7CD612AB" w14:textId="77777777" w:rsidR="00274225" w:rsidRPr="007F10F4" w:rsidRDefault="00274225" w:rsidP="00274225">
      <w:pPr>
        <w:pStyle w:val="Heading3"/>
        <w:spacing w:line="22" w:lineRule="atLeast"/>
        <w:rPr>
          <w:sz w:val="22"/>
          <w:szCs w:val="22"/>
          <w:lang w:eastAsia="pt-BR"/>
        </w:rPr>
      </w:pPr>
      <w:r w:rsidRPr="007F10F4">
        <w:rPr>
          <w:b/>
          <w:sz w:val="22"/>
          <w:szCs w:val="22"/>
          <w:lang w:val="en-GB" w:eastAsia="pt-BR"/>
        </w:rPr>
        <w:t xml:space="preserve">Figure S6. </w:t>
      </w:r>
      <w:r w:rsidRPr="007F10F4">
        <w:rPr>
          <w:sz w:val="22"/>
          <w:szCs w:val="22"/>
          <w:lang w:eastAsia="pt-BR"/>
        </w:rPr>
        <w:t xml:space="preserve">Box plots of metabolites identified as biomarkers in the high temperature (HT) treatment. Green and red box plots indicate the relative content of metabolites found in soybean plants under well-watered (WW) and HT conditions, respectively. Biomarkers were identified based in </w:t>
      </w:r>
      <w:r w:rsidRPr="007F10F4">
        <w:rPr>
          <w:sz w:val="22"/>
          <w:szCs w:val="22"/>
          <w:lang w:val="en-GB" w:eastAsia="pt-PT" w:bidi="pt-PT"/>
        </w:rPr>
        <w:t xml:space="preserve">receiver operating characteristic (ROC) curves using Log and Auto-scaling normalized data on the </w:t>
      </w:r>
      <w:proofErr w:type="spellStart"/>
      <w:r w:rsidRPr="007F10F4">
        <w:rPr>
          <w:sz w:val="22"/>
          <w:szCs w:val="22"/>
          <w:lang w:val="en-GB" w:eastAsia="pt-PT" w:bidi="pt-PT"/>
        </w:rPr>
        <w:t>MetaboAnalyst</w:t>
      </w:r>
      <w:proofErr w:type="spellEnd"/>
      <w:r w:rsidRPr="007F10F4">
        <w:rPr>
          <w:sz w:val="22"/>
          <w:szCs w:val="22"/>
          <w:lang w:val="en-GB" w:eastAsia="pt-PT" w:bidi="pt-PT"/>
        </w:rPr>
        <w:t xml:space="preserve"> platform </w:t>
      </w:r>
      <w:r w:rsidRPr="007F10F4">
        <w:rPr>
          <w:sz w:val="22"/>
          <w:szCs w:val="22"/>
          <w:lang w:val="en-GB" w:eastAsia="pt-PT" w:bidi="pt-PT"/>
        </w:rPr>
        <w:fldChar w:fldCharType="begin" w:fldLock="1"/>
      </w:r>
      <w:r w:rsidRPr="007F10F4">
        <w:rPr>
          <w:sz w:val="22"/>
          <w:szCs w:val="22"/>
          <w:lang w:val="en-GB" w:eastAsia="pt-PT" w:bidi="pt-PT"/>
        </w:rPr>
        <w:instrText>ADDIN CSL_CITATION {"citationItems":[{"id":"ITEM-1","itemData":{"DOI":"10.1093/nar/gky310","ISBN":"0305-1048","ISSN":"13624962","PMID":"29762782","abstract":"We present a new update to MetaboAnalyst (version 4.0) for comprehensive metabolomic data analysis, interpretation, and integration with other omics data. Since the last major update in 2015, MetaboAnalyst has continued to evolve based on user feedback and technological advancements in the field. For this year’s update, four newkey features have been added to MetaboAnalyst 4.0, including: (1) real-time R com- mand tracking and display coupled with the release of a companion P way activity from untargeted mass spectral data us- anal ing the eakstoP package; (2) a a ys module for prediction of path- ystR ysis m u module for robust biomarker identification mmic thwa hog MetaboAnal algorithm; (3) a Biomarker MS Meta- through the combination of multiple metabolomic datasets and (4) a Netw ork E tegrative analysis of metabolomics, metagenomics, xplorer module for in- and/or transcriptomics data. The user interface of MetaboAnalyst 4.0 has been reengineered to provide a more modern look and feel, as well as to give more space and flexibility to introduce new func- tions. The underlying knowledgebases (compound libraries, metabolite sets, and metabolic pathways) have also been updated based on the latest data from the Human Metabolome Database (HMDB). A Docker image of MetaboAnalyst is also available to facilitate download and local installation of Metabo- Analyst.MetaboAnalyst 4.0 is freely available at http: //metaboanalyst.ca","author":[{"dropping-particle":"","family":"Chong","given":"Jasmine","non-dropping-particle":"","parse-names":false,"suffix":""},{"dropping-particle":"","family":"Soufan","given":"Othman","non-dropping-particle":"","parse-names":false,"suffix":""},{"dropping-particle":"","family":"Li","given":"Carin","non-dropping-particle":"","parse-names":false,"suffix":""},{"dropping-particle":"","family":"Caraus","given":"Iurie","non-dropping-particle":"","parse-names":false,"suffix":""},{"dropping-particle":"","family":"Li","given":"Shuzhao","non-dropping-particle":"","parse-names":false,"suffix":""},{"dropping-particle":"","family":"Bourque","given":"Guillaume","non-dropping-particle":"","parse-names":false,"suffix":""},{"dropping-particle":"","family":"Wishart","given":"David S.","non-dropping-particle":"","parse-names":false,"suffix":""},{"dropping-particle":"","family":"Xia","given":"Jianguo","non-dropping-particle":"","parse-names":false,"suffix":""}],"container-title":"Nucleic Acids Research","id":"ITEM-1","issue":"W1","issued":{"date-parts":[["2018"]]},"page":"W486-W494","title":"MetaboAnalyst 4.0: Towards more transparent and integrative metabolomics analysis","type":"article-journal","volume":"46"},"uris":["http://www.mendeley.com/documents/?uuid=dc1c31f8-ff4a-4de0-b4df-0b56255d60e2"]}],"mendeley":{"formattedCitation":"(Chong &lt;i&gt;et al.&lt;/i&gt;, 2018)","plainTextFormattedCitation":"(Chong et al., 2018)","previouslyFormattedCitation":"(Chong &lt;i&gt;et al.&lt;/i&gt;, 2018)"},"properties":{"noteIndex":0},"schema":"https://github.com/citation-style-language/schema/raw/master/csl-citation.json"}</w:instrText>
      </w:r>
      <w:r w:rsidRPr="007F10F4">
        <w:rPr>
          <w:sz w:val="22"/>
          <w:szCs w:val="22"/>
          <w:lang w:val="en-GB" w:eastAsia="pt-PT" w:bidi="pt-PT"/>
        </w:rPr>
        <w:fldChar w:fldCharType="separate"/>
      </w:r>
      <w:r w:rsidRPr="007F10F4">
        <w:rPr>
          <w:noProof/>
          <w:sz w:val="22"/>
          <w:szCs w:val="22"/>
          <w:lang w:val="en-GB" w:eastAsia="pt-PT" w:bidi="pt-PT"/>
        </w:rPr>
        <w:t xml:space="preserve">(Chong </w:t>
      </w:r>
      <w:r w:rsidRPr="007F10F4">
        <w:rPr>
          <w:i/>
          <w:noProof/>
          <w:sz w:val="22"/>
          <w:szCs w:val="22"/>
          <w:lang w:val="en-GB" w:eastAsia="pt-PT" w:bidi="pt-PT"/>
        </w:rPr>
        <w:t>et al.</w:t>
      </w:r>
      <w:r w:rsidRPr="007F10F4">
        <w:rPr>
          <w:noProof/>
          <w:sz w:val="22"/>
          <w:szCs w:val="22"/>
          <w:lang w:val="en-GB" w:eastAsia="pt-PT" w:bidi="pt-PT"/>
        </w:rPr>
        <w:t>, 2018)</w:t>
      </w:r>
      <w:r w:rsidRPr="007F10F4">
        <w:rPr>
          <w:sz w:val="22"/>
          <w:szCs w:val="22"/>
          <w:lang w:val="en-GB" w:eastAsia="pt-PT" w:bidi="pt-PT"/>
        </w:rPr>
        <w:fldChar w:fldCharType="end"/>
      </w:r>
      <w:r w:rsidRPr="007F10F4">
        <w:rPr>
          <w:sz w:val="22"/>
          <w:szCs w:val="22"/>
          <w:lang w:val="en-GB" w:eastAsia="pt-PT" w:bidi="pt-PT"/>
        </w:rPr>
        <w:t xml:space="preserve">. </w:t>
      </w:r>
      <w:r w:rsidRPr="007F10F4">
        <w:rPr>
          <w:sz w:val="22"/>
          <w:szCs w:val="22"/>
          <w:lang w:eastAsia="pt-BR"/>
        </w:rPr>
        <w:t xml:space="preserve">Metabolites in black and red indicate </w:t>
      </w:r>
      <w:proofErr w:type="spellStart"/>
      <w:r w:rsidRPr="007F10F4">
        <w:rPr>
          <w:sz w:val="22"/>
          <w:szCs w:val="22"/>
          <w:lang w:eastAsia="pt-BR"/>
        </w:rPr>
        <w:t>statiscal</w:t>
      </w:r>
      <w:proofErr w:type="spellEnd"/>
      <w:r w:rsidRPr="007F10F4">
        <w:rPr>
          <w:sz w:val="22"/>
          <w:szCs w:val="22"/>
          <w:lang w:eastAsia="pt-BR"/>
        </w:rPr>
        <w:t xml:space="preserve"> difference at </w:t>
      </w:r>
      <w:r w:rsidRPr="007F10F4">
        <w:rPr>
          <w:i/>
          <w:iCs/>
          <w:sz w:val="22"/>
          <w:szCs w:val="22"/>
          <w:lang w:eastAsia="pt-BR"/>
        </w:rPr>
        <w:t>P</w:t>
      </w:r>
      <w:r w:rsidRPr="007F10F4">
        <w:rPr>
          <w:sz w:val="22"/>
          <w:szCs w:val="22"/>
          <w:lang w:eastAsia="pt-BR"/>
        </w:rPr>
        <w:t xml:space="preserve"> &lt; 0.001 and </w:t>
      </w:r>
      <w:r w:rsidRPr="007F10F4">
        <w:rPr>
          <w:i/>
          <w:iCs/>
          <w:sz w:val="22"/>
          <w:szCs w:val="22"/>
          <w:lang w:eastAsia="pt-BR"/>
        </w:rPr>
        <w:t>P</w:t>
      </w:r>
      <w:r w:rsidRPr="007F10F4">
        <w:rPr>
          <w:sz w:val="22"/>
          <w:szCs w:val="22"/>
          <w:lang w:eastAsia="pt-BR"/>
        </w:rPr>
        <w:t xml:space="preserve"> &lt; 0.05, respectively.</w:t>
      </w:r>
    </w:p>
    <w:p w14:paraId="3B971EEC" w14:textId="77777777" w:rsidR="00274225" w:rsidRPr="007F10F4" w:rsidRDefault="00274225" w:rsidP="00274225">
      <w:pPr>
        <w:pStyle w:val="Heading3"/>
        <w:spacing w:line="22" w:lineRule="atLeast"/>
        <w:rPr>
          <w:sz w:val="22"/>
          <w:szCs w:val="22"/>
          <w:lang w:eastAsia="pt-BR"/>
        </w:rPr>
      </w:pPr>
    </w:p>
    <w:p w14:paraId="2F8A0D8A" w14:textId="77777777" w:rsidR="00274225" w:rsidRPr="007F10F4" w:rsidRDefault="00274225" w:rsidP="00274225">
      <w:pPr>
        <w:rPr>
          <w:rFonts w:ascii="Times New Roman" w:hAnsi="Times New Roman" w:cs="Times New Roman"/>
          <w:b/>
          <w:lang w:val="en-GB" w:eastAsia="pt-BR"/>
        </w:rPr>
      </w:pPr>
      <w:r w:rsidRPr="007F10F4">
        <w:rPr>
          <w:rFonts w:ascii="Times New Roman" w:hAnsi="Times New Roman" w:cs="Times New Roman"/>
          <w:b/>
          <w:lang w:val="en-GB" w:eastAsia="pt-BR"/>
        </w:rPr>
        <w:br w:type="page"/>
      </w:r>
    </w:p>
    <w:p w14:paraId="5E363DC0" w14:textId="77777777" w:rsidR="00274225" w:rsidRPr="007F10F4" w:rsidRDefault="00274225" w:rsidP="00274225">
      <w:pPr>
        <w:spacing w:line="22" w:lineRule="atLeast"/>
        <w:jc w:val="both"/>
        <w:rPr>
          <w:rFonts w:ascii="Times New Roman" w:hAnsi="Times New Roman" w:cs="Times New Roman"/>
          <w:b/>
          <w:lang w:val="en-GB" w:eastAsia="pt-BR"/>
        </w:rPr>
      </w:pPr>
      <w:r w:rsidRPr="007F10F4">
        <w:rPr>
          <w:rFonts w:ascii="Times New Roman" w:hAnsi="Times New Roman" w:cs="Times New Roman"/>
          <w:b/>
          <w:noProof/>
        </w:rPr>
        <w:lastRenderedPageBreak/>
        <w:drawing>
          <wp:inline distT="0" distB="0" distL="0" distR="0" wp14:anchorId="39249DE3" wp14:editId="4CC9E56E">
            <wp:extent cx="5731510" cy="2459990"/>
            <wp:effectExtent l="0" t="0" r="254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459990"/>
                    </a:xfrm>
                    <a:prstGeom prst="rect">
                      <a:avLst/>
                    </a:prstGeom>
                  </pic:spPr>
                </pic:pic>
              </a:graphicData>
            </a:graphic>
          </wp:inline>
        </w:drawing>
      </w:r>
    </w:p>
    <w:p w14:paraId="61EBC7B0" w14:textId="77777777" w:rsidR="00274225" w:rsidRPr="007F10F4" w:rsidRDefault="00274225" w:rsidP="00274225">
      <w:pPr>
        <w:spacing w:line="22" w:lineRule="atLeast"/>
        <w:jc w:val="both"/>
        <w:rPr>
          <w:rFonts w:ascii="Times New Roman" w:hAnsi="Times New Roman" w:cs="Times New Roman"/>
          <w:b/>
          <w:bCs/>
          <w:lang w:eastAsia="pt-BR"/>
        </w:rPr>
      </w:pPr>
      <w:r w:rsidRPr="007F10F4">
        <w:rPr>
          <w:rFonts w:ascii="Times New Roman" w:hAnsi="Times New Roman" w:cs="Times New Roman"/>
          <w:b/>
          <w:lang w:val="en-GB" w:eastAsia="pt-BR"/>
        </w:rPr>
        <w:t xml:space="preserve">Figure S7. </w:t>
      </w:r>
      <w:r w:rsidRPr="007F10F4">
        <w:rPr>
          <w:rFonts w:ascii="Times New Roman" w:hAnsi="Times New Roman" w:cs="Times New Roman"/>
          <w:bCs/>
          <w:lang w:val="en-GB" w:eastAsia="pt-BR"/>
        </w:rPr>
        <w:t xml:space="preserve">Veen diagram highlighting the overlap among the biomarkers found in soybean plants under water deficit (WD), high temperature (HT) and water deficit plus high temperature (WD+HT) conditions. These metabolites correspond to those shown at the Figures S2-4. The metabolites are separated in two groups, those that have A) decreased or B) increased content in each stress condition, when compared to well-watered plants. </w:t>
      </w:r>
      <w:r w:rsidRPr="007F10F4">
        <w:rPr>
          <w:rFonts w:ascii="Times New Roman" w:hAnsi="Times New Roman" w:cs="Times New Roman"/>
          <w:b/>
          <w:bCs/>
          <w:lang w:eastAsia="pt-BR"/>
        </w:rPr>
        <w:br w:type="page"/>
      </w:r>
    </w:p>
    <w:p w14:paraId="2D589C15" w14:textId="77777777" w:rsidR="00274225" w:rsidRPr="007F10F4" w:rsidRDefault="00274225" w:rsidP="00274225">
      <w:pPr>
        <w:spacing w:line="22" w:lineRule="atLeast"/>
        <w:jc w:val="both"/>
        <w:rPr>
          <w:rFonts w:ascii="Times New Roman" w:hAnsi="Times New Roman" w:cs="Times New Roman"/>
          <w:lang w:eastAsia="pt-BR"/>
        </w:rPr>
      </w:pPr>
      <w:r w:rsidRPr="007F10F4">
        <w:rPr>
          <w:rFonts w:ascii="Times New Roman" w:hAnsi="Times New Roman" w:cs="Times New Roman"/>
          <w:noProof/>
        </w:rPr>
        <w:lastRenderedPageBreak/>
        <w:drawing>
          <wp:inline distT="0" distB="0" distL="0" distR="0" wp14:anchorId="7873903D" wp14:editId="047167DA">
            <wp:extent cx="5731510" cy="455549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555490"/>
                    </a:xfrm>
                    <a:prstGeom prst="rect">
                      <a:avLst/>
                    </a:prstGeom>
                  </pic:spPr>
                </pic:pic>
              </a:graphicData>
            </a:graphic>
          </wp:inline>
        </w:drawing>
      </w:r>
    </w:p>
    <w:p w14:paraId="3B688FBF" w14:textId="77777777" w:rsidR="00274225" w:rsidRPr="007F10F4" w:rsidRDefault="00274225" w:rsidP="00274225">
      <w:pPr>
        <w:spacing w:line="22" w:lineRule="atLeast"/>
        <w:jc w:val="both"/>
        <w:rPr>
          <w:rFonts w:ascii="Times New Roman" w:hAnsi="Times New Roman" w:cs="Times New Roman"/>
          <w:bCs/>
          <w:lang w:val="en-GB" w:eastAsia="pt-BR"/>
        </w:rPr>
      </w:pPr>
      <w:r w:rsidRPr="007F10F4">
        <w:rPr>
          <w:rFonts w:ascii="Times New Roman" w:hAnsi="Times New Roman" w:cs="Times New Roman"/>
          <w:b/>
          <w:bCs/>
          <w:lang w:eastAsia="pt-BR"/>
        </w:rPr>
        <w:t xml:space="preserve">Figure S8. </w:t>
      </w:r>
      <w:r w:rsidRPr="007F10F4">
        <w:rPr>
          <w:rFonts w:ascii="Times New Roman" w:hAnsi="Times New Roman" w:cs="Times New Roman"/>
          <w:bCs/>
          <w:lang w:val="en-GB" w:eastAsia="pt-BR"/>
        </w:rPr>
        <w:t>Veen diagram highlighting the overlap among the metabolites found in the VIP score list of the PLS-DA of each cultivar. These metabolites correspond to those shown at the Figure 8.</w:t>
      </w:r>
    </w:p>
    <w:p w14:paraId="05A0A2D1" w14:textId="77777777" w:rsidR="00D21A01" w:rsidRPr="007F10F4" w:rsidRDefault="00D21A01"/>
    <w:sectPr w:rsidR="00D21A01" w:rsidRPr="007F10F4" w:rsidSect="007F1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3C7"/>
    <w:rsid w:val="00274225"/>
    <w:rsid w:val="007F10F4"/>
    <w:rsid w:val="009163C7"/>
    <w:rsid w:val="00D21A01"/>
    <w:rsid w:val="00D800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B7C9A5D6-B8E2-4871-AF36-F6BFCAF7C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4"/>
        <w:szCs w:val="24"/>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225"/>
    <w:rPr>
      <w:rFonts w:asciiTheme="minorHAnsi" w:eastAsia="SimSun" w:hAnsiTheme="minorHAnsi" w:cstheme="minorBidi"/>
      <w:color w:val="auto"/>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4225"/>
    <w:pPr>
      <w:spacing w:after="0" w:line="240" w:lineRule="auto"/>
    </w:pPr>
    <w:rPr>
      <w:rFonts w:asciiTheme="minorHAnsi" w:eastAsia="SimSun" w:hAnsiTheme="minorHAnsi" w:cstheme="minorBidi"/>
      <w:color w:val="auto"/>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
    <w:name w:val="Heading3"/>
    <w:basedOn w:val="Normal"/>
    <w:link w:val="Heading3Char"/>
    <w:qFormat/>
    <w:rsid w:val="00274225"/>
    <w:rPr>
      <w:rFonts w:ascii="Times New Roman" w:hAnsi="Times New Roman" w:cs="Times New Roman"/>
      <w:sz w:val="28"/>
      <w:szCs w:val="28"/>
    </w:rPr>
  </w:style>
  <w:style w:type="character" w:customStyle="1" w:styleId="Heading3Char">
    <w:name w:val="Heading3 Char"/>
    <w:basedOn w:val="DefaultParagraphFont"/>
    <w:link w:val="Heading3"/>
    <w:rsid w:val="00274225"/>
    <w:rPr>
      <w:rFonts w:eastAsia="SimSun"/>
      <w:color w:val="auto"/>
      <w:sz w:val="28"/>
      <w:szCs w:val="28"/>
      <w:lang w:val="en-US"/>
    </w:rPr>
  </w:style>
  <w:style w:type="character" w:styleId="LineNumber">
    <w:name w:val="line number"/>
    <w:basedOn w:val="DefaultParagraphFont"/>
    <w:uiPriority w:val="99"/>
    <w:semiHidden/>
    <w:unhideWhenUsed/>
    <w:rsid w:val="00274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oleObject" Target="embeddings/oleObject1.bin"/><Relationship Id="rId11" Type="http://schemas.openxmlformats.org/officeDocument/2006/relationships/image" Target="media/image5.png"/><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29B5D-93DC-4D0A-84DD-E6DB78BCF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2517</Words>
  <Characters>14351</Characters>
  <Application>Microsoft Office Word</Application>
  <DocSecurity>0</DocSecurity>
  <Lines>119</Lines>
  <Paragraphs>33</Paragraphs>
  <ScaleCrop>false</ScaleCrop>
  <Company/>
  <LinksUpToDate>false</LinksUpToDate>
  <CharactersWithSpaces>16835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Müller</dc:creator>
  <cp:keywords/>
  <dc:description/>
  <cp:lastModifiedBy>Ramya G</cp:lastModifiedBy>
  <cp:revision>3</cp:revision>
  <dcterms:created xsi:type="dcterms:W3CDTF">2022-02-01T11:38:00Z</dcterms:created>
  <dcterms:modified xsi:type="dcterms:W3CDTF">2022-09-22T12:38:00Z</dcterms:modified>
</cp:coreProperties>
</file>