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09D5C36" w14:textId="77777777" w:rsidR="00F40F54" w:rsidRPr="00415071" w:rsidRDefault="00F40F54" w:rsidP="00F40F54">
      <w:pPr>
        <w:spacing w:line="480" w:lineRule="auto"/>
        <w:rPr>
          <w:sz w:val="22"/>
          <w:szCs w:val="22"/>
        </w:rPr>
      </w:pPr>
      <w:r>
        <w:rPr>
          <w:b/>
          <w:sz w:val="22"/>
          <w:szCs w:val="22"/>
        </w:rPr>
        <w:t xml:space="preserve">Supplementary </w:t>
      </w:r>
      <w:r w:rsidRPr="00415071">
        <w:rPr>
          <w:b/>
          <w:sz w:val="22"/>
          <w:szCs w:val="22"/>
        </w:rPr>
        <w:t>Figure 1</w:t>
      </w:r>
      <w:r w:rsidRPr="00415071">
        <w:rPr>
          <w:sz w:val="22"/>
          <w:szCs w:val="22"/>
        </w:rPr>
        <w:t>:</w:t>
      </w:r>
      <w:r w:rsidRPr="00415071">
        <w:rPr>
          <w:rFonts w:eastAsiaTheme="minorEastAsia"/>
          <w:b/>
          <w:sz w:val="22"/>
          <w:szCs w:val="22"/>
        </w:rPr>
        <w:t xml:space="preserve"> </w:t>
      </w:r>
      <w:r w:rsidRPr="00415071">
        <w:rPr>
          <w:b/>
          <w:sz w:val="22"/>
          <w:szCs w:val="22"/>
        </w:rPr>
        <w:t>Flow cytometry gating scheme for immune analysis of mammary glands</w:t>
      </w:r>
      <w:r>
        <w:rPr>
          <w:b/>
          <w:sz w:val="22"/>
          <w:szCs w:val="22"/>
        </w:rPr>
        <w:t>, lymph nodes</w:t>
      </w:r>
      <w:r w:rsidRPr="00415071">
        <w:rPr>
          <w:b/>
          <w:sz w:val="22"/>
          <w:szCs w:val="22"/>
        </w:rPr>
        <w:t xml:space="preserve"> and blood.</w:t>
      </w:r>
      <w:r w:rsidRPr="00415071">
        <w:rPr>
          <w:sz w:val="22"/>
          <w:szCs w:val="22"/>
        </w:rPr>
        <w:t xml:space="preserve">  </w:t>
      </w:r>
      <w:r w:rsidRPr="00415071">
        <w:rPr>
          <w:sz w:val="22"/>
          <w:szCs w:val="22"/>
          <w:lang w:val="en-US"/>
        </w:rPr>
        <w:t>Flow cytometry gating scheme for mouse mammary glands. Green box (</w:t>
      </w:r>
      <w:r w:rsidRPr="00415071">
        <w:rPr>
          <w:b/>
          <w:sz w:val="22"/>
          <w:szCs w:val="22"/>
          <w:lang w:val="en-US"/>
        </w:rPr>
        <w:t>A</w:t>
      </w:r>
      <w:r w:rsidRPr="00415071">
        <w:rPr>
          <w:sz w:val="22"/>
          <w:szCs w:val="22"/>
          <w:lang w:val="en-US"/>
        </w:rPr>
        <w:t>) shows how Leukocytes were gated according to morphology (SSC-A vs. FSC-A), doublets were excluded (FSC-H vs.</w:t>
      </w:r>
      <w:r>
        <w:rPr>
          <w:sz w:val="22"/>
          <w:szCs w:val="22"/>
          <w:lang w:val="en-US"/>
        </w:rPr>
        <w:t xml:space="preserve"> </w:t>
      </w:r>
      <w:r w:rsidRPr="00415071">
        <w:rPr>
          <w:sz w:val="22"/>
          <w:szCs w:val="22"/>
          <w:lang w:val="en-US"/>
        </w:rPr>
        <w:t>FSC-A) and live immune cells were selected using PI and CD45. Red box (</w:t>
      </w:r>
      <w:r w:rsidRPr="00415071">
        <w:rPr>
          <w:b/>
          <w:sz w:val="22"/>
          <w:szCs w:val="22"/>
          <w:lang w:val="en-US"/>
        </w:rPr>
        <w:t>B</w:t>
      </w:r>
      <w:r w:rsidRPr="00415071">
        <w:rPr>
          <w:sz w:val="22"/>
          <w:szCs w:val="22"/>
          <w:lang w:val="en-US"/>
        </w:rPr>
        <w:t>) shows the isolation of the innate immune cells. Dendritic cells were identified and/or excluded from the myeloid cell analysis, by gating on CD11c and MHCII double positive cells. Myeloid cells were then identified as CD11b+. Eosinophils were identified and/or excluded from myeloid population before they were further dissected into macrophages (CD11b+ Ly6G- Ly6C</w:t>
      </w:r>
      <w:r w:rsidRPr="00415071">
        <w:rPr>
          <w:sz w:val="22"/>
          <w:szCs w:val="22"/>
          <w:vertAlign w:val="superscript"/>
          <w:lang w:val="en-US"/>
        </w:rPr>
        <w:t>low</w:t>
      </w:r>
      <w:r w:rsidRPr="00415071">
        <w:rPr>
          <w:sz w:val="22"/>
          <w:szCs w:val="22"/>
          <w:lang w:val="en-US"/>
        </w:rPr>
        <w:t>), monocytes (CD11b+ Ly6G-, Ly6C</w:t>
      </w:r>
      <w:r w:rsidRPr="00415071">
        <w:rPr>
          <w:sz w:val="22"/>
          <w:szCs w:val="22"/>
          <w:vertAlign w:val="superscript"/>
          <w:lang w:val="en-US"/>
        </w:rPr>
        <w:t>high</w:t>
      </w:r>
      <w:r w:rsidRPr="00415071">
        <w:rPr>
          <w:sz w:val="22"/>
          <w:szCs w:val="22"/>
          <w:lang w:val="en-US"/>
        </w:rPr>
        <w:t>), and neutrophils (CD11b+ Ly6G+ Ly6C</w:t>
      </w:r>
      <w:r w:rsidRPr="00415071">
        <w:rPr>
          <w:sz w:val="22"/>
          <w:szCs w:val="22"/>
          <w:vertAlign w:val="superscript"/>
          <w:lang w:val="en-US"/>
        </w:rPr>
        <w:t>low</w:t>
      </w:r>
      <w:r w:rsidRPr="00415071">
        <w:rPr>
          <w:sz w:val="22"/>
          <w:szCs w:val="22"/>
          <w:lang w:val="en-US"/>
        </w:rPr>
        <w:t>) using Ly6C vs. Ly6G. The alternatively activated macrophages (M2 macrophages) were subsequently identified as CD11b+ Ly6G-Ly6C</w:t>
      </w:r>
      <w:r w:rsidRPr="00415071">
        <w:rPr>
          <w:sz w:val="22"/>
          <w:szCs w:val="22"/>
          <w:vertAlign w:val="superscript"/>
          <w:lang w:val="en-US"/>
        </w:rPr>
        <w:t>low</w:t>
      </w:r>
      <w:r w:rsidRPr="00415071">
        <w:rPr>
          <w:sz w:val="22"/>
          <w:szCs w:val="22"/>
          <w:lang w:val="en-US"/>
        </w:rPr>
        <w:t xml:space="preserve">CD206+. Blue box (C) shows the isolation of the adaptive immune cells. A CD19 vs. </w:t>
      </w:r>
      <w:proofErr w:type="spellStart"/>
      <w:r w:rsidRPr="00415071">
        <w:rPr>
          <w:sz w:val="22"/>
          <w:szCs w:val="22"/>
          <w:lang w:val="en-US"/>
        </w:rPr>
        <w:t>TCRb</w:t>
      </w:r>
      <w:proofErr w:type="spellEnd"/>
      <w:r w:rsidRPr="00415071">
        <w:rPr>
          <w:sz w:val="22"/>
          <w:szCs w:val="22"/>
          <w:lang w:val="en-US"/>
        </w:rPr>
        <w:t xml:space="preserve"> plot was used to discriminate between T cells (TCRB+ CD19-) and B cells (</w:t>
      </w:r>
      <w:proofErr w:type="spellStart"/>
      <w:r w:rsidRPr="00415071">
        <w:rPr>
          <w:sz w:val="22"/>
          <w:szCs w:val="22"/>
          <w:lang w:val="en-US"/>
        </w:rPr>
        <w:t>TCRb</w:t>
      </w:r>
      <w:proofErr w:type="spellEnd"/>
      <w:r w:rsidRPr="00415071">
        <w:rPr>
          <w:sz w:val="22"/>
          <w:szCs w:val="22"/>
          <w:lang w:val="en-US"/>
        </w:rPr>
        <w:t>- CD19+). The NK cells were gated from the double negative TCRB- CD19- population using NK1.1. CD4 vs. CD8a was then used to differentiate T cells into T helper cells (TCRb+CD19-CD4+CD8-) and cytotoxic T cells (TCRb+CD19-CD4-CD8+). F: The memory/effector status of both CD8 and CD4 T cells was determined using a CD62L vs. CD44 plot on both populations, to characterize naïve (CD62L+ CD44-), memory (CD62L+ CD44+), and effector (CD62L-CD44+). CD69 and CD103 were then used to isolated tissue resident memory CD4 (TCRb+CD19-CD4+CD8- CD69+CD103+) and CD8 (TCRb+CD19-CD4-</w:t>
      </w:r>
      <w:r>
        <w:rPr>
          <w:sz w:val="22"/>
          <w:szCs w:val="22"/>
          <w:lang w:val="en-US"/>
        </w:rPr>
        <w:t>C</w:t>
      </w:r>
      <w:r w:rsidRPr="00415071">
        <w:rPr>
          <w:sz w:val="22"/>
          <w:szCs w:val="22"/>
          <w:lang w:val="en-US"/>
        </w:rPr>
        <w:t>D8+CD69+CD103+) T cells.</w:t>
      </w:r>
      <w:r>
        <w:rPr>
          <w:sz w:val="22"/>
          <w:szCs w:val="22"/>
          <w:lang w:val="en-US"/>
        </w:rPr>
        <w:t xml:space="preserve"> The gates shown are all derived from mouse blood, mammary gland or lymph node from either treated or untreated mice to show the populations with clarity. </w:t>
      </w:r>
    </w:p>
    <w:p w14:paraId="7FE735BE" w14:textId="77777777" w:rsidR="00F40F54" w:rsidRPr="00415071" w:rsidRDefault="00F40F54" w:rsidP="00F40F54">
      <w:pPr>
        <w:spacing w:line="480" w:lineRule="auto"/>
        <w:rPr>
          <w:sz w:val="22"/>
          <w:szCs w:val="22"/>
        </w:rPr>
      </w:pPr>
    </w:p>
    <w:p w14:paraId="7EE7E86F" w14:textId="77777777" w:rsidR="00FE50B9" w:rsidRPr="00B67067" w:rsidRDefault="00FE50B9" w:rsidP="00FE50B9">
      <w:pPr>
        <w:spacing w:line="480" w:lineRule="auto"/>
        <w:rPr>
          <w:bCs/>
          <w:sz w:val="22"/>
          <w:szCs w:val="22"/>
        </w:rPr>
      </w:pPr>
      <w:r>
        <w:rPr>
          <w:b/>
          <w:sz w:val="22"/>
          <w:szCs w:val="22"/>
        </w:rPr>
        <w:t xml:space="preserve">Supplementary </w:t>
      </w:r>
      <w:r w:rsidRPr="00415071">
        <w:rPr>
          <w:b/>
          <w:sz w:val="22"/>
          <w:szCs w:val="22"/>
        </w:rPr>
        <w:t xml:space="preserve">Figure </w:t>
      </w:r>
      <w:r>
        <w:rPr>
          <w:b/>
          <w:sz w:val="22"/>
          <w:szCs w:val="22"/>
        </w:rPr>
        <w:t>2</w:t>
      </w:r>
      <w:r w:rsidRPr="00415071">
        <w:rPr>
          <w:sz w:val="22"/>
          <w:szCs w:val="22"/>
        </w:rPr>
        <w:t>:</w:t>
      </w:r>
      <w:r w:rsidRPr="00415071">
        <w:rPr>
          <w:rFonts w:eastAsiaTheme="minorEastAsia"/>
          <w:b/>
          <w:sz w:val="22"/>
          <w:szCs w:val="22"/>
        </w:rPr>
        <w:t xml:space="preserve"> </w:t>
      </w:r>
      <w:r w:rsidRPr="00B67067">
        <w:rPr>
          <w:bCs/>
          <w:sz w:val="22"/>
          <w:szCs w:val="22"/>
        </w:rPr>
        <w:t xml:space="preserve">Effects of </w:t>
      </w:r>
      <w:proofErr w:type="spellStart"/>
      <w:r w:rsidRPr="00B67067">
        <w:rPr>
          <w:bCs/>
          <w:sz w:val="22"/>
          <w:szCs w:val="22"/>
        </w:rPr>
        <w:t>estrogen</w:t>
      </w:r>
      <w:proofErr w:type="spellEnd"/>
      <w:r w:rsidRPr="00B67067">
        <w:rPr>
          <w:bCs/>
          <w:sz w:val="22"/>
          <w:szCs w:val="22"/>
        </w:rPr>
        <w:t xml:space="preserve">, and </w:t>
      </w:r>
      <w:proofErr w:type="spellStart"/>
      <w:r w:rsidRPr="00B67067">
        <w:rPr>
          <w:bCs/>
          <w:sz w:val="22"/>
          <w:szCs w:val="22"/>
        </w:rPr>
        <w:t>fulvestrant</w:t>
      </w:r>
      <w:proofErr w:type="spellEnd"/>
      <w:r w:rsidRPr="00B67067">
        <w:rPr>
          <w:bCs/>
          <w:sz w:val="22"/>
          <w:szCs w:val="22"/>
        </w:rPr>
        <w:t xml:space="preserve"> on the </w:t>
      </w:r>
      <w:r>
        <w:rPr>
          <w:bCs/>
          <w:sz w:val="22"/>
          <w:szCs w:val="22"/>
        </w:rPr>
        <w:t xml:space="preserve">activation of NK cells as determined using the activation marker CD69. </w:t>
      </w:r>
      <w:r w:rsidRPr="00B67067">
        <w:rPr>
          <w:bCs/>
          <w:sz w:val="22"/>
          <w:szCs w:val="22"/>
        </w:rPr>
        <w:t xml:space="preserve">Mice were either untreated, or treated for 6 weeks with </w:t>
      </w:r>
      <w:proofErr w:type="spellStart"/>
      <w:r w:rsidRPr="00B67067">
        <w:rPr>
          <w:bCs/>
          <w:sz w:val="22"/>
          <w:szCs w:val="22"/>
        </w:rPr>
        <w:t>estrogen</w:t>
      </w:r>
      <w:proofErr w:type="spellEnd"/>
      <w:r w:rsidRPr="00B67067">
        <w:rPr>
          <w:bCs/>
          <w:sz w:val="22"/>
          <w:szCs w:val="22"/>
        </w:rPr>
        <w:t xml:space="preserve"> (E2) or </w:t>
      </w:r>
      <w:proofErr w:type="spellStart"/>
      <w:r w:rsidRPr="00B67067">
        <w:rPr>
          <w:bCs/>
          <w:sz w:val="22"/>
          <w:szCs w:val="22"/>
        </w:rPr>
        <w:t>Fulvestrant</w:t>
      </w:r>
      <w:proofErr w:type="spellEnd"/>
      <w:r w:rsidRPr="00B67067">
        <w:rPr>
          <w:bCs/>
          <w:sz w:val="22"/>
          <w:szCs w:val="22"/>
        </w:rPr>
        <w:t xml:space="preserve"> (</w:t>
      </w:r>
      <w:proofErr w:type="spellStart"/>
      <w:r w:rsidRPr="00B67067">
        <w:rPr>
          <w:bCs/>
          <w:sz w:val="22"/>
          <w:szCs w:val="22"/>
        </w:rPr>
        <w:t>Fulv</w:t>
      </w:r>
      <w:proofErr w:type="spellEnd"/>
      <w:r w:rsidRPr="00B67067">
        <w:rPr>
          <w:bCs/>
          <w:sz w:val="22"/>
          <w:szCs w:val="22"/>
        </w:rPr>
        <w:t>). Results are expressed percentage of immune cells (mean ± SEM). Data was analysed using a Turkey multiple comparisons one-way ANOVA. Statistically significant results are denoted with *p&lt;0.05</w:t>
      </w:r>
      <w:r>
        <w:rPr>
          <w:bCs/>
          <w:sz w:val="22"/>
          <w:szCs w:val="22"/>
        </w:rPr>
        <w:t xml:space="preserve">. ND= no data for the </w:t>
      </w:r>
      <w:proofErr w:type="spellStart"/>
      <w:r>
        <w:rPr>
          <w:bCs/>
          <w:sz w:val="22"/>
          <w:szCs w:val="22"/>
        </w:rPr>
        <w:t>oophorectomized</w:t>
      </w:r>
      <w:proofErr w:type="spellEnd"/>
      <w:r>
        <w:rPr>
          <w:bCs/>
          <w:sz w:val="22"/>
          <w:szCs w:val="22"/>
        </w:rPr>
        <w:t xml:space="preserve"> group. </w:t>
      </w:r>
      <w:r w:rsidRPr="00B67067">
        <w:rPr>
          <w:bCs/>
          <w:sz w:val="22"/>
          <w:szCs w:val="22"/>
        </w:rPr>
        <w:t xml:space="preserve"> </w:t>
      </w:r>
    </w:p>
    <w:p w14:paraId="6405A7B7" w14:textId="77777777" w:rsidR="00F40F54" w:rsidRPr="00415071" w:rsidRDefault="00F40F54" w:rsidP="00F40F54">
      <w:pPr>
        <w:spacing w:line="480" w:lineRule="auto"/>
        <w:rPr>
          <w:sz w:val="22"/>
          <w:szCs w:val="22"/>
        </w:rPr>
      </w:pPr>
      <w:bookmarkStart w:id="0" w:name="_GoBack"/>
      <w:bookmarkEnd w:id="0"/>
    </w:p>
    <w:p w14:paraId="3E08DF97" w14:textId="77777777" w:rsidR="00D65F70" w:rsidRDefault="00D65F70"/>
    <w:sectPr w:rsidR="00D65F70" w:rsidSect="00FE50B9">
      <w:footerReference w:type="even" r:id="rId6"/>
      <w:footerReference w:type="default" r:id="rId7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37CBD27" w14:textId="77777777" w:rsidR="00000000" w:rsidRDefault="00FE50B9">
      <w:r>
        <w:separator/>
      </w:r>
    </w:p>
  </w:endnote>
  <w:endnote w:type="continuationSeparator" w:id="0">
    <w:p w14:paraId="1E889DE3" w14:textId="77777777" w:rsidR="00000000" w:rsidRDefault="00FE50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PageNumber"/>
      </w:rPr>
      <w:id w:val="-1325501896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80014AF" w14:textId="77777777" w:rsidR="001A0788" w:rsidRDefault="00F40F54" w:rsidP="00E531AA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46266B6B" w14:textId="77777777" w:rsidR="001A0788" w:rsidRDefault="00FE50B9" w:rsidP="003356E3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PageNumber"/>
      </w:rPr>
      <w:id w:val="1428925826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5FEE1E9" w14:textId="77777777" w:rsidR="001A0788" w:rsidRDefault="00F40F54" w:rsidP="00E531AA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FE50B9"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1E2D66D0" w14:textId="77777777" w:rsidR="001A0788" w:rsidRDefault="00FE50B9" w:rsidP="003356E3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4CAF091" w14:textId="77777777" w:rsidR="00000000" w:rsidRDefault="00FE50B9">
      <w:r>
        <w:separator/>
      </w:r>
    </w:p>
  </w:footnote>
  <w:footnote w:type="continuationSeparator" w:id="0">
    <w:p w14:paraId="5415D5C1" w14:textId="77777777" w:rsidR="00000000" w:rsidRDefault="00FE50B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F54"/>
    <w:rsid w:val="00002E86"/>
    <w:rsid w:val="00017CB6"/>
    <w:rsid w:val="00067975"/>
    <w:rsid w:val="000D7FDC"/>
    <w:rsid w:val="000E235F"/>
    <w:rsid w:val="004C7597"/>
    <w:rsid w:val="00683479"/>
    <w:rsid w:val="007C07A6"/>
    <w:rsid w:val="0097227B"/>
    <w:rsid w:val="00B21F9C"/>
    <w:rsid w:val="00C36F1D"/>
    <w:rsid w:val="00C9474A"/>
    <w:rsid w:val="00D01033"/>
    <w:rsid w:val="00D65F70"/>
    <w:rsid w:val="00DE5DF6"/>
    <w:rsid w:val="00F40F54"/>
    <w:rsid w:val="00FE5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D531F0"/>
  <w15:chartTrackingRefBased/>
  <w15:docId w15:val="{9657DCE8-EFEF-F642-B10C-A3540C417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0F54"/>
    <w:rPr>
      <w:rFonts w:ascii="Times New Roman" w:eastAsia="Times New Roman" w:hAnsi="Times New Roman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F40F5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40F54"/>
    <w:rPr>
      <w:rFonts w:ascii="Times New Roman" w:eastAsia="Times New Roman" w:hAnsi="Times New Roman" w:cs="Times New Roman"/>
      <w:lang w:eastAsia="en-GB"/>
    </w:rPr>
  </w:style>
  <w:style w:type="character" w:styleId="PageNumber">
    <w:name w:val="page number"/>
    <w:basedOn w:val="DefaultParagraphFont"/>
    <w:uiPriority w:val="99"/>
    <w:semiHidden/>
    <w:unhideWhenUsed/>
    <w:rsid w:val="00F40F54"/>
  </w:style>
  <w:style w:type="character" w:styleId="LineNumber">
    <w:name w:val="line number"/>
    <w:basedOn w:val="DefaultParagraphFont"/>
    <w:uiPriority w:val="99"/>
    <w:semiHidden/>
    <w:unhideWhenUsed/>
    <w:rsid w:val="00F40F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347</Words>
  <Characters>1980</Characters>
  <Application>Microsoft Office Word</Application>
  <DocSecurity>0</DocSecurity>
  <Lines>16</Lines>
  <Paragraphs>4</Paragraphs>
  <ScaleCrop>false</ScaleCrop>
  <Company/>
  <LinksUpToDate>false</LinksUpToDate>
  <CharactersWithSpaces>2323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Britt Kara</dc:creator>
  <cp:keywords/>
  <dc:description/>
  <cp:lastModifiedBy>Dhanalakshmi Vairavan</cp:lastModifiedBy>
  <cp:revision>2</cp:revision>
  <dcterms:created xsi:type="dcterms:W3CDTF">2022-07-21T11:32:00Z</dcterms:created>
  <dcterms:modified xsi:type="dcterms:W3CDTF">2022-10-05T05:08:00Z</dcterms:modified>
</cp:coreProperties>
</file>