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90F14" w14:textId="32FDC16A" w:rsidR="00643285" w:rsidRDefault="00643285" w:rsidP="00F2712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BF1C2B8" w14:textId="77777777" w:rsidR="00F27124" w:rsidRPr="00F27124" w:rsidRDefault="00F27124" w:rsidP="00F2712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p w14:paraId="4F1F1FC4" w14:textId="2552BB78" w:rsidR="00643285" w:rsidRDefault="00BE2F4B" w:rsidP="00643285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11667132"/>
      <w:bookmarkStart w:id="1" w:name="_Hlk80213006"/>
      <w:r w:rsidRPr="00840982">
        <w:rPr>
          <w:rFonts w:ascii="Times New Roman" w:hAnsi="Times New Roman" w:cs="Times New Roman"/>
          <w:b/>
          <w:sz w:val="28"/>
          <w:szCs w:val="28"/>
        </w:rPr>
        <w:t xml:space="preserve">Epidemiology, risk profile, management, and outcome </w:t>
      </w:r>
      <w:r w:rsidRPr="00E32350">
        <w:rPr>
          <w:rFonts w:ascii="Times New Roman" w:hAnsi="Times New Roman" w:cs="Times New Roman"/>
          <w:b/>
          <w:sz w:val="28"/>
          <w:szCs w:val="28"/>
        </w:rPr>
        <w:t xml:space="preserve">in </w:t>
      </w:r>
      <w:r>
        <w:rPr>
          <w:rFonts w:ascii="Times New Roman" w:hAnsi="Times New Roman" w:cs="Times New Roman"/>
          <w:b/>
          <w:sz w:val="28"/>
          <w:szCs w:val="28"/>
        </w:rPr>
        <w:t>geriatric patients with a</w:t>
      </w:r>
      <w:r w:rsidRPr="00E32350">
        <w:rPr>
          <w:rFonts w:ascii="Times New Roman" w:hAnsi="Times New Roman" w:cs="Times New Roman"/>
          <w:b/>
          <w:sz w:val="28"/>
          <w:szCs w:val="28"/>
        </w:rPr>
        <w:t xml:space="preserve">trial fibrillation </w:t>
      </w:r>
      <w:r>
        <w:rPr>
          <w:rFonts w:ascii="Times New Roman" w:hAnsi="Times New Roman" w:cs="Times New Roman"/>
          <w:b/>
          <w:sz w:val="28"/>
          <w:szCs w:val="28"/>
        </w:rPr>
        <w:t>in</w:t>
      </w:r>
      <w:r w:rsidRPr="00E32350">
        <w:rPr>
          <w:rFonts w:ascii="Times New Roman" w:hAnsi="Times New Roman" w:cs="Times New Roman"/>
          <w:b/>
          <w:sz w:val="28"/>
          <w:szCs w:val="28"/>
        </w:rPr>
        <w:t xml:space="preserve"> two long-term care hospitals</w:t>
      </w:r>
      <w:bookmarkEnd w:id="0"/>
    </w:p>
    <w:p w14:paraId="137115EA" w14:textId="77777777" w:rsidR="00F27124" w:rsidRDefault="00F27124" w:rsidP="00F27124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</w:p>
    <w:bookmarkEnd w:id="1"/>
    <w:p w14:paraId="683D556B" w14:textId="51D963C2" w:rsidR="00643285" w:rsidRPr="00643285" w:rsidRDefault="00643285" w:rsidP="00643285">
      <w:pPr>
        <w:spacing w:line="480" w:lineRule="auto"/>
        <w:jc w:val="center"/>
        <w:rPr>
          <w:rFonts w:ascii="Times New Roman" w:hAnsi="Times New Roman" w:cs="Times New Roman"/>
          <w:sz w:val="24"/>
          <w:vertAlign w:val="superscript"/>
        </w:rPr>
      </w:pPr>
      <w:r w:rsidRPr="005666C5">
        <w:rPr>
          <w:rFonts w:ascii="Times New Roman" w:eastAsiaTheme="majorEastAsia" w:hAnsi="Times New Roman" w:cs="Times New Roman"/>
          <w:sz w:val="24"/>
        </w:rPr>
        <w:t xml:space="preserve">Gernot Wagner, </w:t>
      </w:r>
      <w:r w:rsidRPr="005666C5">
        <w:rPr>
          <w:rFonts w:ascii="Times New Roman" w:hAnsi="Times New Roman" w:cs="Times New Roman"/>
          <w:sz w:val="24"/>
        </w:rPr>
        <w:t xml:space="preserve">Michael </w:t>
      </w:r>
      <w:proofErr w:type="spellStart"/>
      <w:r w:rsidRPr="005666C5">
        <w:rPr>
          <w:rFonts w:ascii="Times New Roman" w:hAnsi="Times New Roman" w:cs="Times New Roman"/>
          <w:sz w:val="24"/>
        </w:rPr>
        <w:t>Smeikal</w:t>
      </w:r>
      <w:proofErr w:type="spellEnd"/>
      <w:r w:rsidRPr="005666C5">
        <w:rPr>
          <w:rFonts w:ascii="Times New Roman" w:eastAsiaTheme="majorEastAsia" w:hAnsi="Times New Roman" w:cs="Times New Roman"/>
          <w:sz w:val="24"/>
        </w:rPr>
        <w:t xml:space="preserve">, </w:t>
      </w:r>
      <w:r w:rsidRPr="005666C5">
        <w:rPr>
          <w:rStyle w:val="st"/>
          <w:rFonts w:ascii="Times New Roman" w:hAnsi="Times New Roman" w:cs="Times New Roman"/>
          <w:sz w:val="24"/>
        </w:rPr>
        <w:t xml:space="preserve">Christoph </w:t>
      </w:r>
      <w:proofErr w:type="spellStart"/>
      <w:r w:rsidRPr="00643285">
        <w:rPr>
          <w:rStyle w:val="Emphasis"/>
          <w:rFonts w:ascii="Times New Roman" w:hAnsi="Times New Roman" w:cs="Times New Roman"/>
          <w:i w:val="0"/>
          <w:iCs w:val="0"/>
          <w:sz w:val="24"/>
        </w:rPr>
        <w:t>Gisinger</w:t>
      </w:r>
      <w:proofErr w:type="spellEnd"/>
      <w:r w:rsidRPr="00643285">
        <w:rPr>
          <w:rFonts w:ascii="Times New Roman" w:eastAsiaTheme="majorEastAsia" w:hAnsi="Times New Roman" w:cs="Times New Roman"/>
          <w:i/>
          <w:iCs/>
          <w:sz w:val="24"/>
        </w:rPr>
        <w:t>,</w:t>
      </w:r>
      <w:r w:rsidRPr="005666C5">
        <w:rPr>
          <w:rFonts w:ascii="Times New Roman" w:eastAsiaTheme="majorEastAsia" w:hAnsi="Times New Roman" w:cs="Times New Roman"/>
          <w:sz w:val="24"/>
        </w:rPr>
        <w:t xml:space="preserve"> </w:t>
      </w:r>
      <w:proofErr w:type="spellStart"/>
      <w:r w:rsidRPr="005666C5">
        <w:rPr>
          <w:rFonts w:ascii="Times New Roman" w:hAnsi="Times New Roman" w:cs="Times New Roman"/>
          <w:sz w:val="24"/>
        </w:rPr>
        <w:t>Deddo</w:t>
      </w:r>
      <w:proofErr w:type="spellEnd"/>
      <w:r w:rsidRPr="005666C5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666C5">
        <w:rPr>
          <w:rFonts w:ascii="Times New Roman" w:hAnsi="Times New Roman" w:cs="Times New Roman"/>
          <w:sz w:val="24"/>
        </w:rPr>
        <w:t>Moertl</w:t>
      </w:r>
      <w:proofErr w:type="spellEnd"/>
      <w:r w:rsidRPr="005666C5">
        <w:rPr>
          <w:rFonts w:ascii="Times New Roman" w:hAnsi="Times New Roman" w:cs="Times New Roman"/>
          <w:sz w:val="24"/>
        </w:rPr>
        <w:t xml:space="preserve">, Stephan </w:t>
      </w:r>
      <w:proofErr w:type="spellStart"/>
      <w:r w:rsidRPr="005666C5">
        <w:rPr>
          <w:rFonts w:ascii="Times New Roman" w:hAnsi="Times New Roman" w:cs="Times New Roman"/>
          <w:sz w:val="24"/>
        </w:rPr>
        <w:t>Nopp</w:t>
      </w:r>
      <w:proofErr w:type="spellEnd"/>
      <w:r w:rsidRPr="005666C5">
        <w:rPr>
          <w:rFonts w:ascii="Times New Roman" w:eastAsiaTheme="majorEastAsia" w:hAnsi="Times New Roman" w:cs="Times New Roman"/>
          <w:sz w:val="24"/>
        </w:rPr>
        <w:t>,</w:t>
      </w:r>
      <w:r w:rsidRPr="005666C5">
        <w:rPr>
          <w:rFonts w:ascii="Times New Roman" w:hAnsi="Times New Roman" w:cs="Times New Roman"/>
          <w:sz w:val="24"/>
        </w:rPr>
        <w:t xml:space="preserve"> Gerald Gartlehner, Ingrid Pabinger</w:t>
      </w:r>
      <w:r w:rsidRPr="005666C5">
        <w:rPr>
          <w:rFonts w:ascii="Times New Roman" w:eastAsiaTheme="majorEastAsia" w:hAnsi="Times New Roman" w:cs="Times New Roman"/>
          <w:sz w:val="24"/>
        </w:rPr>
        <w:t xml:space="preserve">, </w:t>
      </w:r>
      <w:r w:rsidRPr="00643285">
        <w:rPr>
          <w:rFonts w:ascii="Times New Roman" w:hAnsi="Times New Roman" w:cs="Times New Roman"/>
          <w:sz w:val="24"/>
        </w:rPr>
        <w:t>Gerald Ohrenberger</w:t>
      </w:r>
      <w:r w:rsidRPr="00643285">
        <w:rPr>
          <w:rFonts w:ascii="Times New Roman" w:eastAsiaTheme="majorEastAsia" w:hAnsi="Times New Roman" w:cs="Times New Roman"/>
          <w:sz w:val="24"/>
        </w:rPr>
        <w:t xml:space="preserve">, </w:t>
      </w:r>
      <w:r w:rsidRPr="00643285">
        <w:rPr>
          <w:rFonts w:ascii="Times New Roman" w:hAnsi="Times New Roman" w:cs="Times New Roman"/>
          <w:sz w:val="24"/>
        </w:rPr>
        <w:t>Cihan Ay</w:t>
      </w:r>
    </w:p>
    <w:p w14:paraId="4158617B" w14:textId="77777777" w:rsidR="00643285" w:rsidRPr="00643285" w:rsidRDefault="00643285" w:rsidP="00643285">
      <w:pPr>
        <w:pStyle w:val="Heading1"/>
      </w:pPr>
    </w:p>
    <w:p w14:paraId="04101B4F" w14:textId="77777777" w:rsidR="00643285" w:rsidRPr="00643285" w:rsidRDefault="00643285" w:rsidP="00643285">
      <w:pPr>
        <w:pStyle w:val="Heading1"/>
      </w:pPr>
    </w:p>
    <w:p w14:paraId="50336ED9" w14:textId="77777777" w:rsidR="00643285" w:rsidRPr="00643285" w:rsidRDefault="00643285" w:rsidP="00643285">
      <w:pPr>
        <w:pStyle w:val="Heading1"/>
      </w:pPr>
    </w:p>
    <w:p w14:paraId="36376974" w14:textId="78F4537A" w:rsidR="00643285" w:rsidRDefault="00643285" w:rsidP="00643285">
      <w:pPr>
        <w:pStyle w:val="Heading1"/>
        <w:jc w:val="center"/>
      </w:pPr>
      <w:r>
        <w:t>Supplementary Material</w:t>
      </w:r>
    </w:p>
    <w:p w14:paraId="65731515" w14:textId="77777777" w:rsidR="00643285" w:rsidRPr="00C70850" w:rsidRDefault="00643285" w:rsidP="004D5581"/>
    <w:p w14:paraId="47C8D949" w14:textId="0E6C205B" w:rsidR="00643285" w:rsidRPr="00C70850" w:rsidRDefault="00643285">
      <w:pPr>
        <w:spacing w:after="160" w:line="259" w:lineRule="auto"/>
      </w:pPr>
      <w:r w:rsidRPr="00C70850">
        <w:br w:type="page"/>
      </w:r>
    </w:p>
    <w:p w14:paraId="40F703C0" w14:textId="77777777" w:rsidR="004D5581" w:rsidRPr="00A90418" w:rsidRDefault="004D5581" w:rsidP="004D5581">
      <w:pPr>
        <w:pStyle w:val="Heading2"/>
        <w:spacing w:line="240" w:lineRule="auto"/>
      </w:pPr>
      <w:r>
        <w:lastRenderedPageBreak/>
        <w:t xml:space="preserve">Supplementary </w:t>
      </w:r>
      <w:r w:rsidRPr="00A90418">
        <w:t xml:space="preserve">Table </w:t>
      </w:r>
      <w:r>
        <w:t>S1</w:t>
      </w:r>
      <w:r w:rsidRPr="00A90418">
        <w:t xml:space="preserve">. </w:t>
      </w:r>
      <w:r>
        <w:t>B</w:t>
      </w:r>
      <w:r w:rsidRPr="00A90418">
        <w:t>aseline characte</w:t>
      </w:r>
      <w:r>
        <w:t>ristics of AF patients with and without OAC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1701"/>
        <w:gridCol w:w="1275"/>
        <w:gridCol w:w="1135"/>
      </w:tblGrid>
      <w:tr w:rsidR="004D5581" w:rsidRPr="00ED7219" w14:paraId="10E8C7BD" w14:textId="77777777" w:rsidTr="00936870"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5F57B996" w14:textId="77777777" w:rsidR="004D5581" w:rsidRPr="00ED7219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</w:rPr>
            </w:pPr>
            <w:r w:rsidRPr="00ED7219">
              <w:rPr>
                <w:rFonts w:ascii="Times New Roman" w:hAnsi="Times New Roman" w:cs="Times New Roman"/>
                <w:b/>
                <w:sz w:val="24"/>
              </w:rPr>
              <w:t>Characteristic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778B5B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No OAC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C29F00F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OAC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4FEB4CA9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4D5581" w:rsidRPr="00ED7219" w14:paraId="5371177F" w14:textId="77777777" w:rsidTr="00936870">
        <w:tc>
          <w:tcPr>
            <w:tcW w:w="5245" w:type="dxa"/>
            <w:tcBorders>
              <w:top w:val="nil"/>
              <w:bottom w:val="single" w:sz="4" w:space="0" w:color="auto"/>
            </w:tcBorders>
          </w:tcPr>
          <w:p w14:paraId="4D43570E" w14:textId="77777777" w:rsidR="004D5581" w:rsidRPr="00ED7219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6F932C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219">
              <w:rPr>
                <w:rFonts w:ascii="Times New Roman" w:hAnsi="Times New Roman" w:cs="Times New Roman"/>
                <w:b/>
                <w:sz w:val="24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</w:rPr>
              <w:t>179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26DC5B7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7219">
              <w:rPr>
                <w:rFonts w:ascii="Times New Roman" w:hAnsi="Times New Roman" w:cs="Times New Roman"/>
                <w:b/>
                <w:sz w:val="24"/>
              </w:rPr>
              <w:t>N=</w:t>
            </w:r>
            <w:r>
              <w:rPr>
                <w:rFonts w:ascii="Times New Roman" w:hAnsi="Times New Roman" w:cs="Times New Roman"/>
                <w:b/>
                <w:sz w:val="24"/>
              </w:rPr>
              <w:t>168</w:t>
            </w:r>
          </w:p>
        </w:tc>
        <w:tc>
          <w:tcPr>
            <w:tcW w:w="1135" w:type="dxa"/>
            <w:tcBorders>
              <w:top w:val="nil"/>
              <w:bottom w:val="single" w:sz="4" w:space="0" w:color="auto"/>
            </w:tcBorders>
          </w:tcPr>
          <w:p w14:paraId="7846E94D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ED7219">
              <w:rPr>
                <w:rFonts w:ascii="Times New Roman" w:hAnsi="Times New Roman" w:cs="Times New Roman"/>
                <w:b/>
                <w:i/>
                <w:sz w:val="24"/>
              </w:rPr>
              <w:t>P</w:t>
            </w:r>
          </w:p>
        </w:tc>
      </w:tr>
      <w:tr w:rsidR="004D5581" w:rsidRPr="00ED7219" w14:paraId="61C5EE99" w14:textId="77777777" w:rsidTr="00936870">
        <w:tc>
          <w:tcPr>
            <w:tcW w:w="5245" w:type="dxa"/>
            <w:tcBorders>
              <w:top w:val="single" w:sz="4" w:space="0" w:color="auto"/>
              <w:bottom w:val="nil"/>
            </w:tcBorders>
          </w:tcPr>
          <w:p w14:paraId="349F4BF6" w14:textId="77777777" w:rsidR="004D5581" w:rsidRPr="00ED7219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ED7219">
              <w:rPr>
                <w:rFonts w:ascii="Times New Roman" w:hAnsi="Times New Roman" w:cs="Times New Roman"/>
                <w:sz w:val="24"/>
              </w:rPr>
              <w:t>Age, years, mean ± SD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5E31FAA0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85.9 </w:t>
            </w:r>
            <w:r w:rsidRPr="00ED7219"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ascii="Times New Roman" w:hAnsi="Times New Roman" w:cs="Times New Roman"/>
                <w:sz w:val="24"/>
              </w:rPr>
              <w:t xml:space="preserve"> 7.0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14:paraId="3E68B94C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84.8 </w:t>
            </w:r>
            <w:r w:rsidRPr="00ED7219">
              <w:rPr>
                <w:rFonts w:ascii="Times New Roman" w:hAnsi="Times New Roman" w:cs="Times New Roman"/>
                <w:sz w:val="24"/>
              </w:rPr>
              <w:t>±</w:t>
            </w:r>
            <w:r>
              <w:rPr>
                <w:rFonts w:ascii="Times New Roman" w:hAnsi="Times New Roman" w:cs="Times New Roman"/>
                <w:sz w:val="24"/>
              </w:rPr>
              <w:t xml:space="preserve"> 6.9</w:t>
            </w:r>
          </w:p>
        </w:tc>
        <w:tc>
          <w:tcPr>
            <w:tcW w:w="1135" w:type="dxa"/>
            <w:tcBorders>
              <w:top w:val="single" w:sz="4" w:space="0" w:color="auto"/>
              <w:bottom w:val="nil"/>
            </w:tcBorders>
          </w:tcPr>
          <w:p w14:paraId="52996509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</w:tc>
      </w:tr>
      <w:tr w:rsidR="004D5581" w:rsidRPr="00ED7219" w14:paraId="75C1160A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015F45BE" w14:textId="77777777" w:rsidR="004D5581" w:rsidRPr="00ED7219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ED7219">
              <w:rPr>
                <w:rFonts w:ascii="Times New Roman" w:hAnsi="Times New Roman" w:cs="Times New Roman"/>
                <w:sz w:val="24"/>
              </w:rPr>
              <w:t>Female,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033B8D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129 (72.1)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A106C88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126 (75.0)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320A0AE" w14:textId="77777777" w:rsidR="004D5581" w:rsidRPr="00ED7219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0.54</w:t>
            </w:r>
          </w:p>
        </w:tc>
      </w:tr>
      <w:tr w:rsidR="004D5581" w:rsidRPr="004B59FE" w14:paraId="490E52F6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0B776DE1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>BMI, kg/m</w:t>
            </w:r>
            <w:r w:rsidRPr="004D5581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2</w:t>
            </w: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 xml:space="preserve">, mean ± SD </w:t>
            </w:r>
            <w:r w:rsidRPr="004D5581">
              <w:rPr>
                <w:rFonts w:ascii="Times New Roman" w:hAnsi="Times New Roman" w:cs="Times New Roman"/>
                <w:i/>
                <w:sz w:val="24"/>
                <w:lang w:val="en-GB"/>
              </w:rPr>
              <w:t>(36 missing)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FBF081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23.9 ± 5.6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EA6FCED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26.6 ± 6.1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741F98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79E4E0C1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5917392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proofErr w:type="spellStart"/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>Charlson</w:t>
            </w:r>
            <w:proofErr w:type="spellEnd"/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 xml:space="preserve"> Comorbidity Index, median [IQR]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0B777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 [1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4]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AF2D86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 [1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3]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16424D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0.54</w:t>
            </w:r>
          </w:p>
        </w:tc>
      </w:tr>
      <w:tr w:rsidR="004D5581" w:rsidRPr="004B59FE" w14:paraId="0E0E8710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5C8F37DC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ab/>
              <w:t>0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1,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D5EDFF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46 (25.7)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BC2056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43 (25.6)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D562D2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63485F9D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5E602124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ab/>
              <w:t>2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3,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E441FD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83 (46.4)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7C44D9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87 (51.8)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0E0988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373A70EB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6A88EB71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ab/>
            </w: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≥</w:t>
            </w:r>
            <w:r w:rsidRPr="004B59FE">
              <w:rPr>
                <w:rFonts w:ascii="Times New Roman" w:hAnsi="Times New Roman" w:cs="Times New Roman"/>
                <w:sz w:val="24"/>
              </w:rPr>
              <w:t>4,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BD2CFD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50 (27.9)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739EB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38 (22.6)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B9C537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01A15F59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580AB0E0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CHA</w:t>
            </w:r>
            <w:r w:rsidRPr="004D5581">
              <w:rPr>
                <w:rFonts w:ascii="Times New Roman" w:hAnsi="Times New Roman" w:cs="Times New Roman"/>
                <w:color w:val="131413"/>
                <w:sz w:val="24"/>
                <w:vertAlign w:val="subscript"/>
                <w:lang w:val="en-GB"/>
              </w:rPr>
              <w:t>2</w:t>
            </w: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DS</w:t>
            </w:r>
            <w:r w:rsidRPr="004D5581">
              <w:rPr>
                <w:rFonts w:ascii="Times New Roman" w:hAnsi="Times New Roman" w:cs="Times New Roman"/>
                <w:color w:val="131413"/>
                <w:sz w:val="24"/>
                <w:vertAlign w:val="subscript"/>
                <w:lang w:val="en-GB"/>
              </w:rPr>
              <w:t>2</w:t>
            </w: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-VASc score</w:t>
            </w: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>, median [IQR]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D30627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 [4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6]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43EF21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 [4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6]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DDAE573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0.15</w:t>
            </w:r>
          </w:p>
        </w:tc>
      </w:tr>
      <w:tr w:rsidR="004D5581" w:rsidRPr="004B59FE" w14:paraId="6695F1FD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26D38278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ab/>
              <w:t>0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1</w:t>
            </w:r>
            <w:r w:rsidRPr="004B59FE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4104B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85EE4F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 (0.6)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83B3C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6EE45F86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21715AB8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ab/>
              <w:t>≥2</w:t>
            </w:r>
            <w:r w:rsidRPr="004B59FE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4B1F63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179 (100.0)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3FB71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167 (99.4)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95F7A5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37224DDC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A317950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HAS-BLED score</w:t>
            </w: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>, median [IQR]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707BF9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 [2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3]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F4EC3CD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 [2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sz w:val="24"/>
              </w:rPr>
              <w:t>3]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BBA5A2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&lt;0.01</w:t>
            </w:r>
          </w:p>
        </w:tc>
      </w:tr>
      <w:tr w:rsidR="004D5581" w:rsidRPr="004B59FE" w14:paraId="0EC8B1DC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3A11BEC6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ab/>
              <w:t>0</w:t>
            </w:r>
            <w:r>
              <w:rPr>
                <w:rFonts w:ascii="Times New Roman" w:hAnsi="Times New Roman" w:cs="Times New Roman"/>
                <w:sz w:val="24"/>
              </w:rPr>
              <w:t>–</w:t>
            </w: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2</w:t>
            </w:r>
            <w:r w:rsidRPr="004B59FE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D0813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84 (46.9)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AF9887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100 (59.5)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11F568F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637351D3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45C0E80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ab/>
              <w:t>≥3</w:t>
            </w:r>
            <w:r w:rsidRPr="004B59FE">
              <w:rPr>
                <w:rFonts w:ascii="Times New Roman" w:hAnsi="Times New Roman" w:cs="Times New Roman"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A52C9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95 (53.1)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DABE8B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68 (40.5)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70B316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2BADCEBA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5A16ECD5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 xml:space="preserve">High care dependency, n (%) </w:t>
            </w:r>
            <w:r w:rsidRPr="004D5581">
              <w:rPr>
                <w:rFonts w:ascii="Times New Roman" w:hAnsi="Times New Roman" w:cs="Times New Roman"/>
                <w:i/>
                <w:sz w:val="24"/>
                <w:lang w:val="en-GB"/>
              </w:rPr>
              <w:t>(18 missing)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8897C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110 (66.7)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F334C1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105 (64.0)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DFADAE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0.61</w:t>
            </w:r>
          </w:p>
        </w:tc>
      </w:tr>
      <w:tr w:rsidR="004D5581" w:rsidRPr="004B59FE" w14:paraId="069D79DE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5E08F7C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 xml:space="preserve">Increased risk of falling, n (%) </w:t>
            </w:r>
            <w:r w:rsidRPr="004D5581">
              <w:rPr>
                <w:rFonts w:ascii="Times New Roman" w:hAnsi="Times New Roman" w:cs="Times New Roman"/>
                <w:i/>
                <w:sz w:val="24"/>
                <w:lang w:val="en-GB"/>
              </w:rPr>
              <w:t>(18 missing)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ED60B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113 (68.1)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7A3153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115 (70.6)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67160D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0.63</w:t>
            </w:r>
          </w:p>
        </w:tc>
      </w:tr>
      <w:tr w:rsidR="004D5581" w:rsidRPr="004B59FE" w14:paraId="276FC254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6258F7FD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b/>
                <w:sz w:val="24"/>
              </w:rPr>
              <w:t>Medical history, n (%)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A2E838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579552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AC44AA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7836CE1A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057EE111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Hypertension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F8D06C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132 (73.7)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104972E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131 (78.0)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CC90E4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0.36</w:t>
            </w:r>
          </w:p>
        </w:tc>
      </w:tr>
      <w:tr w:rsidR="004D5581" w:rsidRPr="004B59FE" w14:paraId="71559041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698DC0BE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Hyperlipidemia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E28184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30 (16.8)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33770A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40 (23.8)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0E94DA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0.10</w:t>
            </w:r>
          </w:p>
        </w:tc>
      </w:tr>
      <w:tr w:rsidR="004D5581" w:rsidRPr="004B59FE" w14:paraId="28DAF543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7A8C0678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Diabetes mellitus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8E1295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53 (29.6)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0FC09A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62 (36.9)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00A5E9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0.15</w:t>
            </w:r>
          </w:p>
        </w:tc>
      </w:tr>
      <w:tr w:rsidR="004D5581" w:rsidRPr="004B59FE" w14:paraId="1A3FE6A7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72FFC63B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Heart failure/Cardiomyopathy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964CA6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58 (32.4)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AB6C7B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62 (36.9)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11769B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0.38</w:t>
            </w:r>
          </w:p>
        </w:tc>
      </w:tr>
      <w:tr w:rsidR="004D5581" w:rsidRPr="004B59FE" w14:paraId="022677AA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20806598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Ischemic heart disease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8C6324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58 (32.4)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68411F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58 (34.5)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3B1AC2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0.68</w:t>
            </w:r>
          </w:p>
        </w:tc>
      </w:tr>
      <w:tr w:rsidR="004D5581" w:rsidRPr="004B59FE" w14:paraId="7837990E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18C9756C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Valvular heart disease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3AA80B7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29 (16.2)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1893B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37 (22.0)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2CE8C0C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0.17</w:t>
            </w:r>
          </w:p>
        </w:tc>
      </w:tr>
      <w:tr w:rsidR="004D5581" w:rsidRPr="004B59FE" w14:paraId="10231D3E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07F7B257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ab/>
              <w:t>Mitral stenosis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48157A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 (1.7)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10C3CF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D8AC7E3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0.25</w:t>
            </w:r>
          </w:p>
        </w:tc>
      </w:tr>
      <w:tr w:rsidR="004D5581" w:rsidRPr="004B59FE" w14:paraId="78F54625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2E259BD5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ab/>
              <w:t>Mechanical heart valve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3D7F8B7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3F6D897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 (1.2)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683FF70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0.23</w:t>
            </w:r>
          </w:p>
        </w:tc>
      </w:tr>
      <w:tr w:rsidR="004D5581" w:rsidRPr="004B59FE" w14:paraId="68F3A5F5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749101E2" w14:textId="77777777" w:rsidR="004D5581" w:rsidRPr="004B59FE" w:rsidRDefault="004D5581" w:rsidP="009368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Previous stroke or TIA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A02327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71 (39.7)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4156C05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71 (42.3)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81DC3F7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0.62</w:t>
            </w:r>
          </w:p>
        </w:tc>
      </w:tr>
      <w:tr w:rsidR="004D5581" w:rsidRPr="004B59FE" w14:paraId="26EC616A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66328FED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Peripheral artery disease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CC874D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19 (10.6)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136BAE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20 (11.9)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5BAD6AF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0.70</w:t>
            </w:r>
          </w:p>
        </w:tc>
      </w:tr>
      <w:tr w:rsidR="004D5581" w:rsidRPr="004B59FE" w14:paraId="75922498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5561EC62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Chronic renal insufficiency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B6536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49 (27.4)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5A979AA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56 (33.3)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01AD6F4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0.23</w:t>
            </w:r>
          </w:p>
        </w:tc>
      </w:tr>
      <w:tr w:rsidR="004D5581" w:rsidRPr="004B59FE" w14:paraId="1DB4F88B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0292D176" w14:textId="77777777" w:rsidR="004D5581" w:rsidRPr="004D5581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sz w:val="24"/>
                <w:lang w:val="en-GB"/>
              </w:rPr>
              <w:t xml:space="preserve">Solid or hematologic malignancy </w:t>
            </w:r>
            <w:r w:rsidRPr="004D5581">
              <w:rPr>
                <w:rFonts w:ascii="Times New Roman" w:hAnsi="Times New Roman" w:cs="Times New Roman"/>
                <w:sz w:val="24"/>
                <w:vertAlign w:val="superscript"/>
                <w:lang w:val="en-GB"/>
              </w:rPr>
              <w:t>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57A582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34 (19.0)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195E56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17 (10.1)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7E8DB71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0.02</w:t>
            </w:r>
          </w:p>
        </w:tc>
      </w:tr>
      <w:tr w:rsidR="004D5581" w:rsidRPr="004B59FE" w14:paraId="7BD8FD91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2AFBF97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Dementia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B55EE8D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88 (49.2)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AAD8A3C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91 (54.2)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4E9D191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0.35</w:t>
            </w:r>
          </w:p>
        </w:tc>
      </w:tr>
      <w:tr w:rsidR="004D5581" w:rsidRPr="004B59FE" w14:paraId="6B026A3C" w14:textId="77777777" w:rsidTr="00936870">
        <w:tc>
          <w:tcPr>
            <w:tcW w:w="5245" w:type="dxa"/>
            <w:tcBorders>
              <w:top w:val="nil"/>
              <w:bottom w:val="nil"/>
            </w:tcBorders>
          </w:tcPr>
          <w:p w14:paraId="4E849EEF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Bleeding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D2090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30 (16.8)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4B0E89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11 (6.6)</w:t>
            </w:r>
          </w:p>
        </w:tc>
        <w:tc>
          <w:tcPr>
            <w:tcW w:w="1135" w:type="dxa"/>
            <w:tcBorders>
              <w:top w:val="nil"/>
              <w:bottom w:val="nil"/>
            </w:tcBorders>
          </w:tcPr>
          <w:p w14:paraId="31D8F38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&lt;0.01</w:t>
            </w:r>
          </w:p>
        </w:tc>
      </w:tr>
      <w:tr w:rsidR="004D5581" w:rsidRPr="004B59FE" w14:paraId="2F99702A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56B27FD9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</w:rPr>
              <w:t>Oral anticoagulants</w:t>
            </w: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  <w:vertAlign w:val="superscript"/>
              </w:rPr>
              <w:t>b</w:t>
            </w:r>
            <w:r w:rsidRPr="004B59FE">
              <w:rPr>
                <w:rFonts w:ascii="Times New Roman" w:hAnsi="Times New Roman" w:cs="Times New Roman"/>
                <w:b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DF920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F118F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357851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4FEF0178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C70C690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7E4AD7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10A13B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168 (100)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AA325D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027A48B8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F182F10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>
              <w:rPr>
                <w:rFonts w:ascii="Times New Roman" w:hAnsi="Times New Roman" w:cs="Times New Roman"/>
                <w:color w:val="131413"/>
                <w:sz w:val="24"/>
              </w:rPr>
              <w:t>VKA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DD243D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807BF3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54 (32.1)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A1FD6A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60B3E7EA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84466FA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NOAC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32F5E23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3B42FA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114 (67.9)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1B8537A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5C43CF4C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0D4E056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</w:rPr>
              <w:t>Parenteral anticoagulants</w:t>
            </w: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  <w:vertAlign w:val="superscript"/>
              </w:rPr>
              <w:t>b</w:t>
            </w:r>
            <w:r w:rsidRPr="004B59FE">
              <w:rPr>
                <w:rFonts w:ascii="Times New Roman" w:hAnsi="Times New Roman" w:cs="Times New Roman"/>
                <w:b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1AF256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3A921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D038CF8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3B69CF8A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30748235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LMWH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0B3FEC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73 (40.8)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442C642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 (1.8)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60BC85E7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586B83F4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54BB068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Fondaparinux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3BB665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52DCC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70ED3DD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1CC187F7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FB20FDE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</w:rPr>
              <w:t>Platelet inhibitors</w:t>
            </w:r>
            <w:r w:rsidRPr="004B59FE">
              <w:rPr>
                <w:rFonts w:ascii="Times New Roman" w:hAnsi="Times New Roman" w:cs="Times New Roman"/>
                <w:b/>
                <w:color w:val="131413"/>
                <w:sz w:val="24"/>
                <w:vertAlign w:val="superscript"/>
              </w:rPr>
              <w:t>b</w:t>
            </w:r>
            <w:r w:rsidRPr="004B59FE">
              <w:rPr>
                <w:rFonts w:ascii="Times New Roman" w:hAnsi="Times New Roman" w:cs="Times New Roman"/>
                <w:b/>
                <w:sz w:val="24"/>
              </w:rPr>
              <w:t>, n (%)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17848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43F07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B6C81EF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1D4C7117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4789D5EA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Any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DE03AE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46 (25.7)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E40F2B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7 (4.2)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CACD3F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53EDF491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89B4857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b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ASS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832E1F0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37 (20.7)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126DBB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6 (3.6)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5088BF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4D5581" w:rsidRPr="004B59FE" w14:paraId="7E1287EB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6ACC5237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Clopidogrel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B7AE54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9 (5.0)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BA4115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3 (1.8)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285FCB9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0.10</w:t>
            </w:r>
          </w:p>
        </w:tc>
      </w:tr>
      <w:tr w:rsidR="004D5581" w:rsidRPr="004B59FE" w14:paraId="27379186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27F52C52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Prasugrel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B219A3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 (0.6)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8E3F81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0627280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1.00</w:t>
            </w:r>
          </w:p>
        </w:tc>
      </w:tr>
      <w:tr w:rsidR="004D5581" w:rsidRPr="004B59FE" w14:paraId="6CB1B0D9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9D69A9F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Ticagrelor</w:t>
            </w:r>
            <w:bookmarkStart w:id="2" w:name="_GoBack"/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F6908A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13E29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</w:tcPr>
          <w:p w14:paraId="43E96AC4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D5581" w:rsidRPr="004B59FE" w14:paraId="6E47B135" w14:textId="77777777" w:rsidTr="009368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A7841" w14:textId="77777777" w:rsidR="004D5581" w:rsidRPr="004B59FE" w:rsidRDefault="004D5581" w:rsidP="00936870">
            <w:pPr>
              <w:tabs>
                <w:tab w:val="left" w:pos="270"/>
              </w:tabs>
              <w:rPr>
                <w:rFonts w:ascii="Times New Roman" w:hAnsi="Times New Roman" w:cs="Times New Roman"/>
                <w:color w:val="131413"/>
                <w:sz w:val="24"/>
              </w:rPr>
            </w:pPr>
            <w:r w:rsidRPr="004B59FE">
              <w:rPr>
                <w:rFonts w:ascii="Times New Roman" w:hAnsi="Times New Roman" w:cs="Times New Roman"/>
                <w:color w:val="131413"/>
                <w:sz w:val="24"/>
              </w:rPr>
              <w:t>Dual antiplatelet therapy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44689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1 (0.6)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29F0E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2 (1.2)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ACB926" w14:textId="77777777" w:rsidR="004D5581" w:rsidRPr="004B59FE" w:rsidRDefault="004D5581" w:rsidP="009368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B59FE">
              <w:rPr>
                <w:rFonts w:ascii="Times New Roman" w:hAnsi="Times New Roman" w:cs="Times New Roman"/>
                <w:sz w:val="24"/>
              </w:rPr>
              <w:t>0.61</w:t>
            </w:r>
          </w:p>
        </w:tc>
      </w:tr>
    </w:tbl>
    <w:p w14:paraId="4F662641" w14:textId="14C7E410" w:rsidR="004D5581" w:rsidRPr="004B59FE" w:rsidRDefault="004D5581" w:rsidP="004D5581">
      <w:pPr>
        <w:jc w:val="both"/>
        <w:rPr>
          <w:rFonts w:ascii="Times New Roman" w:hAnsi="Times New Roman" w:cs="Times New Roman"/>
          <w:sz w:val="24"/>
        </w:rPr>
      </w:pPr>
      <w:r w:rsidRPr="004B59FE">
        <w:rPr>
          <w:rFonts w:ascii="Times New Roman" w:hAnsi="Times New Roman" w:cs="Times New Roman"/>
          <w:b/>
          <w:sz w:val="24"/>
        </w:rPr>
        <w:t>Abbreviations:</w:t>
      </w:r>
      <w:r w:rsidRPr="004B59FE">
        <w:rPr>
          <w:rFonts w:ascii="Times New Roman" w:hAnsi="Times New Roman" w:cs="Times New Roman"/>
          <w:sz w:val="24"/>
        </w:rPr>
        <w:t xml:space="preserve"> AF, atrial fibrillation; ASS, acetylsalicylic acid; BMI, body mass index; IQR, interquartile range; </w:t>
      </w:r>
      <w:r w:rsidRPr="004B59FE">
        <w:rPr>
          <w:rFonts w:ascii="Times New Roman" w:hAnsi="Times New Roman" w:cs="Times New Roman"/>
          <w:color w:val="131413"/>
          <w:sz w:val="24"/>
        </w:rPr>
        <w:t xml:space="preserve">LMWH, low-molecular-weight </w:t>
      </w:r>
      <w:r w:rsidRPr="004B59FE">
        <w:rPr>
          <w:rFonts w:ascii="Times New Roman" w:hAnsi="Times New Roman" w:cs="Times New Roman"/>
          <w:sz w:val="24"/>
        </w:rPr>
        <w:t xml:space="preserve">heparin; </w:t>
      </w:r>
      <w:r>
        <w:rPr>
          <w:rFonts w:ascii="Times New Roman" w:hAnsi="Times New Roman" w:cs="Times New Roman"/>
          <w:sz w:val="24"/>
        </w:rPr>
        <w:t xml:space="preserve">n, number of patients; </w:t>
      </w:r>
      <w:r w:rsidRPr="004B59FE">
        <w:rPr>
          <w:rFonts w:ascii="Times New Roman" w:hAnsi="Times New Roman" w:cs="Times New Roman"/>
          <w:color w:val="131413"/>
          <w:sz w:val="24"/>
        </w:rPr>
        <w:t>NOAC</w:t>
      </w:r>
      <w:r w:rsidRPr="004B59FE">
        <w:rPr>
          <w:rFonts w:ascii="Times New Roman" w:hAnsi="Times New Roman" w:cs="Times New Roman"/>
          <w:sz w:val="24"/>
        </w:rPr>
        <w:t>,</w:t>
      </w:r>
      <w:r w:rsidR="00F27124">
        <w:rPr>
          <w:rFonts w:ascii="Times New Roman" w:hAnsi="Times New Roman" w:cs="Times New Roman"/>
          <w:sz w:val="24"/>
        </w:rPr>
        <w:t xml:space="preserve"> </w:t>
      </w:r>
      <w:r w:rsidR="00C70850" w:rsidRPr="00C70850">
        <w:rPr>
          <w:rFonts w:ascii="Times New Roman" w:hAnsi="Times New Roman" w:cs="Times New Roman"/>
          <w:sz w:val="24"/>
        </w:rPr>
        <w:t>non-vitamin K antagonist oral anticoagulant</w:t>
      </w:r>
      <w:r w:rsidRPr="004B59FE">
        <w:rPr>
          <w:rFonts w:ascii="Times New Roman" w:hAnsi="Times New Roman" w:cs="Times New Roman"/>
          <w:sz w:val="24"/>
        </w:rPr>
        <w:t>;</w:t>
      </w:r>
      <w:r w:rsidRPr="004B59FE">
        <w:rPr>
          <w:rFonts w:ascii="Times New Roman" w:hAnsi="Times New Roman" w:cs="Times New Roman"/>
          <w:color w:val="131413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OAC, oral anticoagulation; </w:t>
      </w:r>
      <w:r w:rsidRPr="004B59FE">
        <w:rPr>
          <w:rFonts w:ascii="Times New Roman" w:hAnsi="Times New Roman" w:cs="Times New Roman"/>
          <w:sz w:val="24"/>
        </w:rPr>
        <w:t xml:space="preserve">SD, standard deviation; </w:t>
      </w:r>
      <w:r w:rsidRPr="004B59FE">
        <w:rPr>
          <w:rFonts w:ascii="Times New Roman" w:hAnsi="Times New Roman" w:cs="Times New Roman"/>
          <w:color w:val="131413"/>
          <w:sz w:val="24"/>
        </w:rPr>
        <w:t>TIA, transient ischemic attack</w:t>
      </w:r>
      <w:r>
        <w:rPr>
          <w:rFonts w:ascii="Times New Roman" w:hAnsi="Times New Roman" w:cs="Times New Roman"/>
          <w:color w:val="131413"/>
          <w:sz w:val="24"/>
        </w:rPr>
        <w:t>; VKA, vitamin K antagonists</w:t>
      </w:r>
    </w:p>
    <w:p w14:paraId="1CD669F3" w14:textId="77777777" w:rsidR="004D5581" w:rsidRPr="004B59FE" w:rsidRDefault="004D5581" w:rsidP="004D5581">
      <w:pPr>
        <w:jc w:val="both"/>
        <w:rPr>
          <w:rFonts w:ascii="Times New Roman" w:hAnsi="Times New Roman" w:cs="Times New Roman"/>
          <w:sz w:val="24"/>
        </w:rPr>
      </w:pPr>
      <w:proofErr w:type="spellStart"/>
      <w:r w:rsidRPr="004B59FE">
        <w:rPr>
          <w:rFonts w:ascii="Times New Roman" w:hAnsi="Times New Roman" w:cs="Times New Roman"/>
          <w:sz w:val="24"/>
          <w:vertAlign w:val="superscript"/>
        </w:rPr>
        <w:lastRenderedPageBreak/>
        <w:t>a</w:t>
      </w:r>
      <w:proofErr w:type="spellEnd"/>
      <w:r w:rsidRPr="004B59FE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B59FE">
        <w:rPr>
          <w:rFonts w:ascii="Times New Roman" w:hAnsi="Times New Roman" w:cs="Times New Roman"/>
          <w:sz w:val="24"/>
        </w:rPr>
        <w:t xml:space="preserve">Excluding </w:t>
      </w:r>
      <w:proofErr w:type="spellStart"/>
      <w:r w:rsidRPr="004B59FE">
        <w:rPr>
          <w:rFonts w:ascii="Times New Roman" w:hAnsi="Times New Roman" w:cs="Times New Roman"/>
          <w:sz w:val="24"/>
        </w:rPr>
        <w:t>nonmelanoma</w:t>
      </w:r>
      <w:proofErr w:type="spellEnd"/>
      <w:r w:rsidRPr="004B59FE">
        <w:rPr>
          <w:rFonts w:ascii="Times New Roman" w:hAnsi="Times New Roman" w:cs="Times New Roman"/>
          <w:sz w:val="24"/>
        </w:rPr>
        <w:t xml:space="preserve"> skin cancer. Patients with multiple malignancies were counted once.</w:t>
      </w:r>
    </w:p>
    <w:p w14:paraId="68AB5D0D" w14:textId="02B87CA5" w:rsidR="004D5581" w:rsidRPr="004B59FE" w:rsidRDefault="004D5581" w:rsidP="004D5581">
      <w:pPr>
        <w:jc w:val="both"/>
        <w:rPr>
          <w:rFonts w:ascii="Times New Roman" w:hAnsi="Times New Roman" w:cs="Times New Roman"/>
          <w:sz w:val="24"/>
        </w:rPr>
      </w:pPr>
      <w:r w:rsidRPr="004B59FE">
        <w:rPr>
          <w:rFonts w:ascii="Times New Roman" w:hAnsi="Times New Roman" w:cs="Times New Roman"/>
          <w:sz w:val="24"/>
          <w:vertAlign w:val="superscript"/>
        </w:rPr>
        <w:t>b</w:t>
      </w:r>
      <w:r w:rsidRPr="004B59FE">
        <w:rPr>
          <w:rFonts w:ascii="Times New Roman" w:hAnsi="Times New Roman" w:cs="Times New Roman"/>
          <w:sz w:val="24"/>
        </w:rPr>
        <w:t xml:space="preserve"> Prescribed</w:t>
      </w:r>
      <w:r w:rsidRPr="004B59FE">
        <w:rPr>
          <w:rFonts w:ascii="Times New Roman" w:hAnsi="Times New Roman" w:cs="Times New Roman"/>
          <w:sz w:val="24"/>
          <w:vertAlign w:val="superscript"/>
        </w:rPr>
        <w:t xml:space="preserve"> </w:t>
      </w:r>
      <w:r w:rsidRPr="004B59FE">
        <w:rPr>
          <w:rFonts w:ascii="Times New Roman" w:hAnsi="Times New Roman" w:cs="Times New Roman"/>
          <w:sz w:val="24"/>
        </w:rPr>
        <w:t xml:space="preserve">within 5 days after January 1, 2014 or </w:t>
      </w:r>
      <w:r w:rsidR="001A782E">
        <w:rPr>
          <w:rFonts w:ascii="Times New Roman" w:hAnsi="Times New Roman" w:cs="Times New Roman"/>
          <w:sz w:val="24"/>
        </w:rPr>
        <w:t>after</w:t>
      </w:r>
      <w:r>
        <w:rPr>
          <w:rFonts w:ascii="Times New Roman" w:hAnsi="Times New Roman" w:cs="Times New Roman"/>
          <w:sz w:val="24"/>
        </w:rPr>
        <w:t xml:space="preserve"> </w:t>
      </w:r>
      <w:r w:rsidRPr="004B59FE">
        <w:rPr>
          <w:rFonts w:ascii="Times New Roman" w:hAnsi="Times New Roman" w:cs="Times New Roman"/>
          <w:sz w:val="24"/>
        </w:rPr>
        <w:t>admission between January 2014 and October 2017</w:t>
      </w:r>
    </w:p>
    <w:p w14:paraId="111DAA65" w14:textId="77777777" w:rsidR="004D5581" w:rsidRPr="004B59FE" w:rsidRDefault="004D5581" w:rsidP="004D5581">
      <w:pPr>
        <w:jc w:val="both"/>
        <w:rPr>
          <w:rFonts w:ascii="Times New Roman" w:hAnsi="Times New Roman" w:cs="Times New Roman"/>
          <w:sz w:val="24"/>
        </w:rPr>
      </w:pPr>
    </w:p>
    <w:p w14:paraId="3A1EA308" w14:textId="77777777" w:rsidR="004D5581" w:rsidRPr="004B59FE" w:rsidRDefault="004D5581" w:rsidP="004D5581">
      <w:pPr>
        <w:jc w:val="both"/>
        <w:rPr>
          <w:rFonts w:ascii="Times New Roman" w:hAnsi="Times New Roman" w:cs="Times New Roman"/>
          <w:sz w:val="24"/>
        </w:rPr>
      </w:pPr>
    </w:p>
    <w:p w14:paraId="4461488A" w14:textId="77777777" w:rsidR="004D5581" w:rsidRPr="004B59FE" w:rsidRDefault="004D5581" w:rsidP="004D5581">
      <w:pPr>
        <w:spacing w:after="200" w:line="276" w:lineRule="auto"/>
        <w:rPr>
          <w:rFonts w:ascii="Times New Roman" w:hAnsi="Times New Roman" w:cs="Times New Roman"/>
          <w:sz w:val="24"/>
        </w:rPr>
      </w:pPr>
      <w:r w:rsidRPr="004B59FE">
        <w:rPr>
          <w:rFonts w:ascii="Times New Roman" w:hAnsi="Times New Roman" w:cs="Times New Roman"/>
          <w:sz w:val="24"/>
        </w:rPr>
        <w:br w:type="page"/>
      </w:r>
    </w:p>
    <w:p w14:paraId="6328BFC8" w14:textId="77777777" w:rsidR="004D5581" w:rsidRPr="004B59FE" w:rsidRDefault="004D5581" w:rsidP="004D5581">
      <w:pPr>
        <w:pStyle w:val="Heading2"/>
        <w:spacing w:line="360" w:lineRule="auto"/>
      </w:pPr>
      <w:r w:rsidRPr="004B59FE">
        <w:lastRenderedPageBreak/>
        <w:t>Supplementary Table S2. Predictors of clinical outcomes in patients with AF (N=347)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1985"/>
        <w:gridCol w:w="1091"/>
        <w:gridCol w:w="290"/>
        <w:gridCol w:w="2021"/>
        <w:gridCol w:w="992"/>
      </w:tblGrid>
      <w:tr w:rsidR="004D5581" w:rsidRPr="001F23FD" w14:paraId="5856504E" w14:textId="77777777" w:rsidTr="00936870">
        <w:tc>
          <w:tcPr>
            <w:tcW w:w="2977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2D5239D8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</w:tcPr>
          <w:p w14:paraId="4681D34F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Univariable</w:t>
            </w:r>
          </w:p>
          <w:p w14:paraId="7D944E3E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D8AAAD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90" w:type="dxa"/>
            <w:tcBorders>
              <w:top w:val="single" w:sz="4" w:space="0" w:color="auto"/>
              <w:left w:val="nil"/>
              <w:right w:val="nil"/>
            </w:tcBorders>
          </w:tcPr>
          <w:p w14:paraId="0BC8DFF0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nil"/>
              <w:right w:val="nil"/>
            </w:tcBorders>
            <w:hideMark/>
          </w:tcPr>
          <w:p w14:paraId="3443A7E5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 xml:space="preserve">Multivariable </w:t>
            </w:r>
          </w:p>
          <w:p w14:paraId="228CCE6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adjusted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0ED68FC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</w:tr>
      <w:tr w:rsidR="004D5581" w:rsidRPr="001F23FD" w14:paraId="33CD2BA0" w14:textId="77777777" w:rsidTr="00936870"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0253B51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6056739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HR (95% CI)</w:t>
            </w: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</w:tcPr>
          <w:p w14:paraId="6F9D51F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i/>
                <w:iCs/>
                <w:color w:val="131413"/>
                <w:sz w:val="24"/>
              </w:rPr>
              <w:t>P</w:t>
            </w:r>
          </w:p>
        </w:tc>
        <w:tc>
          <w:tcPr>
            <w:tcW w:w="290" w:type="dxa"/>
            <w:tcBorders>
              <w:left w:val="nil"/>
              <w:bottom w:val="single" w:sz="4" w:space="0" w:color="auto"/>
              <w:right w:val="nil"/>
            </w:tcBorders>
          </w:tcPr>
          <w:p w14:paraId="015DF64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bottom w:val="single" w:sz="4" w:space="0" w:color="auto"/>
              <w:right w:val="nil"/>
            </w:tcBorders>
          </w:tcPr>
          <w:p w14:paraId="0CBDC65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HR (95% CI)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676F4C40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i/>
                <w:i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i/>
                <w:iCs/>
                <w:color w:val="131413"/>
                <w:sz w:val="24"/>
              </w:rPr>
              <w:t>P</w:t>
            </w:r>
          </w:p>
        </w:tc>
      </w:tr>
      <w:tr w:rsidR="004D5581" w:rsidRPr="001F23FD" w14:paraId="144A7B8A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610F585D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  <w:t>TIA, stroke, or systemic embolism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4BDCD51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07A54A0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100D3A72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6687E35B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629FFE4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  <w:lang w:val="en-GB"/>
              </w:rPr>
            </w:pPr>
          </w:p>
        </w:tc>
      </w:tr>
      <w:tr w:rsidR="004D5581" w:rsidRPr="001F23FD" w14:paraId="133CD7BA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087208F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Age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9CECF8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0.98 (0.92–1.06)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DFC9283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0.64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D8D79F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478CD26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0713CF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19ED8355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202CC80D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Female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10352A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1.00 (0.28–3.58)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786D48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0.99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7A93367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7C9CAE9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1E2EEBD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161B01E6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47D40FF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OAC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D7590DC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0.55 (0.20–1.55)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24313C1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0.26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2597FB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E84AC6D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2D7A67E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4250D75B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25248B0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Diabetes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5F6676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1.15 (0.39–3.35)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8E9CEC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0.80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1CAEABDF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74043BFC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7E38A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38CAB2CB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326292B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Hypertension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AA3CD2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4.76 (0.63–36.27)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9021401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0.13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6FC6451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455CF03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AF3748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1D00E80A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5339D55C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History of TIA or stroke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CBB0C6D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1.58 (0.57–4.35)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5ED8A1E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0.38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7C872A3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1FE2AEE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65BDB8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4D22EEB9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46D28AFE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62B176E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E2E92AF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BBDEE23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30656EC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E57E61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678136D7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502D1E6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Bleeding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DF41E2C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936662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46F912C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5C52096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23F753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</w:tr>
      <w:tr w:rsidR="004D5581" w:rsidRPr="001F23FD" w14:paraId="71C91B74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6321D13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Age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363EF2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1.00 (0.92–1.08)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BDB035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0.92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C1BD55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42D4D91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A999A80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2BB9229E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4B2F3431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Female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6CF209CC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1.36 (0.30–6.15)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C6EDAB0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0.69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63C843E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14E247C5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7E8094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5DDA1BED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7871CCD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OAC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0CCD60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1.30 (0.43–4.00)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0D3AECA9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0.64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895D26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16B4BBE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E99D055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79F6DD92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136E452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Diabetes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85F3B1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0.41 (0.09–1.84)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86A9FFF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0.24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D88CDC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444B4AD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78239F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6616AC50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0E9F1B42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Hypertension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8E5782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4.20 (0.55–32.37)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63EA34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0.17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C0B4027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6A8CBB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49C2A7C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242688B8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0EDD6E07" w14:textId="77777777" w:rsidR="004D5581" w:rsidRPr="004D5581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History of TIA or stroke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FD2CAC6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0.57 (0.18–1.86)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4B9EBAA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0.36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B92BB83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73079DE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9BFF4FF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4D5581" w:rsidRPr="001F23FD" w14:paraId="54ACFDB0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7557C98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3DAC284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A651BA5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3E24CAD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BA46A7B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D95BE28" w14:textId="77777777" w:rsidR="004D5581" w:rsidRPr="001F23FD" w:rsidRDefault="004D5581" w:rsidP="0093687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315FB0" w:rsidRPr="001F23FD" w14:paraId="1AD6160F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0B8D3E21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  <w:t>Death from any cause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44952EC3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A2FC037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4EDBB80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2F3ED5D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89EB017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131413"/>
                <w:sz w:val="24"/>
              </w:rPr>
            </w:pPr>
          </w:p>
        </w:tc>
      </w:tr>
      <w:tr w:rsidR="00315FB0" w:rsidRPr="001F23FD" w14:paraId="06EBB9A7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2218FDAA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Age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3C82FC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1.03 (1.01–1.06)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21DE015F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&lt;0.01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5CE75AB3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328F5FEB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1.04 (1.01–1.06)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15F7A83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&lt;0.01</w:t>
            </w:r>
          </w:p>
        </w:tc>
      </w:tr>
      <w:tr w:rsidR="00315FB0" w:rsidRPr="001F23FD" w14:paraId="1C82A5BC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1C3DE8C7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Female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E17DB1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0.58 (0.43–0.78)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443D7938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&lt;0.001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5602E17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55D4EC8A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0.53 (0.38–0.76)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4834F3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&lt;0.001</w:t>
            </w:r>
          </w:p>
        </w:tc>
      </w:tr>
      <w:tr w:rsidR="00315FB0" w:rsidRPr="001F23FD" w14:paraId="783E91F9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5B1CCBFA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OAC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7ACA15E0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0.62 (0.47–0.82)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5B62D55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&lt;0.001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28F5F291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7E67729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0.77 (0.56–1.06)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1A45430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0.11</w:t>
            </w:r>
          </w:p>
        </w:tc>
      </w:tr>
      <w:tr w:rsidR="00315FB0" w:rsidRPr="001F23FD" w14:paraId="1512F80A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1372E3D0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Diabetes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99A5AD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1.25 (0.94–1.68)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19B870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0.13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7697F5BA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3EBAC6D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E6B4A6D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315FB0" w:rsidRPr="001F23FD" w14:paraId="39202EA9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13C25334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Hypertension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20FEB4E1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0.97 (0.70–1.34)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666DDE0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0.83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1FEC690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4B86C06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B9047D3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315FB0" w:rsidRPr="001F23FD" w14:paraId="6863D01E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22AAEE66" w14:textId="77777777" w:rsidR="00315FB0" w:rsidRPr="004D5581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  <w:lang w:val="en-GB"/>
              </w:rPr>
            </w:pPr>
            <w:r w:rsidRPr="004D5581">
              <w:rPr>
                <w:rFonts w:ascii="Times New Roman" w:hAnsi="Times New Roman" w:cs="Times New Roman"/>
                <w:color w:val="131413"/>
                <w:sz w:val="24"/>
                <w:lang w:val="en-GB"/>
              </w:rPr>
              <w:t>History of TIA or stroke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12889334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1.06 (0.80–1.41)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1C83E4B2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0.67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0AE939FD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306250AA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6BD549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315FB0" w:rsidRPr="001F23FD" w14:paraId="325CABCF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5833FADE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BMI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5D2C0D09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0.95 (0.92–0.98)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7DFCEBCE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&lt;0.001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6AEF405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7784F371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0.96 (0.93–0.99)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427C3727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&lt;0.01</w:t>
            </w:r>
          </w:p>
        </w:tc>
      </w:tr>
      <w:tr w:rsidR="00315FB0" w:rsidRPr="001F23FD" w14:paraId="36F8ED8B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2837F978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Solid or hematologic malignancy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066A3F33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1.76 (1.23–2.52)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5072965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&lt;0.01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6ECBE56D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1F2D695B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1.40 (0.93–2.12)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C2F8B1F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0.11</w:t>
            </w:r>
          </w:p>
        </w:tc>
      </w:tr>
      <w:tr w:rsidR="00315FB0" w:rsidRPr="001F23FD" w14:paraId="1D3EC389" w14:textId="77777777" w:rsidTr="00936870">
        <w:tc>
          <w:tcPr>
            <w:tcW w:w="2977" w:type="dxa"/>
            <w:tcBorders>
              <w:left w:val="nil"/>
              <w:right w:val="nil"/>
            </w:tcBorders>
          </w:tcPr>
          <w:p w14:paraId="06BDB9B4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 xml:space="preserve">History of bleeding </w:t>
            </w:r>
          </w:p>
        </w:tc>
        <w:tc>
          <w:tcPr>
            <w:tcW w:w="1985" w:type="dxa"/>
            <w:tcBorders>
              <w:left w:val="nil"/>
              <w:right w:val="nil"/>
            </w:tcBorders>
          </w:tcPr>
          <w:p w14:paraId="3789D774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0.75 (0.48–1.18)</w:t>
            </w:r>
          </w:p>
        </w:tc>
        <w:tc>
          <w:tcPr>
            <w:tcW w:w="1091" w:type="dxa"/>
            <w:tcBorders>
              <w:left w:val="nil"/>
              <w:right w:val="nil"/>
            </w:tcBorders>
          </w:tcPr>
          <w:p w14:paraId="3E1B454C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0.22</w:t>
            </w:r>
          </w:p>
        </w:tc>
        <w:tc>
          <w:tcPr>
            <w:tcW w:w="290" w:type="dxa"/>
            <w:tcBorders>
              <w:left w:val="nil"/>
              <w:right w:val="nil"/>
            </w:tcBorders>
          </w:tcPr>
          <w:p w14:paraId="373E4B61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right w:val="nil"/>
            </w:tcBorders>
          </w:tcPr>
          <w:p w14:paraId="6BDE88C0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33116A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  <w:tr w:rsidR="00315FB0" w:rsidRPr="001F23FD" w14:paraId="2BB75FC1" w14:textId="77777777" w:rsidTr="00936870">
        <w:tc>
          <w:tcPr>
            <w:tcW w:w="2977" w:type="dxa"/>
            <w:tcBorders>
              <w:left w:val="nil"/>
              <w:bottom w:val="single" w:sz="4" w:space="0" w:color="auto"/>
              <w:right w:val="nil"/>
            </w:tcBorders>
          </w:tcPr>
          <w:p w14:paraId="0BE0217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HAS-BLED score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</w:tcPr>
          <w:p w14:paraId="3070524F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1.01 (0.88–1.17)</w:t>
            </w:r>
          </w:p>
        </w:tc>
        <w:tc>
          <w:tcPr>
            <w:tcW w:w="1091" w:type="dxa"/>
            <w:tcBorders>
              <w:left w:val="nil"/>
              <w:bottom w:val="single" w:sz="4" w:space="0" w:color="auto"/>
              <w:right w:val="nil"/>
            </w:tcBorders>
          </w:tcPr>
          <w:p w14:paraId="60125B24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  <w:r w:rsidRPr="001F23FD">
              <w:rPr>
                <w:rFonts w:ascii="Times New Roman" w:hAnsi="Times New Roman" w:cs="Times New Roman"/>
                <w:color w:val="131413"/>
                <w:sz w:val="24"/>
              </w:rPr>
              <w:t>0.86</w:t>
            </w:r>
          </w:p>
        </w:tc>
        <w:tc>
          <w:tcPr>
            <w:tcW w:w="290" w:type="dxa"/>
            <w:tcBorders>
              <w:left w:val="nil"/>
              <w:bottom w:val="single" w:sz="4" w:space="0" w:color="auto"/>
              <w:right w:val="nil"/>
            </w:tcBorders>
          </w:tcPr>
          <w:p w14:paraId="3B3F67FE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2021" w:type="dxa"/>
            <w:tcBorders>
              <w:left w:val="nil"/>
              <w:bottom w:val="single" w:sz="4" w:space="0" w:color="auto"/>
              <w:right w:val="nil"/>
            </w:tcBorders>
          </w:tcPr>
          <w:p w14:paraId="0A85550B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381C2B56" w14:textId="77777777" w:rsidR="00315FB0" w:rsidRPr="001F23FD" w:rsidRDefault="00315FB0" w:rsidP="00315FB0">
            <w:pPr>
              <w:tabs>
                <w:tab w:val="left" w:pos="270"/>
              </w:tabs>
              <w:spacing w:line="276" w:lineRule="auto"/>
              <w:rPr>
                <w:rFonts w:ascii="Times New Roman" w:hAnsi="Times New Roman" w:cs="Times New Roman"/>
                <w:color w:val="131413"/>
                <w:sz w:val="24"/>
              </w:rPr>
            </w:pPr>
          </w:p>
        </w:tc>
      </w:tr>
    </w:tbl>
    <w:p w14:paraId="34E13CF7" w14:textId="77777777" w:rsidR="004D5581" w:rsidRDefault="004D5581" w:rsidP="004D5581">
      <w:pPr>
        <w:tabs>
          <w:tab w:val="left" w:pos="270"/>
        </w:tabs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F23FD">
        <w:rPr>
          <w:rFonts w:ascii="Times New Roman" w:hAnsi="Times New Roman" w:cs="Times New Roman"/>
          <w:b/>
          <w:color w:val="131413"/>
          <w:sz w:val="24"/>
        </w:rPr>
        <w:t>Abbreviations</w:t>
      </w:r>
      <w:r w:rsidRPr="001F23FD">
        <w:rPr>
          <w:rFonts w:ascii="Times New Roman" w:hAnsi="Times New Roman" w:cs="Times New Roman"/>
          <w:color w:val="131413"/>
          <w:sz w:val="24"/>
        </w:rPr>
        <w:t>: AF, atrial fibrillation; BMI, body mass index; CI, confidence interval; HR, hazard ratio; N, number of patients; OAC, oral anticoagulation; TIA, transient ischemic attack</w:t>
      </w:r>
    </w:p>
    <w:p w14:paraId="6C182AF0" w14:textId="6FEB5E20" w:rsidR="00076834" w:rsidRDefault="00076834">
      <w:pPr>
        <w:spacing w:after="160" w:line="259" w:lineRule="auto"/>
        <w:rPr>
          <w:rFonts w:ascii="Times New Roman" w:hAnsi="Times New Roman" w:cs="Times New Roman"/>
          <w:b/>
          <w:sz w:val="24"/>
          <w:lang w:eastAsia="de-DE"/>
        </w:rPr>
      </w:pPr>
      <w:r>
        <w:br w:type="page"/>
      </w:r>
    </w:p>
    <w:p w14:paraId="14626B18" w14:textId="77777777" w:rsidR="00BE2F4B" w:rsidRPr="00C11499" w:rsidRDefault="00BE2F4B" w:rsidP="00BE2F4B">
      <w:pPr>
        <w:pStyle w:val="Heading2"/>
        <w:spacing w:line="360" w:lineRule="auto"/>
      </w:pPr>
      <w:bookmarkStart w:id="3" w:name="_Hlk111408277"/>
      <w:r w:rsidRPr="004B59FE">
        <w:lastRenderedPageBreak/>
        <w:t xml:space="preserve">Supplementary </w:t>
      </w:r>
      <w:r>
        <w:t>Figure S1</w:t>
      </w:r>
      <w:r w:rsidRPr="004B59FE">
        <w:t xml:space="preserve">. </w:t>
      </w:r>
      <w:r>
        <w:t>Illustration of the study design</w:t>
      </w:r>
    </w:p>
    <w:bookmarkEnd w:id="3"/>
    <w:p w14:paraId="2E203463" w14:textId="77777777" w:rsidR="00F73BD9" w:rsidRDefault="00F73BD9"/>
    <w:p w14:paraId="0ECDEC04" w14:textId="1FD18B99" w:rsidR="00F73BD9" w:rsidRDefault="00CA1AC8">
      <w:r>
        <w:object w:dxaOrig="9691" w:dyaOrig="8550" w14:anchorId="79107A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pt;height:366pt" o:ole="">
            <v:imagedata r:id="rId6" o:title=""/>
          </v:shape>
          <o:OLEObject Type="Embed" ProgID="Visio.Drawing.15" ShapeID="_x0000_i1025" DrawAspect="Content" ObjectID="_1726666998" r:id="rId7"/>
        </w:object>
      </w:r>
    </w:p>
    <w:p w14:paraId="1E0840B2" w14:textId="3DA6A084" w:rsidR="00076834" w:rsidRDefault="00076834"/>
    <w:p w14:paraId="3C68B61B" w14:textId="181EEE98" w:rsidR="00076834" w:rsidRDefault="00076834"/>
    <w:p w14:paraId="75B40D50" w14:textId="176FBCF0" w:rsidR="00076834" w:rsidRDefault="00076834">
      <w:pPr>
        <w:spacing w:after="160" w:line="259" w:lineRule="auto"/>
      </w:pPr>
      <w:r>
        <w:br w:type="page"/>
      </w:r>
    </w:p>
    <w:p w14:paraId="59595CAC" w14:textId="4D1B7DEC" w:rsidR="00BE2F4B" w:rsidRDefault="00BE2F4B" w:rsidP="00BE2F4B">
      <w:pPr>
        <w:pStyle w:val="Heading2"/>
        <w:spacing w:line="360" w:lineRule="auto"/>
        <w:rPr>
          <w:bCs/>
          <w:lang w:val="en-GB"/>
        </w:rPr>
      </w:pPr>
      <w:r w:rsidRPr="004B59FE">
        <w:lastRenderedPageBreak/>
        <w:t xml:space="preserve">Supplementary </w:t>
      </w:r>
      <w:r>
        <w:t>Figure S2</w:t>
      </w:r>
      <w:r w:rsidRPr="004B59FE">
        <w:t xml:space="preserve">. </w:t>
      </w:r>
      <w:r>
        <w:t xml:space="preserve">Cumulative incidence curve for the </w:t>
      </w:r>
      <w:r>
        <w:rPr>
          <w:bCs/>
          <w:lang w:val="en-GB"/>
        </w:rPr>
        <w:t xml:space="preserve">composite endpoint of stroke, TIA, systemic </w:t>
      </w:r>
      <w:r w:rsidR="00F27124">
        <w:rPr>
          <w:bCs/>
          <w:lang w:val="en-GB"/>
        </w:rPr>
        <w:t>embolism,</w:t>
      </w:r>
      <w:r>
        <w:rPr>
          <w:bCs/>
          <w:lang w:val="en-GB"/>
        </w:rPr>
        <w:t xml:space="preserve"> or bleeding according to atrial fibrillation and oral anticoagulation</w:t>
      </w:r>
    </w:p>
    <w:p w14:paraId="7223C0DA" w14:textId="60AA645A" w:rsidR="00076834" w:rsidRDefault="00076834" w:rsidP="00076834">
      <w:pPr>
        <w:rPr>
          <w:lang w:val="en-GB" w:eastAsia="de-DE"/>
        </w:rPr>
      </w:pPr>
    </w:p>
    <w:p w14:paraId="13F331E4" w14:textId="14DCEA0A" w:rsidR="00CA1AC8" w:rsidRDefault="000A4DE1" w:rsidP="00076834">
      <w:pPr>
        <w:rPr>
          <w:lang w:val="en-GB" w:eastAsia="de-DE"/>
        </w:rPr>
      </w:pPr>
      <w:r>
        <w:rPr>
          <w:noProof/>
        </w:rPr>
        <w:drawing>
          <wp:inline distT="0" distB="0" distL="0" distR="0" wp14:anchorId="3AE26BC1" wp14:editId="3F9659B9">
            <wp:extent cx="5588000" cy="4059936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3" t="1745" r="1841" b="1383"/>
                    <a:stretch/>
                  </pic:blipFill>
                  <pic:spPr bwMode="auto">
                    <a:xfrm>
                      <a:off x="0" y="0"/>
                      <a:ext cx="5588805" cy="406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A24659" w14:textId="77777777" w:rsidR="00CA1AC8" w:rsidRDefault="00CA1AC8" w:rsidP="00076834">
      <w:pPr>
        <w:rPr>
          <w:lang w:val="en-GB" w:eastAsia="de-DE"/>
        </w:rPr>
      </w:pPr>
    </w:p>
    <w:p w14:paraId="03D8C5F6" w14:textId="7AC0A037" w:rsidR="00076834" w:rsidRPr="00C734EB" w:rsidRDefault="00C734EB" w:rsidP="00076834">
      <w:pPr>
        <w:rPr>
          <w:rFonts w:ascii="Times New Roman" w:hAnsi="Times New Roman" w:cs="Times New Roman"/>
          <w:sz w:val="24"/>
          <w:lang w:val="en-GB" w:eastAsia="de-DE"/>
        </w:rPr>
      </w:pPr>
      <w:r w:rsidRPr="00C734EB">
        <w:rPr>
          <w:rFonts w:ascii="Times New Roman" w:hAnsi="Times New Roman" w:cs="Times New Roman"/>
          <w:sz w:val="24"/>
          <w:lang w:val="en-GB" w:eastAsia="de-DE"/>
        </w:rPr>
        <w:t xml:space="preserve">Note: </w:t>
      </w:r>
      <w:r w:rsidR="00CA1AC8" w:rsidRPr="00C734EB">
        <w:rPr>
          <w:rFonts w:ascii="Times New Roman" w:hAnsi="Times New Roman" w:cs="Times New Roman"/>
          <w:sz w:val="24"/>
          <w:lang w:val="en-GB" w:eastAsia="de-DE"/>
        </w:rPr>
        <w:t xml:space="preserve">The y-axis scale </w:t>
      </w:r>
      <w:r w:rsidRPr="00C734EB">
        <w:rPr>
          <w:rFonts w:ascii="Times New Roman" w:hAnsi="Times New Roman" w:cs="Times New Roman"/>
          <w:sz w:val="24"/>
          <w:lang w:val="en-GB" w:eastAsia="de-DE"/>
        </w:rPr>
        <w:t>is limited to</w:t>
      </w:r>
      <w:r w:rsidR="00CA1AC8" w:rsidRPr="00C734EB">
        <w:rPr>
          <w:rFonts w:ascii="Times New Roman" w:hAnsi="Times New Roman" w:cs="Times New Roman"/>
          <w:sz w:val="24"/>
          <w:lang w:val="en-GB" w:eastAsia="de-DE"/>
        </w:rPr>
        <w:t xml:space="preserve"> </w:t>
      </w:r>
      <w:r w:rsidRPr="00C734EB">
        <w:rPr>
          <w:rFonts w:ascii="Times New Roman" w:hAnsi="Times New Roman" w:cs="Times New Roman"/>
          <w:sz w:val="24"/>
          <w:lang w:val="en-GB" w:eastAsia="de-DE"/>
        </w:rPr>
        <w:t>5</w:t>
      </w:r>
      <w:r w:rsidR="000A4DE1">
        <w:rPr>
          <w:rFonts w:ascii="Times New Roman" w:hAnsi="Times New Roman" w:cs="Times New Roman"/>
          <w:sz w:val="24"/>
          <w:lang w:val="en-GB" w:eastAsia="de-DE"/>
        </w:rPr>
        <w:t>0</w:t>
      </w:r>
      <w:r w:rsidRPr="00C734EB">
        <w:rPr>
          <w:rFonts w:ascii="Times New Roman" w:hAnsi="Times New Roman" w:cs="Times New Roman"/>
          <w:sz w:val="24"/>
          <w:lang w:val="en-GB" w:eastAsia="de-DE"/>
        </w:rPr>
        <w:t>%.</w:t>
      </w:r>
    </w:p>
    <w:sectPr w:rsidR="00076834" w:rsidRPr="00C734EB" w:rsidSect="008816F1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096D9" w14:textId="77777777" w:rsidR="000B56AD" w:rsidRDefault="000B56AD">
      <w:r>
        <w:separator/>
      </w:r>
    </w:p>
  </w:endnote>
  <w:endnote w:type="continuationSeparator" w:id="0">
    <w:p w14:paraId="74A2195D" w14:textId="77777777" w:rsidR="000B56AD" w:rsidRDefault="000B5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321144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FEC9F01" w14:textId="77777777" w:rsidR="00BB1B94" w:rsidRPr="0041220E" w:rsidRDefault="004D5581">
        <w:pPr>
          <w:pStyle w:val="Footer"/>
          <w:jc w:val="right"/>
          <w:rPr>
            <w:rFonts w:ascii="Times New Roman" w:hAnsi="Times New Roman" w:cs="Times New Roman"/>
          </w:rPr>
        </w:pPr>
        <w:r w:rsidRPr="0041220E">
          <w:rPr>
            <w:rFonts w:ascii="Times New Roman" w:hAnsi="Times New Roman" w:cs="Times New Roman"/>
          </w:rPr>
          <w:fldChar w:fldCharType="begin"/>
        </w:r>
        <w:r w:rsidRPr="0041220E">
          <w:rPr>
            <w:rFonts w:ascii="Times New Roman" w:hAnsi="Times New Roman" w:cs="Times New Roman"/>
          </w:rPr>
          <w:instrText>PAGE   \* MERGEFORMAT</w:instrText>
        </w:r>
        <w:r w:rsidRPr="0041220E">
          <w:rPr>
            <w:rFonts w:ascii="Times New Roman" w:hAnsi="Times New Roman" w:cs="Times New Roman"/>
          </w:rPr>
          <w:fldChar w:fldCharType="separate"/>
        </w:r>
        <w:r w:rsidR="0055650E" w:rsidRPr="0055650E">
          <w:rPr>
            <w:rFonts w:ascii="Times New Roman" w:hAnsi="Times New Roman" w:cs="Times New Roman"/>
            <w:noProof/>
            <w:lang w:val="de-DE"/>
          </w:rPr>
          <w:t>3</w:t>
        </w:r>
        <w:r w:rsidRPr="0041220E">
          <w:rPr>
            <w:rFonts w:ascii="Times New Roman" w:hAnsi="Times New Roman" w:cs="Times New Roman"/>
          </w:rPr>
          <w:fldChar w:fldCharType="end"/>
        </w:r>
      </w:p>
    </w:sdtContent>
  </w:sdt>
  <w:p w14:paraId="739CC9F1" w14:textId="77777777" w:rsidR="00BB1B94" w:rsidRDefault="005565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A781A" w14:textId="77777777" w:rsidR="000B56AD" w:rsidRDefault="000B56AD">
      <w:r>
        <w:separator/>
      </w:r>
    </w:p>
  </w:footnote>
  <w:footnote w:type="continuationSeparator" w:id="0">
    <w:p w14:paraId="167C4989" w14:textId="77777777" w:rsidR="000B56AD" w:rsidRDefault="000B5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81"/>
    <w:rsid w:val="00076834"/>
    <w:rsid w:val="00086733"/>
    <w:rsid w:val="000A4DE1"/>
    <w:rsid w:val="000B56AD"/>
    <w:rsid w:val="001A782E"/>
    <w:rsid w:val="00315E29"/>
    <w:rsid w:val="00315FB0"/>
    <w:rsid w:val="00464814"/>
    <w:rsid w:val="004D5581"/>
    <w:rsid w:val="00522611"/>
    <w:rsid w:val="0055650E"/>
    <w:rsid w:val="006051B6"/>
    <w:rsid w:val="00643285"/>
    <w:rsid w:val="006776EF"/>
    <w:rsid w:val="007F49EC"/>
    <w:rsid w:val="007F5362"/>
    <w:rsid w:val="00823B35"/>
    <w:rsid w:val="0088173C"/>
    <w:rsid w:val="00AA635E"/>
    <w:rsid w:val="00B5381F"/>
    <w:rsid w:val="00B86469"/>
    <w:rsid w:val="00BE2F4B"/>
    <w:rsid w:val="00C70850"/>
    <w:rsid w:val="00C734EB"/>
    <w:rsid w:val="00C944AA"/>
    <w:rsid w:val="00CA1AC8"/>
    <w:rsid w:val="00CB781B"/>
    <w:rsid w:val="00D40B49"/>
    <w:rsid w:val="00E263EA"/>
    <w:rsid w:val="00F27124"/>
    <w:rsid w:val="00F7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81F9E64"/>
  <w15:chartTrackingRefBased/>
  <w15:docId w15:val="{D2BDFE71-6ACA-42B7-826E-469FD9B6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5581"/>
    <w:pPr>
      <w:spacing w:after="0" w:line="240" w:lineRule="auto"/>
    </w:pPr>
    <w:rPr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5581"/>
    <w:pPr>
      <w:spacing w:line="480" w:lineRule="auto"/>
      <w:jc w:val="both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5581"/>
    <w:pPr>
      <w:spacing w:line="480" w:lineRule="auto"/>
      <w:jc w:val="both"/>
      <w:outlineLvl w:val="1"/>
    </w:pPr>
    <w:rPr>
      <w:rFonts w:ascii="Times New Roman" w:hAnsi="Times New Roman" w:cs="Times New Roman"/>
      <w:b/>
      <w:sz w:val="24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581"/>
    <w:rPr>
      <w:rFonts w:ascii="Times New Roman" w:hAnsi="Times New Roman" w:cs="Times New Roman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D5581"/>
    <w:rPr>
      <w:rFonts w:ascii="Times New Roman" w:hAnsi="Times New Roman" w:cs="Times New Roman"/>
      <w:b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unhideWhenUsed/>
    <w:rsid w:val="004D55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581"/>
    <w:rPr>
      <w:szCs w:val="24"/>
    </w:rPr>
  </w:style>
  <w:style w:type="table" w:styleId="TableGrid">
    <w:name w:val="Table Grid"/>
    <w:basedOn w:val="TableNormal"/>
    <w:uiPriority w:val="59"/>
    <w:rsid w:val="004D5581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efaultParagraphFont"/>
    <w:rsid w:val="00643285"/>
  </w:style>
  <w:style w:type="character" w:styleId="Emphasis">
    <w:name w:val="Emphasis"/>
    <w:basedOn w:val="DefaultParagraphFont"/>
    <w:uiPriority w:val="20"/>
    <w:qFormat/>
    <w:rsid w:val="00643285"/>
    <w:rPr>
      <w:i/>
      <w:iCs/>
    </w:rPr>
  </w:style>
  <w:style w:type="paragraph" w:customStyle="1" w:styleId="Default">
    <w:name w:val="Default"/>
    <w:rsid w:val="006432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package" Target="embeddings/Microsoft_Visio_Drawing1.vsd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Gernot Wagner</dc:creator>
  <cp:keywords/>
  <dc:description/>
  <cp:lastModifiedBy>Asha Mol S.P.</cp:lastModifiedBy>
  <cp:revision>14</cp:revision>
  <dcterms:created xsi:type="dcterms:W3CDTF">2021-10-24T19:21:00Z</dcterms:created>
  <dcterms:modified xsi:type="dcterms:W3CDTF">2022-10-07T11:27:00Z</dcterms:modified>
</cp:coreProperties>
</file>