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109FD7E" w14:textId="053F9340" w:rsidR="00600DDB" w:rsidRDefault="001D5217" w:rsidP="001D5217">
      <w:pPr>
        <w:pStyle w:val="Heading1"/>
        <w:spacing w:before="0"/>
        <w:rPr>
          <w:rFonts w:asciiTheme="majorBidi" w:hAnsiTheme="majorBidi" w:cstheme="majorBidi"/>
          <w:b/>
          <w:bCs/>
          <w:color w:val="000000" w:themeColor="text1"/>
          <w:sz w:val="28"/>
          <w:szCs w:val="28"/>
        </w:rPr>
      </w:pPr>
      <w:bookmarkStart w:id="0" w:name="_GoBack"/>
      <w:bookmarkEnd w:id="0"/>
      <w:r>
        <w:rPr>
          <w:rFonts w:asciiTheme="majorBidi" w:hAnsiTheme="majorBidi" w:cstheme="majorBidi"/>
          <w:b/>
          <w:bCs/>
          <w:color w:val="000000" w:themeColor="text1"/>
          <w:sz w:val="28"/>
          <w:szCs w:val="28"/>
        </w:rPr>
        <w:t xml:space="preserve">SUPP </w:t>
      </w:r>
      <w:r w:rsidR="00D50200">
        <w:rPr>
          <w:rFonts w:asciiTheme="majorBidi" w:hAnsiTheme="majorBidi" w:cstheme="majorBidi"/>
          <w:b/>
          <w:bCs/>
          <w:color w:val="000000" w:themeColor="text1"/>
          <w:sz w:val="28"/>
          <w:szCs w:val="28"/>
        </w:rPr>
        <w:t xml:space="preserve">S1: </w:t>
      </w:r>
      <w:r w:rsidR="00600DDB" w:rsidRPr="00F66200">
        <w:rPr>
          <w:rFonts w:asciiTheme="majorBidi" w:hAnsiTheme="majorBidi" w:cstheme="majorBidi"/>
          <w:b/>
          <w:bCs/>
          <w:color w:val="000000" w:themeColor="text1"/>
          <w:sz w:val="28"/>
          <w:szCs w:val="28"/>
        </w:rPr>
        <w:t xml:space="preserve">MATERIALS AND METHODS </w:t>
      </w:r>
    </w:p>
    <w:p w14:paraId="474E80B9" w14:textId="77777777" w:rsidR="00600DDB" w:rsidRDefault="00600DDB" w:rsidP="00600DDB">
      <w:pPr>
        <w:pStyle w:val="Heading1"/>
        <w:spacing w:before="0" w:line="360" w:lineRule="auto"/>
        <w:rPr>
          <w:color w:val="auto"/>
          <w:sz w:val="22"/>
          <w:szCs w:val="22"/>
        </w:rPr>
      </w:pPr>
      <w:bookmarkStart w:id="1" w:name="_Toc102008001"/>
    </w:p>
    <w:p w14:paraId="29AD0AA8" w14:textId="77777777" w:rsidR="00600DDB" w:rsidRPr="00F66200" w:rsidRDefault="00600DDB" w:rsidP="00600DDB">
      <w:pPr>
        <w:pStyle w:val="Heading1"/>
        <w:spacing w:before="0" w:line="360" w:lineRule="auto"/>
        <w:rPr>
          <w:rFonts w:asciiTheme="majorBidi" w:hAnsiTheme="majorBidi" w:cstheme="majorBidi"/>
          <w:b/>
          <w:bCs/>
          <w:color w:val="000000" w:themeColor="text1"/>
          <w:sz w:val="24"/>
          <w:szCs w:val="24"/>
        </w:rPr>
      </w:pPr>
      <w:r w:rsidRPr="00F66200">
        <w:rPr>
          <w:rFonts w:asciiTheme="majorBidi" w:hAnsiTheme="majorBidi" w:cstheme="majorBidi"/>
          <w:b/>
          <w:bCs/>
          <w:color w:val="000000" w:themeColor="text1"/>
          <w:sz w:val="24"/>
          <w:szCs w:val="24"/>
        </w:rPr>
        <w:t>Subjects</w:t>
      </w:r>
      <w:bookmarkEnd w:id="1"/>
    </w:p>
    <w:p w14:paraId="6E7E9383" w14:textId="77777777" w:rsidR="00600DDB" w:rsidRPr="001855AA" w:rsidRDefault="00600DDB" w:rsidP="00702EEB">
      <w:pPr>
        <w:spacing w:after="0" w:line="360" w:lineRule="auto"/>
        <w:jc w:val="both"/>
        <w:rPr>
          <w:rFonts w:asciiTheme="majorBidi" w:hAnsiTheme="majorBidi" w:cstheme="majorBidi"/>
          <w:sz w:val="24"/>
          <w:szCs w:val="24"/>
        </w:rPr>
      </w:pPr>
      <w:r w:rsidRPr="001855AA">
        <w:rPr>
          <w:rFonts w:asciiTheme="majorBidi" w:hAnsiTheme="majorBidi" w:cstheme="majorBidi"/>
          <w:sz w:val="24"/>
          <w:szCs w:val="24"/>
        </w:rPr>
        <w:t>Affected individuals</w:t>
      </w:r>
      <w:r w:rsidRPr="00FA1D82">
        <w:rPr>
          <w:rFonts w:asciiTheme="majorBidi" w:hAnsiTheme="majorBidi" w:cstheme="majorBidi"/>
          <w:sz w:val="24"/>
          <w:szCs w:val="24"/>
        </w:rPr>
        <w:t xml:space="preserve"> </w:t>
      </w:r>
      <w:r w:rsidRPr="001855AA">
        <w:rPr>
          <w:rFonts w:asciiTheme="majorBidi" w:hAnsiTheme="majorBidi" w:cstheme="majorBidi"/>
          <w:sz w:val="24"/>
          <w:szCs w:val="24"/>
        </w:rPr>
        <w:t xml:space="preserve">enrolled in this study were selected from patients </w:t>
      </w:r>
      <w:r>
        <w:rPr>
          <w:rFonts w:asciiTheme="majorBidi" w:hAnsiTheme="majorBidi" w:cstheme="majorBidi"/>
          <w:sz w:val="24"/>
          <w:szCs w:val="24"/>
        </w:rPr>
        <w:t xml:space="preserve">who </w:t>
      </w:r>
      <w:r w:rsidRPr="001855AA">
        <w:rPr>
          <w:rFonts w:asciiTheme="majorBidi" w:hAnsiTheme="majorBidi" w:cstheme="majorBidi"/>
          <w:sz w:val="24"/>
          <w:szCs w:val="24"/>
        </w:rPr>
        <w:t xml:space="preserve">attended </w:t>
      </w:r>
      <w:r>
        <w:rPr>
          <w:rFonts w:asciiTheme="majorBidi" w:hAnsiTheme="majorBidi" w:cstheme="majorBidi"/>
          <w:sz w:val="24"/>
          <w:szCs w:val="24"/>
        </w:rPr>
        <w:t xml:space="preserve">Sultan Qaboos University Hospital or </w:t>
      </w:r>
      <w:r w:rsidRPr="001855AA">
        <w:rPr>
          <w:rFonts w:asciiTheme="majorBidi" w:hAnsiTheme="majorBidi" w:cstheme="majorBidi"/>
          <w:sz w:val="24"/>
          <w:szCs w:val="24"/>
        </w:rPr>
        <w:t>the National Genetic Center at Royal Hospital</w:t>
      </w:r>
      <w:r>
        <w:rPr>
          <w:rFonts w:asciiTheme="majorBidi" w:hAnsiTheme="majorBidi" w:cstheme="majorBidi"/>
          <w:sz w:val="24"/>
          <w:szCs w:val="24"/>
        </w:rPr>
        <w:t>, Muscat, Oman</w:t>
      </w:r>
      <w:r w:rsidRPr="001855AA">
        <w:rPr>
          <w:rFonts w:asciiTheme="majorBidi" w:hAnsiTheme="majorBidi" w:cstheme="majorBidi"/>
          <w:sz w:val="24"/>
          <w:szCs w:val="24"/>
        </w:rPr>
        <w:t xml:space="preserve">. Medical geneticists were engaged in selecting the families for the study and characterizing the clinical phenotype. </w:t>
      </w:r>
      <w:r w:rsidR="000C615A" w:rsidRPr="000C615A">
        <w:rPr>
          <w:rFonts w:asciiTheme="majorBidi" w:hAnsiTheme="majorBidi" w:cstheme="majorBidi"/>
          <w:sz w:val="24"/>
          <w:szCs w:val="24"/>
        </w:rPr>
        <w:t>The target patients included in this study presented with global developmental delay or intellectual disability</w:t>
      </w:r>
      <w:r w:rsidR="00D50200">
        <w:rPr>
          <w:rFonts w:asciiTheme="majorBidi" w:hAnsiTheme="majorBidi" w:cstheme="majorBidi"/>
          <w:sz w:val="24"/>
          <w:szCs w:val="24"/>
        </w:rPr>
        <w:t>.</w:t>
      </w:r>
      <w:r w:rsidR="004734F7">
        <w:rPr>
          <w:rFonts w:asciiTheme="majorBidi" w:hAnsiTheme="majorBidi" w:cstheme="majorBidi"/>
          <w:sz w:val="24"/>
          <w:szCs w:val="24"/>
        </w:rPr>
        <w:t xml:space="preserve"> </w:t>
      </w:r>
      <w:r w:rsidR="006016D5">
        <w:rPr>
          <w:rFonts w:asciiTheme="majorBidi" w:hAnsiTheme="majorBidi" w:cstheme="majorBidi"/>
          <w:sz w:val="24"/>
          <w:szCs w:val="24"/>
        </w:rPr>
        <w:t>The a</w:t>
      </w:r>
      <w:r w:rsidR="000C615A" w:rsidRPr="000C615A">
        <w:rPr>
          <w:rFonts w:asciiTheme="majorBidi" w:hAnsiTheme="majorBidi" w:cstheme="majorBidi"/>
          <w:sz w:val="24"/>
          <w:szCs w:val="24"/>
        </w:rPr>
        <w:t xml:space="preserve">ssessment included </w:t>
      </w:r>
      <w:r w:rsidR="001B7C28">
        <w:rPr>
          <w:rFonts w:asciiTheme="majorBidi" w:hAnsiTheme="majorBidi" w:cstheme="majorBidi"/>
          <w:sz w:val="24"/>
          <w:szCs w:val="24"/>
        </w:rPr>
        <w:t xml:space="preserve">clinical </w:t>
      </w:r>
      <w:r w:rsidR="000C615A" w:rsidRPr="000C615A">
        <w:rPr>
          <w:rFonts w:asciiTheme="majorBidi" w:hAnsiTheme="majorBidi" w:cstheme="majorBidi"/>
          <w:sz w:val="24"/>
          <w:szCs w:val="24"/>
        </w:rPr>
        <w:t xml:space="preserve">developmental </w:t>
      </w:r>
      <w:r w:rsidR="001B7C28">
        <w:rPr>
          <w:rFonts w:asciiTheme="majorBidi" w:hAnsiTheme="majorBidi" w:cstheme="majorBidi"/>
          <w:sz w:val="24"/>
          <w:szCs w:val="24"/>
        </w:rPr>
        <w:t xml:space="preserve">milestones screening tests. </w:t>
      </w:r>
      <w:r w:rsidR="000C615A" w:rsidRPr="000C615A">
        <w:rPr>
          <w:rFonts w:asciiTheme="majorBidi" w:hAnsiTheme="majorBidi" w:cstheme="majorBidi"/>
          <w:sz w:val="24"/>
          <w:szCs w:val="24"/>
        </w:rPr>
        <w:t>When feasible objective assessments including Vineland Adaptive Behavior Scales (Third Edition) or Stanford–Binet Intelligence Scales, Fifth Edition</w:t>
      </w:r>
      <w:r w:rsidR="000C615A">
        <w:rPr>
          <w:rFonts w:asciiTheme="majorBidi" w:hAnsiTheme="majorBidi" w:cstheme="majorBidi"/>
          <w:sz w:val="24"/>
          <w:szCs w:val="24"/>
        </w:rPr>
        <w:t xml:space="preserve"> for older children</w:t>
      </w:r>
      <w:r w:rsidR="000C615A" w:rsidRPr="000C615A">
        <w:rPr>
          <w:rFonts w:asciiTheme="majorBidi" w:hAnsiTheme="majorBidi" w:cstheme="majorBidi"/>
          <w:sz w:val="24"/>
          <w:szCs w:val="24"/>
        </w:rPr>
        <w:t xml:space="preserve"> were completed.</w:t>
      </w:r>
      <w:r w:rsidR="000C615A">
        <w:rPr>
          <w:rFonts w:asciiTheme="majorBidi" w:hAnsiTheme="majorBidi" w:cstheme="majorBidi"/>
          <w:sz w:val="24"/>
          <w:szCs w:val="24"/>
        </w:rPr>
        <w:t xml:space="preserve"> </w:t>
      </w:r>
      <w:r w:rsidRPr="001855AA">
        <w:rPr>
          <w:rFonts w:asciiTheme="majorBidi" w:hAnsiTheme="majorBidi" w:cstheme="majorBidi"/>
          <w:sz w:val="24"/>
          <w:szCs w:val="24"/>
        </w:rPr>
        <w:t xml:space="preserve">Severe phenotypes causing death within the neonatal or early infantile period were also included as far as a neurological phenotype is </w:t>
      </w:r>
      <w:r w:rsidR="00702EEB">
        <w:rPr>
          <w:rFonts w:asciiTheme="majorBidi" w:hAnsiTheme="majorBidi" w:cstheme="majorBidi"/>
          <w:sz w:val="24"/>
          <w:szCs w:val="24"/>
        </w:rPr>
        <w:t>evident</w:t>
      </w:r>
      <w:r w:rsidRPr="001855AA">
        <w:rPr>
          <w:rFonts w:asciiTheme="majorBidi" w:hAnsiTheme="majorBidi" w:cstheme="majorBidi"/>
          <w:sz w:val="24"/>
          <w:szCs w:val="24"/>
        </w:rPr>
        <w:t>, for example</w:t>
      </w:r>
      <w:r w:rsidR="006016D5">
        <w:rPr>
          <w:rFonts w:asciiTheme="majorBidi" w:hAnsiTheme="majorBidi" w:cstheme="majorBidi"/>
          <w:sz w:val="24"/>
          <w:szCs w:val="24"/>
        </w:rPr>
        <w:t>,</w:t>
      </w:r>
      <w:r w:rsidRPr="001855AA">
        <w:rPr>
          <w:rFonts w:asciiTheme="majorBidi" w:hAnsiTheme="majorBidi" w:cstheme="majorBidi"/>
          <w:sz w:val="24"/>
          <w:szCs w:val="24"/>
        </w:rPr>
        <w:t xml:space="preserve"> seizures, </w:t>
      </w:r>
      <w:r w:rsidRPr="00FA1D82">
        <w:rPr>
          <w:rFonts w:asciiTheme="majorBidi" w:hAnsiTheme="majorBidi" w:cstheme="majorBidi"/>
          <w:sz w:val="24"/>
          <w:szCs w:val="24"/>
        </w:rPr>
        <w:t>hypotonia</w:t>
      </w:r>
      <w:r w:rsidR="006016D5">
        <w:rPr>
          <w:rFonts w:asciiTheme="majorBidi" w:hAnsiTheme="majorBidi" w:cstheme="majorBidi"/>
          <w:sz w:val="24"/>
          <w:szCs w:val="24"/>
        </w:rPr>
        <w:t>,</w:t>
      </w:r>
      <w:r w:rsidRPr="00FA1D82">
        <w:rPr>
          <w:rFonts w:asciiTheme="majorBidi" w:hAnsiTheme="majorBidi" w:cstheme="majorBidi"/>
          <w:sz w:val="24"/>
          <w:szCs w:val="24"/>
        </w:rPr>
        <w:t xml:space="preserve"> </w:t>
      </w:r>
      <w:r w:rsidRPr="001855AA">
        <w:rPr>
          <w:rFonts w:asciiTheme="majorBidi" w:hAnsiTheme="majorBidi" w:cstheme="majorBidi"/>
          <w:sz w:val="24"/>
          <w:szCs w:val="24"/>
        </w:rPr>
        <w:t>or brain malformations.</w:t>
      </w:r>
    </w:p>
    <w:p w14:paraId="08EE098C" w14:textId="77777777" w:rsidR="00600DDB" w:rsidRPr="0020221D" w:rsidRDefault="00600DDB" w:rsidP="00600DDB">
      <w:pPr>
        <w:spacing w:after="0" w:line="360" w:lineRule="auto"/>
        <w:jc w:val="both"/>
        <w:rPr>
          <w:rFonts w:asciiTheme="majorBidi" w:hAnsiTheme="majorBidi" w:cstheme="majorBidi"/>
          <w:b/>
          <w:sz w:val="24"/>
          <w:szCs w:val="24"/>
        </w:rPr>
      </w:pPr>
      <w:r w:rsidRPr="0020221D">
        <w:rPr>
          <w:rFonts w:asciiTheme="majorBidi" w:hAnsiTheme="majorBidi" w:cstheme="majorBidi"/>
          <w:b/>
          <w:sz w:val="24"/>
          <w:szCs w:val="24"/>
        </w:rPr>
        <w:t>Inclusion criteria included:</w:t>
      </w:r>
    </w:p>
    <w:p w14:paraId="2EF0E433" w14:textId="77777777" w:rsidR="001B7C28" w:rsidRDefault="008F7473" w:rsidP="001B7C28">
      <w:pPr>
        <w:pStyle w:val="ListParagraph"/>
        <w:numPr>
          <w:ilvl w:val="0"/>
          <w:numId w:val="1"/>
        </w:numPr>
        <w:spacing w:line="360" w:lineRule="auto"/>
        <w:jc w:val="both"/>
        <w:rPr>
          <w:rFonts w:asciiTheme="majorBidi" w:hAnsiTheme="majorBidi" w:cstheme="majorBidi"/>
          <w:sz w:val="24"/>
          <w:szCs w:val="24"/>
        </w:rPr>
      </w:pPr>
      <w:r>
        <w:rPr>
          <w:rFonts w:asciiTheme="majorBidi" w:hAnsiTheme="majorBidi" w:cstheme="majorBidi"/>
          <w:sz w:val="24"/>
          <w:szCs w:val="24"/>
        </w:rPr>
        <w:t>G</w:t>
      </w:r>
      <w:r w:rsidR="001B7C28">
        <w:rPr>
          <w:rFonts w:asciiTheme="majorBidi" w:hAnsiTheme="majorBidi" w:cstheme="majorBidi"/>
          <w:sz w:val="24"/>
          <w:szCs w:val="24"/>
        </w:rPr>
        <w:t>lobal developmental delay/</w:t>
      </w:r>
      <w:r w:rsidR="001B7C28" w:rsidRPr="001B7C28">
        <w:rPr>
          <w:rFonts w:asciiTheme="majorBidi" w:hAnsiTheme="majorBidi" w:cstheme="majorBidi"/>
          <w:sz w:val="24"/>
          <w:szCs w:val="24"/>
        </w:rPr>
        <w:t>intellectual disability</w:t>
      </w:r>
      <w:r w:rsidR="001B7C28">
        <w:rPr>
          <w:rFonts w:asciiTheme="majorBidi" w:hAnsiTheme="majorBidi" w:cstheme="majorBidi"/>
          <w:sz w:val="24"/>
          <w:szCs w:val="24"/>
        </w:rPr>
        <w:t xml:space="preserve"> phenotype</w:t>
      </w:r>
      <w:r w:rsidR="001B7C28" w:rsidRPr="001B7C28">
        <w:rPr>
          <w:rFonts w:asciiTheme="majorBidi" w:hAnsiTheme="majorBidi" w:cstheme="majorBidi"/>
          <w:sz w:val="24"/>
          <w:szCs w:val="24"/>
        </w:rPr>
        <w:t xml:space="preserve"> </w:t>
      </w:r>
    </w:p>
    <w:p w14:paraId="6A6F5609" w14:textId="77777777" w:rsidR="00600DDB" w:rsidRPr="001855AA" w:rsidRDefault="00600DDB" w:rsidP="001B7C28">
      <w:pPr>
        <w:pStyle w:val="ListParagraph"/>
        <w:numPr>
          <w:ilvl w:val="0"/>
          <w:numId w:val="1"/>
        </w:numPr>
        <w:spacing w:line="360" w:lineRule="auto"/>
        <w:jc w:val="both"/>
        <w:rPr>
          <w:rFonts w:asciiTheme="majorBidi" w:hAnsiTheme="majorBidi" w:cstheme="majorBidi"/>
          <w:sz w:val="24"/>
          <w:szCs w:val="24"/>
        </w:rPr>
      </w:pPr>
      <w:r w:rsidRPr="001855AA">
        <w:rPr>
          <w:rFonts w:asciiTheme="majorBidi" w:hAnsiTheme="majorBidi" w:cstheme="majorBidi"/>
          <w:sz w:val="24"/>
          <w:szCs w:val="24"/>
        </w:rPr>
        <w:t xml:space="preserve">Patients with negative genetics investigations </w:t>
      </w:r>
      <w:r w:rsidR="006016D5">
        <w:rPr>
          <w:rFonts w:asciiTheme="majorBidi" w:hAnsiTheme="majorBidi" w:cstheme="majorBidi"/>
          <w:sz w:val="24"/>
          <w:szCs w:val="24"/>
        </w:rPr>
        <w:t xml:space="preserve">are </w:t>
      </w:r>
      <w:r w:rsidRPr="001855AA">
        <w:rPr>
          <w:rFonts w:asciiTheme="majorBidi" w:hAnsiTheme="majorBidi" w:cstheme="majorBidi"/>
          <w:sz w:val="24"/>
          <w:szCs w:val="24"/>
        </w:rPr>
        <w:t>performed based on clinical suspicion including targeted genetic testing (known genetic condition or familial mutation), genetic panels, Clinical Exome Sequencing (CES), Fragile-X, or chromosomal microarray (chromosomal deletion/duplication studies).</w:t>
      </w:r>
    </w:p>
    <w:p w14:paraId="4C448B7C" w14:textId="77777777" w:rsidR="00600DDB" w:rsidRDefault="004734F7" w:rsidP="00600DDB">
      <w:pPr>
        <w:pStyle w:val="ListParagraph"/>
        <w:numPr>
          <w:ilvl w:val="0"/>
          <w:numId w:val="1"/>
        </w:numPr>
        <w:spacing w:after="0" w:line="360" w:lineRule="auto"/>
        <w:jc w:val="both"/>
        <w:rPr>
          <w:rFonts w:asciiTheme="majorBidi" w:hAnsiTheme="majorBidi" w:cstheme="majorBidi"/>
          <w:sz w:val="24"/>
          <w:szCs w:val="24"/>
        </w:rPr>
      </w:pPr>
      <w:r>
        <w:rPr>
          <w:rFonts w:asciiTheme="majorBidi" w:hAnsiTheme="majorBidi" w:cstheme="majorBidi"/>
          <w:sz w:val="24"/>
          <w:szCs w:val="24"/>
        </w:rPr>
        <w:t>F</w:t>
      </w:r>
      <w:r w:rsidR="00600DDB" w:rsidRPr="001855AA">
        <w:rPr>
          <w:rFonts w:asciiTheme="majorBidi" w:hAnsiTheme="majorBidi" w:cstheme="majorBidi"/>
          <w:sz w:val="24"/>
          <w:szCs w:val="24"/>
        </w:rPr>
        <w:t>amilies with a strong autosomal recess</w:t>
      </w:r>
      <w:r w:rsidR="000C615A">
        <w:rPr>
          <w:rFonts w:asciiTheme="majorBidi" w:hAnsiTheme="majorBidi" w:cstheme="majorBidi"/>
          <w:sz w:val="24"/>
          <w:szCs w:val="24"/>
        </w:rPr>
        <w:t>ive pattern of inheritance</w:t>
      </w:r>
      <w:r>
        <w:rPr>
          <w:rFonts w:asciiTheme="majorBidi" w:hAnsiTheme="majorBidi" w:cstheme="majorBidi"/>
          <w:sz w:val="24"/>
          <w:szCs w:val="24"/>
        </w:rPr>
        <w:t xml:space="preserve"> and/or c</w:t>
      </w:r>
      <w:r w:rsidRPr="001855AA">
        <w:rPr>
          <w:rFonts w:asciiTheme="majorBidi" w:hAnsiTheme="majorBidi" w:cstheme="majorBidi"/>
          <w:sz w:val="24"/>
          <w:szCs w:val="24"/>
        </w:rPr>
        <w:t>onsanguineous</w:t>
      </w:r>
      <w:r w:rsidR="000C615A">
        <w:rPr>
          <w:rFonts w:asciiTheme="majorBidi" w:hAnsiTheme="majorBidi" w:cstheme="majorBidi"/>
          <w:sz w:val="24"/>
          <w:szCs w:val="24"/>
        </w:rPr>
        <w:t xml:space="preserve"> </w:t>
      </w:r>
      <w:r w:rsidR="00600DDB" w:rsidRPr="001855AA">
        <w:rPr>
          <w:rFonts w:asciiTheme="majorBidi" w:hAnsiTheme="majorBidi" w:cstheme="majorBidi"/>
          <w:sz w:val="24"/>
          <w:szCs w:val="24"/>
        </w:rPr>
        <w:t>were selected. Prioritization was given to families with multiple affected individuals.</w:t>
      </w:r>
    </w:p>
    <w:p w14:paraId="7CA7E351" w14:textId="77777777" w:rsidR="00600DDB" w:rsidRDefault="00600DDB" w:rsidP="00600DDB">
      <w:pPr>
        <w:spacing w:after="0" w:line="360" w:lineRule="auto"/>
        <w:jc w:val="both"/>
        <w:rPr>
          <w:rFonts w:asciiTheme="majorBidi" w:hAnsiTheme="majorBidi" w:cstheme="majorBidi"/>
          <w:sz w:val="24"/>
          <w:szCs w:val="24"/>
        </w:rPr>
      </w:pPr>
      <w:r w:rsidRPr="008656F1">
        <w:rPr>
          <w:rFonts w:asciiTheme="majorBidi" w:hAnsiTheme="majorBidi" w:cstheme="majorBidi"/>
          <w:b/>
          <w:bCs/>
          <w:sz w:val="24"/>
          <w:szCs w:val="24"/>
        </w:rPr>
        <w:t xml:space="preserve">Exclusion Criteria: </w:t>
      </w:r>
      <w:r w:rsidRPr="008656F1">
        <w:rPr>
          <w:rFonts w:asciiTheme="majorBidi" w:hAnsiTheme="majorBidi" w:cstheme="majorBidi"/>
          <w:sz w:val="24"/>
          <w:szCs w:val="24"/>
        </w:rPr>
        <w:t xml:space="preserve">previously known molecular diagnosis.  </w:t>
      </w:r>
    </w:p>
    <w:p w14:paraId="4FC8A15F" w14:textId="77777777" w:rsidR="00600DDB" w:rsidRDefault="00600DDB" w:rsidP="00600DDB">
      <w:pPr>
        <w:spacing w:after="0" w:line="360" w:lineRule="auto"/>
        <w:jc w:val="both"/>
        <w:rPr>
          <w:rFonts w:asciiTheme="majorBidi" w:hAnsiTheme="majorBidi" w:cstheme="majorBidi"/>
          <w:sz w:val="24"/>
          <w:szCs w:val="24"/>
        </w:rPr>
      </w:pPr>
    </w:p>
    <w:p w14:paraId="5EE39898" w14:textId="77777777" w:rsidR="00A23E38" w:rsidRDefault="00A23E38">
      <w:pPr>
        <w:spacing w:after="0" w:line="360" w:lineRule="auto"/>
        <w:jc w:val="both"/>
        <w:rPr>
          <w:rFonts w:asciiTheme="majorBidi" w:hAnsiTheme="majorBidi" w:cstheme="majorBidi"/>
          <w:sz w:val="24"/>
          <w:szCs w:val="24"/>
        </w:rPr>
      </w:pPr>
      <w:r>
        <w:rPr>
          <w:rFonts w:asciiTheme="majorBidi" w:hAnsiTheme="majorBidi" w:cstheme="majorBidi"/>
          <w:sz w:val="24"/>
          <w:szCs w:val="24"/>
        </w:rPr>
        <w:t>The diagnostic pathway for these patients</w:t>
      </w:r>
      <w:r w:rsidR="00C80861">
        <w:rPr>
          <w:rFonts w:asciiTheme="majorBidi" w:hAnsiTheme="majorBidi" w:cstheme="majorBidi"/>
          <w:sz w:val="24"/>
          <w:szCs w:val="24"/>
        </w:rPr>
        <w:t xml:space="preserve"> included</w:t>
      </w:r>
      <w:r>
        <w:rPr>
          <w:rFonts w:asciiTheme="majorBidi" w:hAnsiTheme="majorBidi" w:cstheme="majorBidi"/>
          <w:sz w:val="24"/>
          <w:szCs w:val="24"/>
        </w:rPr>
        <w:t xml:space="preserve"> a full assessment by a medical </w:t>
      </w:r>
      <w:r w:rsidR="00C80861">
        <w:rPr>
          <w:rFonts w:asciiTheme="majorBidi" w:hAnsiTheme="majorBidi" w:cstheme="majorBidi"/>
          <w:sz w:val="24"/>
          <w:szCs w:val="24"/>
        </w:rPr>
        <w:t xml:space="preserve">geneticist, </w:t>
      </w:r>
      <w:r w:rsidR="00C80861" w:rsidRPr="00A23E38">
        <w:rPr>
          <w:rFonts w:asciiTheme="majorBidi" w:hAnsiTheme="majorBidi" w:cstheme="majorBidi"/>
          <w:sz w:val="24"/>
          <w:szCs w:val="24"/>
        </w:rPr>
        <w:t>performing</w:t>
      </w:r>
      <w:r>
        <w:rPr>
          <w:rFonts w:asciiTheme="majorBidi" w:hAnsiTheme="majorBidi" w:cstheme="majorBidi"/>
          <w:sz w:val="24"/>
          <w:szCs w:val="24"/>
        </w:rPr>
        <w:t xml:space="preserve"> </w:t>
      </w:r>
      <w:r w:rsidRPr="00A23E38">
        <w:rPr>
          <w:rFonts w:asciiTheme="majorBidi" w:hAnsiTheme="majorBidi" w:cstheme="majorBidi"/>
          <w:sz w:val="24"/>
          <w:szCs w:val="24"/>
        </w:rPr>
        <w:t>investigations and diagnostic testing</w:t>
      </w:r>
      <w:r>
        <w:rPr>
          <w:rFonts w:asciiTheme="majorBidi" w:hAnsiTheme="majorBidi" w:cstheme="majorBidi"/>
          <w:sz w:val="24"/>
          <w:szCs w:val="24"/>
        </w:rPr>
        <w:t xml:space="preserve"> as indicated by the clinical judgment and differential diagnosis</w:t>
      </w:r>
      <w:r w:rsidRPr="00A23E38">
        <w:rPr>
          <w:rFonts w:asciiTheme="majorBidi" w:hAnsiTheme="majorBidi" w:cstheme="majorBidi"/>
          <w:sz w:val="24"/>
          <w:szCs w:val="24"/>
        </w:rPr>
        <w:t>, including metabolic and</w:t>
      </w:r>
      <w:r>
        <w:rPr>
          <w:rFonts w:asciiTheme="majorBidi" w:hAnsiTheme="majorBidi" w:cstheme="majorBidi"/>
          <w:sz w:val="24"/>
          <w:szCs w:val="24"/>
        </w:rPr>
        <w:t xml:space="preserve"> target</w:t>
      </w:r>
      <w:r w:rsidRPr="00A23E38">
        <w:rPr>
          <w:rFonts w:asciiTheme="majorBidi" w:hAnsiTheme="majorBidi" w:cstheme="majorBidi"/>
          <w:sz w:val="24"/>
          <w:szCs w:val="24"/>
        </w:rPr>
        <w:t xml:space="preserve"> genetic testing</w:t>
      </w:r>
      <w:r>
        <w:rPr>
          <w:rFonts w:asciiTheme="majorBidi" w:hAnsiTheme="majorBidi" w:cstheme="majorBidi"/>
          <w:sz w:val="24"/>
          <w:szCs w:val="24"/>
        </w:rPr>
        <w:t xml:space="preserve">. </w:t>
      </w:r>
      <w:r w:rsidR="00E579B8">
        <w:rPr>
          <w:rFonts w:asciiTheme="majorBidi" w:hAnsiTheme="majorBidi" w:cstheme="majorBidi"/>
          <w:sz w:val="24"/>
          <w:szCs w:val="24"/>
        </w:rPr>
        <w:t>Fifty-two affected individuals</w:t>
      </w:r>
      <w:r>
        <w:rPr>
          <w:rFonts w:asciiTheme="majorBidi" w:hAnsiTheme="majorBidi" w:cstheme="majorBidi"/>
          <w:sz w:val="24"/>
          <w:szCs w:val="24"/>
        </w:rPr>
        <w:t xml:space="preserve"> underwent clinical exome (years 2013-2015). Chromosomal microarray was completed on a third of the cohort,</w:t>
      </w:r>
      <w:r w:rsidR="00DD7744">
        <w:rPr>
          <w:rFonts w:asciiTheme="majorBidi" w:hAnsiTheme="majorBidi" w:cstheme="majorBidi"/>
          <w:sz w:val="24"/>
          <w:szCs w:val="24"/>
        </w:rPr>
        <w:t xml:space="preserve"> and</w:t>
      </w:r>
      <w:r>
        <w:rPr>
          <w:rFonts w:asciiTheme="majorBidi" w:hAnsiTheme="majorBidi" w:cstheme="majorBidi"/>
          <w:sz w:val="24"/>
          <w:szCs w:val="24"/>
        </w:rPr>
        <w:t xml:space="preserve"> fragile X was only done on males with possible X</w:t>
      </w:r>
      <w:r w:rsidR="00E579B8">
        <w:rPr>
          <w:rFonts w:asciiTheme="majorBidi" w:hAnsiTheme="majorBidi" w:cstheme="majorBidi"/>
          <w:sz w:val="24"/>
          <w:szCs w:val="24"/>
        </w:rPr>
        <w:t>-</w:t>
      </w:r>
      <w:r>
        <w:rPr>
          <w:rFonts w:asciiTheme="majorBidi" w:hAnsiTheme="majorBidi" w:cstheme="majorBidi"/>
          <w:sz w:val="24"/>
          <w:szCs w:val="24"/>
        </w:rPr>
        <w:t xml:space="preserve">linked inheritance (less than </w:t>
      </w:r>
      <w:r w:rsidR="00E579B8">
        <w:rPr>
          <w:rFonts w:asciiTheme="majorBidi" w:hAnsiTheme="majorBidi" w:cstheme="majorBidi"/>
          <w:sz w:val="24"/>
          <w:szCs w:val="24"/>
        </w:rPr>
        <w:t>15</w:t>
      </w:r>
      <w:r>
        <w:rPr>
          <w:rFonts w:asciiTheme="majorBidi" w:hAnsiTheme="majorBidi" w:cstheme="majorBidi"/>
          <w:sz w:val="24"/>
          <w:szCs w:val="24"/>
        </w:rPr>
        <w:t xml:space="preserve">). At least 40 affected </w:t>
      </w:r>
      <w:r w:rsidR="00E579B8">
        <w:rPr>
          <w:rFonts w:asciiTheme="majorBidi" w:hAnsiTheme="majorBidi" w:cstheme="majorBidi"/>
          <w:sz w:val="24"/>
          <w:szCs w:val="24"/>
        </w:rPr>
        <w:t xml:space="preserve">individuals </w:t>
      </w:r>
      <w:r>
        <w:rPr>
          <w:rFonts w:asciiTheme="majorBidi" w:hAnsiTheme="majorBidi" w:cstheme="majorBidi"/>
          <w:sz w:val="24"/>
          <w:szCs w:val="24"/>
        </w:rPr>
        <w:t xml:space="preserve">were genetic testing naïve </w:t>
      </w:r>
      <w:r w:rsidR="00E579B8">
        <w:rPr>
          <w:rFonts w:asciiTheme="majorBidi" w:hAnsiTheme="majorBidi" w:cstheme="majorBidi"/>
          <w:sz w:val="24"/>
          <w:szCs w:val="24"/>
        </w:rPr>
        <w:t xml:space="preserve">because, at </w:t>
      </w:r>
      <w:r w:rsidR="003E4AF0">
        <w:rPr>
          <w:rFonts w:asciiTheme="majorBidi" w:hAnsiTheme="majorBidi" w:cstheme="majorBidi"/>
          <w:sz w:val="24"/>
          <w:szCs w:val="24"/>
        </w:rPr>
        <w:t xml:space="preserve">as at </w:t>
      </w:r>
      <w:r w:rsidR="00E579B8">
        <w:rPr>
          <w:rFonts w:asciiTheme="majorBidi" w:hAnsiTheme="majorBidi" w:cstheme="majorBidi"/>
          <w:sz w:val="24"/>
          <w:szCs w:val="24"/>
        </w:rPr>
        <w:t xml:space="preserve">the beginning of the study, </w:t>
      </w:r>
      <w:r w:rsidR="00CB6C27">
        <w:rPr>
          <w:rFonts w:asciiTheme="majorBidi" w:hAnsiTheme="majorBidi" w:cstheme="majorBidi"/>
          <w:sz w:val="24"/>
          <w:szCs w:val="24"/>
        </w:rPr>
        <w:t xml:space="preserve">clinical </w:t>
      </w:r>
      <w:r w:rsidR="00E579B8">
        <w:rPr>
          <w:rFonts w:asciiTheme="majorBidi" w:hAnsiTheme="majorBidi" w:cstheme="majorBidi"/>
          <w:sz w:val="24"/>
          <w:szCs w:val="24"/>
        </w:rPr>
        <w:t>genetic testing was un</w:t>
      </w:r>
      <w:r>
        <w:rPr>
          <w:rFonts w:asciiTheme="majorBidi" w:hAnsiTheme="majorBidi" w:cstheme="majorBidi"/>
          <w:sz w:val="24"/>
          <w:szCs w:val="24"/>
        </w:rPr>
        <w:t>av</w:t>
      </w:r>
      <w:r w:rsidR="00E579B8">
        <w:rPr>
          <w:rFonts w:asciiTheme="majorBidi" w:hAnsiTheme="majorBidi" w:cstheme="majorBidi"/>
          <w:sz w:val="24"/>
          <w:szCs w:val="24"/>
        </w:rPr>
        <w:t>ailabl</w:t>
      </w:r>
      <w:r>
        <w:rPr>
          <w:rFonts w:asciiTheme="majorBidi" w:hAnsiTheme="majorBidi" w:cstheme="majorBidi"/>
          <w:sz w:val="24"/>
          <w:szCs w:val="24"/>
        </w:rPr>
        <w:t xml:space="preserve">e </w:t>
      </w:r>
      <w:r w:rsidR="00E579B8">
        <w:rPr>
          <w:rFonts w:asciiTheme="majorBidi" w:hAnsiTheme="majorBidi" w:cstheme="majorBidi"/>
          <w:sz w:val="24"/>
          <w:szCs w:val="24"/>
        </w:rPr>
        <w:t xml:space="preserve">for all </w:t>
      </w:r>
      <w:r>
        <w:rPr>
          <w:rFonts w:asciiTheme="majorBidi" w:hAnsiTheme="majorBidi" w:cstheme="majorBidi"/>
          <w:sz w:val="24"/>
          <w:szCs w:val="24"/>
        </w:rPr>
        <w:t xml:space="preserve">patients. </w:t>
      </w:r>
    </w:p>
    <w:p w14:paraId="5C61EC50" w14:textId="77777777" w:rsidR="00A23E38" w:rsidRDefault="00A23E38" w:rsidP="00600DDB">
      <w:pPr>
        <w:spacing w:after="0" w:line="360" w:lineRule="auto"/>
        <w:jc w:val="both"/>
        <w:rPr>
          <w:rFonts w:asciiTheme="majorBidi" w:hAnsiTheme="majorBidi" w:cstheme="majorBidi"/>
          <w:sz w:val="24"/>
          <w:szCs w:val="24"/>
        </w:rPr>
      </w:pPr>
    </w:p>
    <w:p w14:paraId="33B3A4E3" w14:textId="77777777" w:rsidR="00600DDB" w:rsidRPr="00DE747C" w:rsidRDefault="00600DDB" w:rsidP="00A04A6C">
      <w:pPr>
        <w:pStyle w:val="Heading1"/>
        <w:spacing w:before="0" w:line="360" w:lineRule="auto"/>
        <w:rPr>
          <w:rFonts w:asciiTheme="majorBidi" w:hAnsiTheme="majorBidi" w:cstheme="majorBidi"/>
          <w:b/>
          <w:bCs/>
          <w:color w:val="000000" w:themeColor="text1"/>
          <w:sz w:val="24"/>
          <w:szCs w:val="24"/>
        </w:rPr>
      </w:pPr>
      <w:bookmarkStart w:id="2" w:name="_Toc102008002"/>
      <w:r w:rsidRPr="00DE747C">
        <w:rPr>
          <w:rFonts w:asciiTheme="majorBidi" w:hAnsiTheme="majorBidi" w:cstheme="majorBidi"/>
          <w:b/>
          <w:bCs/>
          <w:color w:val="000000" w:themeColor="text1"/>
          <w:sz w:val="24"/>
          <w:szCs w:val="24"/>
        </w:rPr>
        <w:lastRenderedPageBreak/>
        <w:t>Ethical approval</w:t>
      </w:r>
      <w:bookmarkEnd w:id="2"/>
    </w:p>
    <w:p w14:paraId="0DC95A8E" w14:textId="77777777" w:rsidR="00600DDB" w:rsidRDefault="00600DDB" w:rsidP="00702EEB">
      <w:pPr>
        <w:spacing w:after="0" w:line="360" w:lineRule="auto"/>
        <w:jc w:val="both"/>
        <w:rPr>
          <w:rFonts w:asciiTheme="majorBidi" w:hAnsiTheme="majorBidi" w:cstheme="majorBidi"/>
          <w:sz w:val="24"/>
          <w:szCs w:val="24"/>
        </w:rPr>
      </w:pPr>
      <w:r w:rsidRPr="001855AA">
        <w:rPr>
          <w:rFonts w:asciiTheme="majorBidi" w:hAnsiTheme="majorBidi" w:cstheme="majorBidi"/>
          <w:bCs/>
          <w:sz w:val="24"/>
          <w:szCs w:val="24"/>
        </w:rPr>
        <w:t xml:space="preserve">The </w:t>
      </w:r>
      <w:r w:rsidR="00702EEB">
        <w:rPr>
          <w:rFonts w:asciiTheme="majorBidi" w:hAnsiTheme="majorBidi" w:cstheme="majorBidi"/>
          <w:bCs/>
          <w:sz w:val="24"/>
          <w:szCs w:val="24"/>
        </w:rPr>
        <w:t>Medical Research Ethical Committee approved the study</w:t>
      </w:r>
      <w:r w:rsidRPr="001855AA">
        <w:rPr>
          <w:rFonts w:asciiTheme="majorBidi" w:hAnsiTheme="majorBidi" w:cstheme="majorBidi"/>
          <w:bCs/>
          <w:sz w:val="24"/>
          <w:szCs w:val="24"/>
        </w:rPr>
        <w:t xml:space="preserve"> of Sultan Qa</w:t>
      </w:r>
      <w:r w:rsidR="00A04A6C">
        <w:rPr>
          <w:rFonts w:asciiTheme="majorBidi" w:hAnsiTheme="majorBidi" w:cstheme="majorBidi"/>
          <w:bCs/>
          <w:sz w:val="24"/>
          <w:szCs w:val="24"/>
        </w:rPr>
        <w:t>boos University (SQU MREC#1362</w:t>
      </w:r>
      <w:r w:rsidRPr="001855AA">
        <w:rPr>
          <w:rFonts w:asciiTheme="majorBidi" w:hAnsiTheme="majorBidi" w:cstheme="majorBidi"/>
          <w:bCs/>
          <w:sz w:val="24"/>
          <w:szCs w:val="24"/>
        </w:rPr>
        <w:t xml:space="preserve">). </w:t>
      </w:r>
      <w:r w:rsidR="00702EEB">
        <w:rPr>
          <w:rFonts w:asciiTheme="majorBidi" w:hAnsiTheme="majorBidi" w:cstheme="majorBidi"/>
          <w:sz w:val="24"/>
          <w:szCs w:val="24"/>
        </w:rPr>
        <w:t>Written informed consent was obtained from all participants or their guardians. Genetic counseling was provided to all families, which explained expected research findings, including any diagnosis, general genetic concepts, or incidental finding</w:t>
      </w:r>
      <w:r w:rsidRPr="001855AA">
        <w:rPr>
          <w:rFonts w:asciiTheme="majorBidi" w:hAnsiTheme="majorBidi" w:cstheme="majorBidi"/>
          <w:bCs/>
          <w:sz w:val="24"/>
          <w:szCs w:val="24"/>
        </w:rPr>
        <w:t>s.</w:t>
      </w:r>
      <w:r w:rsidR="008F7473">
        <w:rPr>
          <w:rFonts w:asciiTheme="majorBidi" w:hAnsiTheme="majorBidi" w:cstheme="majorBidi"/>
          <w:bCs/>
          <w:sz w:val="24"/>
          <w:szCs w:val="24"/>
        </w:rPr>
        <w:t xml:space="preserve"> </w:t>
      </w:r>
      <w:r w:rsidR="008F7473" w:rsidRPr="001855AA">
        <w:rPr>
          <w:rFonts w:asciiTheme="majorBidi" w:hAnsiTheme="majorBidi" w:cstheme="majorBidi"/>
          <w:sz w:val="24"/>
          <w:szCs w:val="24"/>
        </w:rPr>
        <w:t>Medical geneticists</w:t>
      </w:r>
      <w:r w:rsidR="008F7473">
        <w:rPr>
          <w:rFonts w:asciiTheme="majorBidi" w:hAnsiTheme="majorBidi" w:cstheme="majorBidi"/>
          <w:sz w:val="24"/>
          <w:szCs w:val="24"/>
        </w:rPr>
        <w:t xml:space="preserve"> were responsible </w:t>
      </w:r>
      <w:r w:rsidR="00702EEB">
        <w:rPr>
          <w:rFonts w:asciiTheme="majorBidi" w:hAnsiTheme="majorBidi" w:cstheme="majorBidi"/>
          <w:sz w:val="24"/>
          <w:szCs w:val="24"/>
        </w:rPr>
        <w:t>for delivering</w:t>
      </w:r>
      <w:r w:rsidR="008F7473">
        <w:rPr>
          <w:rFonts w:asciiTheme="majorBidi" w:hAnsiTheme="majorBidi" w:cstheme="majorBidi"/>
          <w:sz w:val="24"/>
          <w:szCs w:val="24"/>
        </w:rPr>
        <w:t xml:space="preserve"> the results back to the famil</w:t>
      </w:r>
      <w:r w:rsidR="00F4777C">
        <w:rPr>
          <w:rFonts w:asciiTheme="majorBidi" w:hAnsiTheme="majorBidi" w:cstheme="majorBidi"/>
          <w:sz w:val="24"/>
          <w:szCs w:val="24"/>
        </w:rPr>
        <w:t>ies.</w:t>
      </w:r>
    </w:p>
    <w:p w14:paraId="00A3B502" w14:textId="77777777" w:rsidR="00600DDB" w:rsidRPr="00DE747C" w:rsidRDefault="00600DDB" w:rsidP="00A04A6C">
      <w:pPr>
        <w:pStyle w:val="Heading1"/>
        <w:rPr>
          <w:rFonts w:asciiTheme="majorBidi" w:hAnsiTheme="majorBidi" w:cstheme="majorBidi"/>
          <w:b/>
          <w:bCs/>
          <w:color w:val="000000" w:themeColor="text1"/>
          <w:sz w:val="24"/>
          <w:szCs w:val="24"/>
        </w:rPr>
      </w:pPr>
      <w:bookmarkStart w:id="3" w:name="_Toc102008003"/>
      <w:r w:rsidRPr="00DE747C">
        <w:rPr>
          <w:rFonts w:asciiTheme="majorBidi" w:hAnsiTheme="majorBidi" w:cstheme="majorBidi"/>
          <w:b/>
          <w:bCs/>
          <w:color w:val="000000" w:themeColor="text1"/>
          <w:sz w:val="24"/>
          <w:szCs w:val="24"/>
        </w:rPr>
        <w:t>Genomic Analysis</w:t>
      </w:r>
      <w:bookmarkEnd w:id="3"/>
    </w:p>
    <w:p w14:paraId="2363C2C7" w14:textId="77777777" w:rsidR="00600DDB" w:rsidRPr="000E20EB" w:rsidRDefault="00600DDB" w:rsidP="00A04A6C">
      <w:pPr>
        <w:pStyle w:val="Heading1"/>
        <w:spacing w:line="360" w:lineRule="auto"/>
        <w:rPr>
          <w:rFonts w:asciiTheme="majorBidi" w:hAnsiTheme="majorBidi" w:cstheme="majorBidi"/>
          <w:b/>
          <w:bCs/>
          <w:color w:val="000000" w:themeColor="text1"/>
          <w:sz w:val="24"/>
          <w:szCs w:val="24"/>
        </w:rPr>
      </w:pPr>
      <w:bookmarkStart w:id="4" w:name="_Toc102008004"/>
      <w:r w:rsidRPr="000E20EB">
        <w:rPr>
          <w:rFonts w:asciiTheme="majorBidi" w:hAnsiTheme="majorBidi" w:cstheme="majorBidi"/>
          <w:b/>
          <w:bCs/>
          <w:color w:val="000000" w:themeColor="text1"/>
          <w:sz w:val="24"/>
          <w:szCs w:val="24"/>
        </w:rPr>
        <w:t>DNA extraction</w:t>
      </w:r>
      <w:bookmarkEnd w:id="4"/>
      <w:r w:rsidRPr="000E20EB">
        <w:rPr>
          <w:rFonts w:asciiTheme="majorBidi" w:hAnsiTheme="majorBidi" w:cstheme="majorBidi"/>
          <w:b/>
          <w:bCs/>
          <w:color w:val="000000" w:themeColor="text1"/>
          <w:sz w:val="24"/>
          <w:szCs w:val="24"/>
        </w:rPr>
        <w:t xml:space="preserve"> </w:t>
      </w:r>
    </w:p>
    <w:p w14:paraId="453416D9" w14:textId="77777777" w:rsidR="00A04A6C" w:rsidRDefault="00600DDB" w:rsidP="00702EEB">
      <w:pPr>
        <w:spacing w:after="0" w:line="360" w:lineRule="auto"/>
        <w:jc w:val="both"/>
        <w:rPr>
          <w:rFonts w:asciiTheme="majorBidi" w:hAnsiTheme="majorBidi" w:cstheme="majorBidi"/>
          <w:bCs/>
          <w:sz w:val="24"/>
          <w:szCs w:val="24"/>
        </w:rPr>
      </w:pPr>
      <w:r w:rsidRPr="001855AA">
        <w:rPr>
          <w:rFonts w:asciiTheme="majorBidi" w:hAnsiTheme="majorBidi" w:cstheme="majorBidi"/>
          <w:sz w:val="24"/>
          <w:szCs w:val="24"/>
        </w:rPr>
        <w:t xml:space="preserve">Peripheral EDTA blood was collected to obtain DNA samples as well as other tissue specimens, such as saliva, or cheek swabs from parents, affected individuals, and healthy siblings when required. </w:t>
      </w:r>
      <w:r w:rsidRPr="001855AA">
        <w:rPr>
          <w:rFonts w:asciiTheme="majorBidi" w:hAnsiTheme="majorBidi" w:cstheme="majorBidi"/>
          <w:bCs/>
          <w:sz w:val="24"/>
          <w:szCs w:val="24"/>
        </w:rPr>
        <w:t xml:space="preserve">When samples were available from a previously stored DNA in the clinical laboratory, an aliquot was taken after obtaining written consent from the families. Otherwise, to obtain DNA </w:t>
      </w:r>
      <w:r w:rsidRPr="00FA1D82">
        <w:rPr>
          <w:rFonts w:asciiTheme="majorBidi" w:hAnsiTheme="majorBidi" w:cstheme="majorBidi"/>
          <w:bCs/>
          <w:sz w:val="24"/>
          <w:szCs w:val="24"/>
        </w:rPr>
        <w:t xml:space="preserve">samples, </w:t>
      </w:r>
      <w:r w:rsidRPr="001855AA">
        <w:rPr>
          <w:rFonts w:asciiTheme="majorBidi" w:hAnsiTheme="majorBidi" w:cstheme="majorBidi"/>
          <w:bCs/>
          <w:sz w:val="24"/>
          <w:szCs w:val="24"/>
        </w:rPr>
        <w:t xml:space="preserve">blood samples were collected in sterile air-vacuumed tubes containing ethylene diamine tetra acetic acid (EDTA) from all participants. </w:t>
      </w:r>
      <w:r w:rsidR="00702EEB">
        <w:rPr>
          <w:rFonts w:asciiTheme="majorBidi" w:hAnsiTheme="majorBidi" w:cstheme="majorBidi"/>
          <w:bCs/>
          <w:sz w:val="24"/>
          <w:szCs w:val="24"/>
        </w:rPr>
        <w:t>F</w:t>
      </w:r>
      <w:r w:rsidR="00702EEB" w:rsidRPr="001855AA">
        <w:rPr>
          <w:rFonts w:asciiTheme="majorBidi" w:hAnsiTheme="majorBidi" w:cstheme="majorBidi"/>
          <w:bCs/>
          <w:sz w:val="24"/>
          <w:szCs w:val="24"/>
        </w:rPr>
        <w:t>ollowing the manufacturer’s protocol</w:t>
      </w:r>
      <w:r w:rsidR="00702EEB">
        <w:rPr>
          <w:rFonts w:asciiTheme="majorBidi" w:hAnsiTheme="majorBidi" w:cstheme="majorBidi"/>
          <w:bCs/>
          <w:sz w:val="24"/>
          <w:szCs w:val="24"/>
        </w:rPr>
        <w:t>,</w:t>
      </w:r>
      <w:r w:rsidR="00702EEB" w:rsidRPr="001855AA">
        <w:rPr>
          <w:rFonts w:asciiTheme="majorBidi" w:hAnsiTheme="majorBidi" w:cstheme="majorBidi"/>
          <w:bCs/>
          <w:sz w:val="24"/>
          <w:szCs w:val="24"/>
        </w:rPr>
        <w:t xml:space="preserve"> </w:t>
      </w:r>
      <w:r w:rsidR="00702EEB">
        <w:rPr>
          <w:rFonts w:asciiTheme="majorBidi" w:hAnsiTheme="majorBidi" w:cstheme="majorBidi"/>
          <w:bCs/>
          <w:sz w:val="24"/>
          <w:szCs w:val="24"/>
        </w:rPr>
        <w:t xml:space="preserve">the </w:t>
      </w:r>
      <w:r w:rsidRPr="001855AA">
        <w:rPr>
          <w:rFonts w:asciiTheme="majorBidi" w:hAnsiTheme="majorBidi" w:cstheme="majorBidi"/>
          <w:bCs/>
          <w:sz w:val="24"/>
          <w:szCs w:val="24"/>
        </w:rPr>
        <w:t xml:space="preserve">Qiagen </w:t>
      </w:r>
      <w:r w:rsidR="00702EEB">
        <w:rPr>
          <w:rFonts w:asciiTheme="majorBidi" w:hAnsiTheme="majorBidi" w:cstheme="majorBidi"/>
          <w:bCs/>
          <w:sz w:val="24"/>
          <w:szCs w:val="24"/>
        </w:rPr>
        <w:t>DNA maxi kit (Qiagen, Germany),</w:t>
      </w:r>
      <w:r w:rsidRPr="001855AA">
        <w:rPr>
          <w:rFonts w:asciiTheme="majorBidi" w:hAnsiTheme="majorBidi" w:cstheme="majorBidi"/>
          <w:bCs/>
          <w:sz w:val="24"/>
          <w:szCs w:val="24"/>
        </w:rPr>
        <w:t xml:space="preserve"> was used for DNA extraction.      </w:t>
      </w:r>
      <w:bookmarkStart w:id="5" w:name="_Toc102008005"/>
    </w:p>
    <w:p w14:paraId="7A5D5DE7" w14:textId="77777777" w:rsidR="00A04A6C" w:rsidRDefault="00A04A6C" w:rsidP="00A04A6C">
      <w:pPr>
        <w:spacing w:after="0" w:line="360" w:lineRule="auto"/>
        <w:jc w:val="both"/>
        <w:rPr>
          <w:rFonts w:asciiTheme="majorBidi" w:hAnsiTheme="majorBidi" w:cstheme="majorBidi"/>
          <w:bCs/>
          <w:sz w:val="24"/>
          <w:szCs w:val="24"/>
        </w:rPr>
      </w:pPr>
    </w:p>
    <w:p w14:paraId="6AE871FC" w14:textId="77777777" w:rsidR="00600DDB" w:rsidRPr="000E20EB" w:rsidRDefault="00600DDB" w:rsidP="00A04A6C">
      <w:pPr>
        <w:spacing w:after="0" w:line="360" w:lineRule="auto"/>
        <w:jc w:val="both"/>
        <w:rPr>
          <w:rFonts w:asciiTheme="majorBidi" w:hAnsiTheme="majorBidi" w:cstheme="majorBidi"/>
          <w:b/>
          <w:bCs/>
          <w:color w:val="000000" w:themeColor="text1"/>
          <w:sz w:val="24"/>
          <w:szCs w:val="24"/>
        </w:rPr>
      </w:pPr>
      <w:r w:rsidRPr="000E20EB">
        <w:rPr>
          <w:rFonts w:asciiTheme="majorBidi" w:hAnsiTheme="majorBidi" w:cstheme="majorBidi"/>
          <w:b/>
          <w:bCs/>
          <w:color w:val="000000" w:themeColor="text1"/>
          <w:sz w:val="24"/>
          <w:szCs w:val="24"/>
        </w:rPr>
        <w:t>Whole-Exome Sequencing</w:t>
      </w:r>
      <w:bookmarkEnd w:id="5"/>
    </w:p>
    <w:p w14:paraId="7269AF2E" w14:textId="77777777" w:rsidR="00600DDB" w:rsidRPr="001855AA" w:rsidRDefault="00600DDB" w:rsidP="00702EEB">
      <w:pPr>
        <w:spacing w:after="0" w:line="360" w:lineRule="auto"/>
        <w:jc w:val="both"/>
        <w:rPr>
          <w:rFonts w:asciiTheme="majorBidi" w:hAnsiTheme="majorBidi" w:cstheme="majorBidi"/>
          <w:sz w:val="24"/>
          <w:szCs w:val="24"/>
        </w:rPr>
      </w:pPr>
      <w:r w:rsidRPr="001855AA">
        <w:rPr>
          <w:rFonts w:asciiTheme="majorBidi" w:hAnsiTheme="majorBidi" w:cstheme="majorBidi"/>
          <w:sz w:val="24"/>
          <w:szCs w:val="24"/>
        </w:rPr>
        <w:t>Whole exome sequencing (WES) was performed to identify the genetic variants that might be causative of the disease</w:t>
      </w:r>
      <w:r>
        <w:rPr>
          <w:rFonts w:asciiTheme="majorBidi" w:hAnsiTheme="majorBidi" w:cstheme="majorBidi"/>
          <w:sz w:val="24"/>
          <w:szCs w:val="24"/>
        </w:rPr>
        <w:t xml:space="preserve"> </w:t>
      </w:r>
      <w:r w:rsidRPr="001855AA">
        <w:rPr>
          <w:rFonts w:asciiTheme="majorBidi" w:hAnsiTheme="majorBidi" w:cstheme="majorBidi"/>
          <w:sz w:val="24"/>
          <w:szCs w:val="24"/>
        </w:rPr>
        <w:t xml:space="preserve">in the affected participants. </w:t>
      </w:r>
      <w:r w:rsidR="00702EEB">
        <w:rPr>
          <w:rFonts w:asciiTheme="majorBidi" w:hAnsiTheme="majorBidi" w:cstheme="majorBidi"/>
          <w:sz w:val="24"/>
          <w:szCs w:val="24"/>
        </w:rPr>
        <w:t>Exome sequencing was outsourced to a clinical-grade service laboratory for rapid results and cost-effectiveness</w:t>
      </w:r>
      <w:r w:rsidRPr="001855AA">
        <w:rPr>
          <w:rFonts w:asciiTheme="majorBidi" w:hAnsiTheme="majorBidi" w:cstheme="majorBidi"/>
          <w:sz w:val="24"/>
          <w:szCs w:val="24"/>
        </w:rPr>
        <w:t>. In brief</w:t>
      </w:r>
      <w:r w:rsidR="006016D5">
        <w:rPr>
          <w:rFonts w:asciiTheme="majorBidi" w:hAnsiTheme="majorBidi" w:cstheme="majorBidi"/>
          <w:sz w:val="24"/>
          <w:szCs w:val="24"/>
        </w:rPr>
        <w:t>,</w:t>
      </w:r>
      <w:r w:rsidRPr="001855AA">
        <w:rPr>
          <w:rFonts w:asciiTheme="majorBidi" w:hAnsiTheme="majorBidi" w:cstheme="majorBidi"/>
          <w:sz w:val="24"/>
          <w:szCs w:val="24"/>
        </w:rPr>
        <w:t xml:space="preserve"> DNA was barcoded and enriched for the coding exons of targeted genes using hybrid capture technology (Agilent </w:t>
      </w:r>
      <w:proofErr w:type="spellStart"/>
      <w:r w:rsidRPr="001855AA">
        <w:rPr>
          <w:rFonts w:asciiTheme="majorBidi" w:hAnsiTheme="majorBidi" w:cstheme="majorBidi"/>
          <w:sz w:val="24"/>
          <w:szCs w:val="24"/>
        </w:rPr>
        <w:t>SureSelect</w:t>
      </w:r>
      <w:proofErr w:type="spellEnd"/>
      <w:r w:rsidRPr="001855AA">
        <w:rPr>
          <w:rFonts w:asciiTheme="majorBidi" w:hAnsiTheme="majorBidi" w:cstheme="majorBidi"/>
          <w:sz w:val="24"/>
          <w:szCs w:val="24"/>
        </w:rPr>
        <w:t xml:space="preserve"> Human All-exons-V6 or V7). Prepared DNA libraries were then sequenced using a Next-Generation Sequencing (NGS) Illumina technology [Hiseq2500, Hiseq4000</w:t>
      </w:r>
      <w:r w:rsidR="006016D5">
        <w:rPr>
          <w:rFonts w:asciiTheme="majorBidi" w:hAnsiTheme="majorBidi" w:cstheme="majorBidi"/>
          <w:sz w:val="24"/>
          <w:szCs w:val="24"/>
        </w:rPr>
        <w:t>,</w:t>
      </w:r>
      <w:r w:rsidRPr="001855AA">
        <w:rPr>
          <w:rFonts w:asciiTheme="majorBidi" w:hAnsiTheme="majorBidi" w:cstheme="majorBidi"/>
          <w:sz w:val="24"/>
          <w:szCs w:val="24"/>
        </w:rPr>
        <w:t xml:space="preserve"> or NovaSeq6000] of 150 bp paired-end, at 150-200X coverage. The reads were mapped against UCSC GRCh37/hg19 or GRCh38/hg38 by Burrows-Wheeler Aligner (BWA 0.7.12).</w:t>
      </w:r>
      <w:r>
        <w:rPr>
          <w:rFonts w:asciiTheme="majorBidi" w:hAnsiTheme="majorBidi" w:cstheme="majorBidi"/>
          <w:sz w:val="24"/>
          <w:szCs w:val="24"/>
        </w:rPr>
        <w:t xml:space="preserve"> </w:t>
      </w:r>
      <w:r w:rsidRPr="001855AA">
        <w:rPr>
          <w:rFonts w:asciiTheme="majorBidi" w:hAnsiTheme="majorBidi" w:cstheme="majorBidi"/>
          <w:sz w:val="24"/>
          <w:szCs w:val="24"/>
        </w:rPr>
        <w:t xml:space="preserve">Genome Analysis Tool Kit (GATK 3.4 or </w:t>
      </w:r>
      <w:proofErr w:type="spellStart"/>
      <w:r w:rsidRPr="001855AA">
        <w:rPr>
          <w:rFonts w:asciiTheme="majorBidi" w:hAnsiTheme="majorBidi" w:cstheme="majorBidi"/>
          <w:sz w:val="24"/>
          <w:szCs w:val="24"/>
        </w:rPr>
        <w:t>Haplotypecaller</w:t>
      </w:r>
      <w:proofErr w:type="spellEnd"/>
      <w:r w:rsidRPr="001855AA">
        <w:rPr>
          <w:rFonts w:asciiTheme="majorBidi" w:hAnsiTheme="majorBidi" w:cstheme="majorBidi"/>
          <w:sz w:val="24"/>
          <w:szCs w:val="24"/>
        </w:rPr>
        <w:t xml:space="preserve"> in GATKv4) was used for variant calling</w:t>
      </w:r>
      <w:r>
        <w:rPr>
          <w:rFonts w:asciiTheme="majorBidi" w:hAnsiTheme="majorBidi" w:cstheme="majorBidi"/>
          <w:sz w:val="24"/>
          <w:szCs w:val="24"/>
        </w:rPr>
        <w:t>.</w:t>
      </w:r>
      <w:r w:rsidRPr="001855AA">
        <w:rPr>
          <w:rFonts w:asciiTheme="majorBidi" w:hAnsiTheme="majorBidi" w:cstheme="majorBidi"/>
          <w:sz w:val="24"/>
          <w:szCs w:val="24"/>
        </w:rPr>
        <w:t xml:space="preserve"> </w:t>
      </w:r>
    </w:p>
    <w:p w14:paraId="5B72616F" w14:textId="77777777" w:rsidR="00600DDB" w:rsidRPr="001855AA" w:rsidRDefault="00600DDB" w:rsidP="00600DDB">
      <w:pPr>
        <w:spacing w:after="0" w:line="360" w:lineRule="auto"/>
        <w:jc w:val="both"/>
        <w:rPr>
          <w:rFonts w:asciiTheme="majorBidi" w:hAnsiTheme="majorBidi" w:cstheme="majorBidi"/>
          <w:sz w:val="24"/>
          <w:szCs w:val="24"/>
        </w:rPr>
      </w:pPr>
      <w:r w:rsidRPr="001855AA">
        <w:rPr>
          <w:rFonts w:asciiTheme="majorBidi" w:hAnsiTheme="majorBidi" w:cstheme="majorBidi"/>
          <w:sz w:val="24"/>
          <w:szCs w:val="24"/>
        </w:rPr>
        <w:t xml:space="preserve">Raw data were analyzed using in-house annotation and analysis pipelines. Collected raw data (BAM and VCF files) were pre-processed using </w:t>
      </w:r>
      <w:proofErr w:type="spellStart"/>
      <w:r w:rsidRPr="001855AA">
        <w:rPr>
          <w:rFonts w:asciiTheme="majorBidi" w:hAnsiTheme="majorBidi" w:cstheme="majorBidi"/>
          <w:sz w:val="24"/>
          <w:szCs w:val="24"/>
        </w:rPr>
        <w:t>BCFtools</w:t>
      </w:r>
      <w:proofErr w:type="spellEnd"/>
      <w:r w:rsidRPr="001855AA">
        <w:rPr>
          <w:rFonts w:asciiTheme="majorBidi" w:hAnsiTheme="majorBidi" w:cstheme="majorBidi"/>
          <w:sz w:val="24"/>
          <w:szCs w:val="24"/>
        </w:rPr>
        <w:t xml:space="preserve"> (v.1.5)</w:t>
      </w:r>
      <w:r w:rsidR="00702EEB">
        <w:rPr>
          <w:rFonts w:asciiTheme="majorBidi" w:hAnsiTheme="majorBidi" w:cstheme="majorBidi"/>
          <w:sz w:val="24"/>
          <w:szCs w:val="24"/>
        </w:rPr>
        <w:t>,</w:t>
      </w:r>
      <w:r w:rsidRPr="001855AA">
        <w:rPr>
          <w:rFonts w:asciiTheme="majorBidi" w:hAnsiTheme="majorBidi" w:cstheme="majorBidi"/>
          <w:sz w:val="24"/>
          <w:szCs w:val="24"/>
        </w:rPr>
        <w:t xml:space="preserve"> and then annotation was completed using ANNOVAR tools (version release 2015</w:t>
      </w:r>
      <w:r>
        <w:rPr>
          <w:rFonts w:asciiTheme="majorBidi" w:hAnsiTheme="majorBidi" w:cstheme="majorBidi"/>
          <w:sz w:val="24"/>
          <w:szCs w:val="24"/>
        </w:rPr>
        <w:t xml:space="preserve"> </w:t>
      </w:r>
      <w:r w:rsidRPr="001855AA">
        <w:rPr>
          <w:rFonts w:asciiTheme="majorBidi" w:hAnsiTheme="majorBidi" w:cstheme="majorBidi"/>
          <w:sz w:val="24"/>
          <w:szCs w:val="24"/>
        </w:rPr>
        <w:t xml:space="preserve">Dec14 with its updates). Left alignment and decomposition of multiallelic sites were completed for all raw files using the same pipeline. </w:t>
      </w:r>
      <w:r w:rsidRPr="001855AA">
        <w:rPr>
          <w:rFonts w:asciiTheme="majorBidi" w:hAnsiTheme="majorBidi" w:cstheme="majorBidi"/>
          <w:sz w:val="24"/>
          <w:szCs w:val="24"/>
        </w:rPr>
        <w:lastRenderedPageBreak/>
        <w:t>Variant filtration was conducted only to keep novel or rare variants (≤ 1%). Publicly available variant databases (1000 Genomes, Exome Variant Server, and GnomAD) were used to determine the frequency. Al</w:t>
      </w:r>
      <w:r w:rsidR="00A04A6C">
        <w:rPr>
          <w:rFonts w:asciiTheme="majorBidi" w:hAnsiTheme="majorBidi" w:cstheme="majorBidi"/>
          <w:sz w:val="24"/>
          <w:szCs w:val="24"/>
        </w:rPr>
        <w:t>so, an in-house database of 1564</w:t>
      </w:r>
      <w:r w:rsidRPr="001855AA">
        <w:rPr>
          <w:rFonts w:asciiTheme="majorBidi" w:hAnsiTheme="majorBidi" w:cstheme="majorBidi"/>
          <w:sz w:val="24"/>
          <w:szCs w:val="24"/>
        </w:rPr>
        <w:t xml:space="preserve"> exomes was used to filter out common or benign variants specific to our population.</w:t>
      </w:r>
    </w:p>
    <w:p w14:paraId="4E10C48D" w14:textId="77777777" w:rsidR="00F73426" w:rsidRDefault="00600DDB" w:rsidP="000E0165">
      <w:pPr>
        <w:spacing w:after="0" w:line="360" w:lineRule="auto"/>
        <w:rPr>
          <w:rFonts w:asciiTheme="majorBidi" w:hAnsiTheme="majorBidi" w:cstheme="majorBidi"/>
          <w:sz w:val="24"/>
          <w:szCs w:val="24"/>
        </w:rPr>
      </w:pPr>
      <w:r w:rsidRPr="001855AA">
        <w:rPr>
          <w:rFonts w:asciiTheme="majorBidi" w:hAnsiTheme="majorBidi" w:cstheme="majorBidi"/>
          <w:sz w:val="24"/>
          <w:szCs w:val="24"/>
        </w:rPr>
        <w:t>Filtration and prioritization were conducted as follow</w:t>
      </w:r>
      <w:r w:rsidR="00F73426">
        <w:rPr>
          <w:rFonts w:asciiTheme="majorBidi" w:hAnsiTheme="majorBidi" w:cstheme="majorBidi"/>
          <w:sz w:val="24"/>
          <w:szCs w:val="24"/>
        </w:rPr>
        <w:t xml:space="preserve">s: </w:t>
      </w:r>
      <w:r w:rsidRPr="001855AA">
        <w:rPr>
          <w:rFonts w:asciiTheme="majorBidi" w:hAnsiTheme="majorBidi" w:cstheme="majorBidi"/>
          <w:sz w:val="24"/>
          <w:szCs w:val="24"/>
        </w:rPr>
        <w:t xml:space="preserve">only </w:t>
      </w:r>
      <w:sdt>
        <w:sdtPr>
          <w:rPr>
            <w:rFonts w:asciiTheme="majorBidi" w:hAnsiTheme="majorBidi" w:cstheme="majorBidi"/>
            <w:sz w:val="24"/>
            <w:szCs w:val="24"/>
          </w:rPr>
          <w:tag w:val="goog_rdk_132"/>
          <w:id w:val="1385303788"/>
        </w:sdtPr>
        <w:sdtEndPr/>
        <w:sdtContent>
          <w:r w:rsidRPr="001855AA">
            <w:rPr>
              <w:rFonts w:asciiTheme="majorBidi" w:hAnsiTheme="majorBidi" w:cstheme="majorBidi"/>
              <w:sz w:val="24"/>
              <w:szCs w:val="24"/>
            </w:rPr>
            <w:t xml:space="preserve">rare </w:t>
          </w:r>
        </w:sdtContent>
      </w:sdt>
      <w:r w:rsidRPr="001855AA">
        <w:rPr>
          <w:rFonts w:asciiTheme="majorBidi" w:hAnsiTheme="majorBidi" w:cstheme="majorBidi"/>
          <w:sz w:val="24"/>
          <w:szCs w:val="24"/>
        </w:rPr>
        <w:t>coding or splicing variants were considered</w:t>
      </w:r>
      <w:r w:rsidR="00F73426">
        <w:rPr>
          <w:rFonts w:asciiTheme="majorBidi" w:hAnsiTheme="majorBidi" w:cstheme="majorBidi"/>
          <w:sz w:val="24"/>
          <w:szCs w:val="24"/>
        </w:rPr>
        <w:t xml:space="preserve"> initially</w:t>
      </w:r>
      <w:r w:rsidRPr="001855AA">
        <w:rPr>
          <w:rFonts w:asciiTheme="majorBidi" w:hAnsiTheme="majorBidi" w:cstheme="majorBidi"/>
          <w:sz w:val="24"/>
          <w:szCs w:val="24"/>
        </w:rPr>
        <w:t>. The phenotype and mode of inheritance were considered. The following criteria were then used to prioritize variants; high impact or highly damaging missense, a CADD score ≥ 15</w:t>
      </w:r>
      <w:r w:rsidR="006016D5">
        <w:rPr>
          <w:rFonts w:asciiTheme="majorBidi" w:hAnsiTheme="majorBidi" w:cstheme="majorBidi"/>
          <w:sz w:val="24"/>
          <w:szCs w:val="24"/>
        </w:rPr>
        <w:t>,</w:t>
      </w:r>
      <w:r w:rsidRPr="001855AA">
        <w:rPr>
          <w:rFonts w:asciiTheme="majorBidi" w:hAnsiTheme="majorBidi" w:cstheme="majorBidi"/>
          <w:sz w:val="24"/>
          <w:szCs w:val="24"/>
        </w:rPr>
        <w:t xml:space="preserve"> and a variant shared between the affected individuals</w:t>
      </w:r>
      <w:r>
        <w:rPr>
          <w:rFonts w:asciiTheme="majorBidi" w:hAnsiTheme="majorBidi" w:cstheme="majorBidi"/>
          <w:sz w:val="24"/>
          <w:szCs w:val="24"/>
        </w:rPr>
        <w:t>.</w:t>
      </w:r>
      <w:r w:rsidRPr="001855AA">
        <w:rPr>
          <w:rFonts w:asciiTheme="majorBidi" w:hAnsiTheme="majorBidi" w:cstheme="majorBidi"/>
          <w:sz w:val="24"/>
          <w:szCs w:val="24"/>
        </w:rPr>
        <w:t xml:space="preserve"> Sanger sequencing was done to confirm variant segregation within family members.</w:t>
      </w:r>
      <w:r w:rsidR="00F73426">
        <w:rPr>
          <w:rFonts w:asciiTheme="majorBidi" w:hAnsiTheme="majorBidi" w:cstheme="majorBidi"/>
          <w:sz w:val="24"/>
          <w:szCs w:val="24"/>
        </w:rPr>
        <w:t xml:space="preserve"> </w:t>
      </w:r>
      <w:r w:rsidRPr="001855AA">
        <w:rPr>
          <w:rFonts w:asciiTheme="majorBidi" w:hAnsiTheme="majorBidi" w:cstheme="majorBidi"/>
          <w:sz w:val="24"/>
          <w:szCs w:val="24"/>
        </w:rPr>
        <w:t>Supporting evidence for candidate genes include population frequency supports</w:t>
      </w:r>
      <w:r w:rsidR="00702EEB">
        <w:rPr>
          <w:rFonts w:asciiTheme="majorBidi" w:hAnsiTheme="majorBidi" w:cstheme="majorBidi"/>
          <w:sz w:val="24"/>
          <w:szCs w:val="24"/>
        </w:rPr>
        <w:t>,</w:t>
      </w:r>
      <w:r w:rsidRPr="001855AA">
        <w:rPr>
          <w:rFonts w:asciiTheme="majorBidi" w:hAnsiTheme="majorBidi" w:cstheme="majorBidi"/>
          <w:sz w:val="24"/>
          <w:szCs w:val="24"/>
        </w:rPr>
        <w:t xml:space="preserve"> genic intolerance to such type</w:t>
      </w:r>
      <w:r w:rsidR="00F412C6">
        <w:rPr>
          <w:rFonts w:asciiTheme="majorBidi" w:hAnsiTheme="majorBidi" w:cstheme="majorBidi"/>
          <w:sz w:val="24"/>
          <w:szCs w:val="24"/>
        </w:rPr>
        <w:t>s</w:t>
      </w:r>
      <w:r w:rsidRPr="001855AA">
        <w:rPr>
          <w:rFonts w:asciiTheme="majorBidi" w:hAnsiTheme="majorBidi" w:cstheme="majorBidi"/>
          <w:sz w:val="24"/>
          <w:szCs w:val="24"/>
        </w:rPr>
        <w:t xml:space="preserve"> of variants or genes knock-out, and in-silico predictions tools indicating damaging effect. </w:t>
      </w:r>
      <w:r w:rsidR="00D205C4" w:rsidRPr="00D205C4">
        <w:rPr>
          <w:rFonts w:asciiTheme="majorBidi" w:hAnsiTheme="majorBidi" w:cstheme="majorBidi"/>
          <w:sz w:val="24"/>
          <w:szCs w:val="24"/>
        </w:rPr>
        <w:t xml:space="preserve">Accurate deleteriousness prediction for nonsynonymous variants is essential to infer the pathogenicity of the prioritized variants. Although many deleteriousness in-silico prediction methods have been developed, the results are inconsistent. In our study, we used tools that integrate and combine scores from multiple individual prediction methods. We selected the known tools named </w:t>
      </w:r>
      <w:proofErr w:type="spellStart"/>
      <w:r w:rsidR="00D205C4" w:rsidRPr="00D205C4">
        <w:rPr>
          <w:rFonts w:asciiTheme="majorBidi" w:hAnsiTheme="majorBidi" w:cstheme="majorBidi"/>
          <w:sz w:val="24"/>
          <w:szCs w:val="24"/>
        </w:rPr>
        <w:t>MetaLR</w:t>
      </w:r>
      <w:proofErr w:type="spellEnd"/>
      <w:r w:rsidR="00D205C4" w:rsidRPr="00D205C4">
        <w:rPr>
          <w:rFonts w:asciiTheme="majorBidi" w:hAnsiTheme="majorBidi" w:cstheme="majorBidi"/>
          <w:sz w:val="24"/>
          <w:szCs w:val="24"/>
        </w:rPr>
        <w:t xml:space="preserve">, </w:t>
      </w:r>
      <w:proofErr w:type="spellStart"/>
      <w:r w:rsidR="00D205C4" w:rsidRPr="00D205C4">
        <w:rPr>
          <w:rFonts w:asciiTheme="majorBidi" w:hAnsiTheme="majorBidi" w:cstheme="majorBidi"/>
          <w:sz w:val="24"/>
          <w:szCs w:val="24"/>
        </w:rPr>
        <w:t>MetaSVM</w:t>
      </w:r>
      <w:proofErr w:type="spellEnd"/>
      <w:r w:rsidR="00D205C4" w:rsidRPr="00D205C4">
        <w:rPr>
          <w:rFonts w:asciiTheme="majorBidi" w:hAnsiTheme="majorBidi" w:cstheme="majorBidi"/>
          <w:sz w:val="24"/>
          <w:szCs w:val="24"/>
        </w:rPr>
        <w:t xml:space="preserve">, </w:t>
      </w:r>
      <w:proofErr w:type="spellStart"/>
      <w:r w:rsidR="00D205C4" w:rsidRPr="00D205C4">
        <w:rPr>
          <w:rFonts w:asciiTheme="majorBidi" w:hAnsiTheme="majorBidi" w:cstheme="majorBidi"/>
          <w:sz w:val="24"/>
          <w:szCs w:val="24"/>
        </w:rPr>
        <w:t>MetaRNN</w:t>
      </w:r>
      <w:proofErr w:type="spellEnd"/>
      <w:r w:rsidR="00D205C4" w:rsidRPr="00D205C4">
        <w:rPr>
          <w:rFonts w:asciiTheme="majorBidi" w:hAnsiTheme="majorBidi" w:cstheme="majorBidi"/>
          <w:sz w:val="24"/>
          <w:szCs w:val="24"/>
        </w:rPr>
        <w:t xml:space="preserve"> and REVEL. These tools integrate data from over 20 prediction scores, for example, SIFT, PolyPhen-2, GERP++, </w:t>
      </w:r>
      <w:proofErr w:type="spellStart"/>
      <w:r w:rsidR="00D205C4" w:rsidRPr="00D205C4">
        <w:rPr>
          <w:rFonts w:asciiTheme="majorBidi" w:hAnsiTheme="majorBidi" w:cstheme="majorBidi"/>
          <w:sz w:val="24"/>
          <w:szCs w:val="24"/>
        </w:rPr>
        <w:t>MutationTaster</w:t>
      </w:r>
      <w:proofErr w:type="spellEnd"/>
      <w:r w:rsidR="00D205C4" w:rsidRPr="00D205C4">
        <w:rPr>
          <w:rFonts w:asciiTheme="majorBidi" w:hAnsiTheme="majorBidi" w:cstheme="majorBidi"/>
          <w:sz w:val="24"/>
          <w:szCs w:val="24"/>
        </w:rPr>
        <w:t xml:space="preserve">, Mutation Assessor, FATHMM, LRT, </w:t>
      </w:r>
      <w:proofErr w:type="spellStart"/>
      <w:r w:rsidR="00D205C4" w:rsidRPr="00D205C4">
        <w:rPr>
          <w:rFonts w:asciiTheme="majorBidi" w:hAnsiTheme="majorBidi" w:cstheme="majorBidi"/>
          <w:sz w:val="24"/>
          <w:szCs w:val="24"/>
        </w:rPr>
        <w:t>SiPhy</w:t>
      </w:r>
      <w:proofErr w:type="spellEnd"/>
      <w:r w:rsidR="00D205C4" w:rsidRPr="00D205C4">
        <w:rPr>
          <w:rFonts w:asciiTheme="majorBidi" w:hAnsiTheme="majorBidi" w:cstheme="majorBidi"/>
          <w:sz w:val="24"/>
          <w:szCs w:val="24"/>
        </w:rPr>
        <w:t xml:space="preserve"> and </w:t>
      </w:r>
      <w:proofErr w:type="spellStart"/>
      <w:r w:rsidR="00D205C4" w:rsidRPr="00D205C4">
        <w:rPr>
          <w:rFonts w:asciiTheme="majorBidi" w:hAnsiTheme="majorBidi" w:cstheme="majorBidi"/>
          <w:sz w:val="24"/>
          <w:szCs w:val="24"/>
        </w:rPr>
        <w:t>PhyloP</w:t>
      </w:r>
      <w:proofErr w:type="spellEnd"/>
      <w:r w:rsidR="00D205C4" w:rsidRPr="00D205C4">
        <w:rPr>
          <w:rFonts w:asciiTheme="majorBidi" w:hAnsiTheme="majorBidi" w:cstheme="majorBidi"/>
          <w:sz w:val="24"/>
          <w:szCs w:val="24"/>
        </w:rPr>
        <w:t xml:space="preserve">. </w:t>
      </w:r>
      <w:r w:rsidR="00E579B8" w:rsidRPr="00E579B8">
        <w:rPr>
          <w:rFonts w:asciiTheme="majorBidi" w:hAnsiTheme="majorBidi" w:cstheme="majorBidi"/>
          <w:sz w:val="24"/>
          <w:szCs w:val="24"/>
        </w:rPr>
        <w:t xml:space="preserve">In addition to the allele frequency information from the 1000 Genomes Project (1000GP), ExAC, and </w:t>
      </w:r>
      <w:proofErr w:type="spellStart"/>
      <w:r w:rsidR="00E579B8" w:rsidRPr="00E579B8">
        <w:rPr>
          <w:rFonts w:asciiTheme="majorBidi" w:hAnsiTheme="majorBidi" w:cstheme="majorBidi"/>
          <w:sz w:val="24"/>
          <w:szCs w:val="24"/>
        </w:rPr>
        <w:t>gnomAD</w:t>
      </w:r>
      <w:proofErr w:type="spellEnd"/>
      <w:r w:rsidR="00E579B8" w:rsidRPr="00E579B8">
        <w:rPr>
          <w:rFonts w:asciiTheme="majorBidi" w:hAnsiTheme="majorBidi" w:cstheme="majorBidi"/>
          <w:sz w:val="24"/>
          <w:szCs w:val="24"/>
        </w:rPr>
        <w:t>. In our analysis, these tools were used as part of the evidence for pathogenicity in combination with evidence from the phenotypic and varia</w:t>
      </w:r>
      <w:r w:rsidR="00E579B8">
        <w:rPr>
          <w:rFonts w:asciiTheme="majorBidi" w:hAnsiTheme="majorBidi" w:cstheme="majorBidi"/>
          <w:sz w:val="24"/>
          <w:szCs w:val="24"/>
        </w:rPr>
        <w:t xml:space="preserve">nt characteristics. </w:t>
      </w:r>
      <w:r w:rsidRPr="001855AA">
        <w:rPr>
          <w:rFonts w:asciiTheme="majorBidi" w:hAnsiTheme="majorBidi" w:cstheme="majorBidi"/>
          <w:sz w:val="24"/>
          <w:szCs w:val="24"/>
        </w:rPr>
        <w:t xml:space="preserve">Also, data for gene function and network, gene expression, and animal models were considered. </w:t>
      </w:r>
    </w:p>
    <w:p w14:paraId="74513E45" w14:textId="1C899EF2" w:rsidR="00600DDB" w:rsidRPr="00F4777C" w:rsidRDefault="002C3F27" w:rsidP="00A23E38">
      <w:pPr>
        <w:spacing w:after="0" w:line="360" w:lineRule="auto"/>
        <w:rPr>
          <w:rFonts w:asciiTheme="majorBidi" w:hAnsiTheme="majorBidi" w:cstheme="majorBidi"/>
          <w:sz w:val="24"/>
          <w:szCs w:val="24"/>
        </w:rPr>
      </w:pPr>
      <w:r w:rsidRPr="002C3F27">
        <w:rPr>
          <w:rFonts w:asciiTheme="majorBidi" w:hAnsiTheme="majorBidi" w:cstheme="majorBidi"/>
          <w:sz w:val="24"/>
          <w:szCs w:val="24"/>
        </w:rPr>
        <w:t>For cases where an answer was no</w:t>
      </w:r>
      <w:r w:rsidR="00F4777C">
        <w:rPr>
          <w:rFonts w:asciiTheme="majorBidi" w:hAnsiTheme="majorBidi" w:cstheme="majorBidi"/>
          <w:sz w:val="24"/>
          <w:szCs w:val="24"/>
        </w:rPr>
        <w:t>t</w:t>
      </w:r>
      <w:r w:rsidRPr="002C3F27">
        <w:rPr>
          <w:rFonts w:asciiTheme="majorBidi" w:hAnsiTheme="majorBidi" w:cstheme="majorBidi"/>
          <w:sz w:val="24"/>
          <w:szCs w:val="24"/>
        </w:rPr>
        <w:t xml:space="preserve"> obvious or </w:t>
      </w:r>
      <w:r w:rsidR="006016D5">
        <w:rPr>
          <w:rFonts w:asciiTheme="majorBidi" w:hAnsiTheme="majorBidi" w:cstheme="majorBidi"/>
          <w:sz w:val="24"/>
          <w:szCs w:val="24"/>
        </w:rPr>
        <w:t xml:space="preserve">a </w:t>
      </w:r>
      <w:r w:rsidRPr="002C3F27">
        <w:rPr>
          <w:rFonts w:asciiTheme="majorBidi" w:hAnsiTheme="majorBidi" w:cstheme="majorBidi"/>
          <w:sz w:val="24"/>
          <w:szCs w:val="24"/>
        </w:rPr>
        <w:t xml:space="preserve">candidate gene </w:t>
      </w:r>
      <w:r w:rsidR="006016D5">
        <w:rPr>
          <w:rFonts w:asciiTheme="majorBidi" w:hAnsiTheme="majorBidi" w:cstheme="majorBidi"/>
          <w:sz w:val="24"/>
          <w:szCs w:val="24"/>
        </w:rPr>
        <w:t xml:space="preserve">was </w:t>
      </w:r>
      <w:r w:rsidRPr="002C3F27">
        <w:rPr>
          <w:rFonts w:asciiTheme="majorBidi" w:hAnsiTheme="majorBidi" w:cstheme="majorBidi"/>
          <w:sz w:val="24"/>
          <w:szCs w:val="24"/>
        </w:rPr>
        <w:t xml:space="preserve">selected, we applied copy number variant analysis using </w:t>
      </w:r>
      <w:proofErr w:type="spellStart"/>
      <w:r w:rsidRPr="002C3F27">
        <w:rPr>
          <w:rFonts w:asciiTheme="majorBidi" w:hAnsiTheme="majorBidi" w:cstheme="majorBidi"/>
          <w:sz w:val="24"/>
          <w:szCs w:val="24"/>
        </w:rPr>
        <w:t>ExomDepth</w:t>
      </w:r>
      <w:proofErr w:type="spellEnd"/>
      <w:r>
        <w:rPr>
          <w:rFonts w:asciiTheme="majorBidi" w:hAnsiTheme="majorBidi" w:cstheme="majorBidi"/>
          <w:sz w:val="24"/>
          <w:szCs w:val="24"/>
        </w:rPr>
        <w:t xml:space="preserve">. </w:t>
      </w:r>
      <w:r w:rsidRPr="002C3F27">
        <w:rPr>
          <w:rFonts w:asciiTheme="majorBidi" w:hAnsiTheme="majorBidi" w:cstheme="majorBidi"/>
          <w:sz w:val="24"/>
          <w:szCs w:val="24"/>
        </w:rPr>
        <w:t>ExomeDepth_1.1.15 R library was used to call the CNVs</w:t>
      </w:r>
      <w:r>
        <w:rPr>
          <w:rFonts w:asciiTheme="majorBidi" w:hAnsiTheme="majorBidi" w:cstheme="majorBidi"/>
          <w:sz w:val="24"/>
          <w:szCs w:val="24"/>
        </w:rPr>
        <w:t>.</w:t>
      </w:r>
      <w:r w:rsidR="006016D5">
        <w:rPr>
          <w:rFonts w:asciiTheme="majorBidi" w:hAnsiTheme="majorBidi" w:cstheme="majorBidi"/>
          <w:sz w:val="24"/>
          <w:szCs w:val="24"/>
        </w:rPr>
        <w:t xml:space="preserve"> </w:t>
      </w:r>
      <w:r w:rsidRPr="002C3F27">
        <w:rPr>
          <w:rFonts w:asciiTheme="majorBidi" w:hAnsiTheme="majorBidi" w:cstheme="majorBidi"/>
          <w:sz w:val="24"/>
          <w:szCs w:val="24"/>
        </w:rPr>
        <w:t xml:space="preserve">First, </w:t>
      </w:r>
      <w:r w:rsidR="00702EEB">
        <w:rPr>
          <w:rFonts w:asciiTheme="majorBidi" w:hAnsiTheme="majorBidi" w:cstheme="majorBidi"/>
          <w:sz w:val="24"/>
          <w:szCs w:val="24"/>
        </w:rPr>
        <w:t xml:space="preserve">the count data were </w:t>
      </w:r>
      <w:r w:rsidRPr="002C3F27">
        <w:rPr>
          <w:rFonts w:asciiTheme="majorBidi" w:hAnsiTheme="majorBidi" w:cstheme="majorBidi"/>
          <w:sz w:val="24"/>
          <w:szCs w:val="24"/>
        </w:rPr>
        <w:t>create</w:t>
      </w:r>
      <w:r>
        <w:rPr>
          <w:rFonts w:asciiTheme="majorBidi" w:hAnsiTheme="majorBidi" w:cstheme="majorBidi"/>
          <w:sz w:val="24"/>
          <w:szCs w:val="24"/>
        </w:rPr>
        <w:t>d from BAM</w:t>
      </w:r>
      <w:r w:rsidRPr="002C3F27">
        <w:rPr>
          <w:rFonts w:asciiTheme="majorBidi" w:hAnsiTheme="majorBidi" w:cstheme="majorBidi"/>
          <w:sz w:val="24"/>
          <w:szCs w:val="24"/>
        </w:rPr>
        <w:t xml:space="preserve"> files using the </w:t>
      </w:r>
      <w:r w:rsidR="00702EEB">
        <w:rPr>
          <w:rFonts w:asciiTheme="majorBidi" w:hAnsiTheme="majorBidi" w:cstheme="majorBidi"/>
          <w:sz w:val="24"/>
          <w:szCs w:val="24"/>
        </w:rPr>
        <w:t>“</w:t>
      </w:r>
      <w:proofErr w:type="spellStart"/>
      <w:r w:rsidRPr="002C3F27">
        <w:rPr>
          <w:rFonts w:asciiTheme="majorBidi" w:hAnsiTheme="majorBidi" w:cstheme="majorBidi"/>
          <w:sz w:val="24"/>
          <w:szCs w:val="24"/>
        </w:rPr>
        <w:t>getBamCounts</w:t>
      </w:r>
      <w:proofErr w:type="spellEnd"/>
      <w:r w:rsidR="00702EEB">
        <w:rPr>
          <w:rFonts w:asciiTheme="majorBidi" w:hAnsiTheme="majorBidi" w:cstheme="majorBidi"/>
          <w:sz w:val="24"/>
          <w:szCs w:val="24"/>
        </w:rPr>
        <w:t>”</w:t>
      </w:r>
      <w:r w:rsidRPr="002C3F27">
        <w:rPr>
          <w:rFonts w:asciiTheme="majorBidi" w:hAnsiTheme="majorBidi" w:cstheme="majorBidi"/>
          <w:sz w:val="24"/>
          <w:szCs w:val="24"/>
        </w:rPr>
        <w:t xml:space="preserve"> from the </w:t>
      </w:r>
      <w:proofErr w:type="spellStart"/>
      <w:r w:rsidRPr="002C3F27">
        <w:rPr>
          <w:rFonts w:asciiTheme="majorBidi" w:hAnsiTheme="majorBidi" w:cstheme="majorBidi"/>
          <w:sz w:val="24"/>
          <w:szCs w:val="24"/>
        </w:rPr>
        <w:t>ExomeDepth</w:t>
      </w:r>
      <w:proofErr w:type="spellEnd"/>
      <w:r w:rsidRPr="002C3F27">
        <w:rPr>
          <w:rFonts w:asciiTheme="majorBidi" w:hAnsiTheme="majorBidi" w:cstheme="majorBidi"/>
          <w:sz w:val="24"/>
          <w:szCs w:val="24"/>
        </w:rPr>
        <w:t xml:space="preserve"> </w:t>
      </w:r>
      <w:r>
        <w:rPr>
          <w:rFonts w:asciiTheme="majorBidi" w:hAnsiTheme="majorBidi" w:cstheme="majorBidi"/>
          <w:sz w:val="24"/>
          <w:szCs w:val="24"/>
        </w:rPr>
        <w:t>l</w:t>
      </w:r>
      <w:r w:rsidRPr="002C3F27">
        <w:rPr>
          <w:rFonts w:asciiTheme="majorBidi" w:hAnsiTheme="majorBidi" w:cstheme="majorBidi"/>
          <w:sz w:val="24"/>
          <w:szCs w:val="24"/>
        </w:rPr>
        <w:t>ibrary, creat</w:t>
      </w:r>
      <w:r w:rsidR="00702EEB">
        <w:rPr>
          <w:rFonts w:asciiTheme="majorBidi" w:hAnsiTheme="majorBidi" w:cstheme="majorBidi"/>
          <w:sz w:val="24"/>
          <w:szCs w:val="24"/>
        </w:rPr>
        <w:t>ing a variable of BAM files that includes the test BAM plus 5 aggregate references</w:t>
      </w:r>
      <w:r>
        <w:rPr>
          <w:rFonts w:asciiTheme="majorBidi" w:hAnsiTheme="majorBidi" w:cstheme="majorBidi"/>
          <w:sz w:val="24"/>
          <w:szCs w:val="24"/>
        </w:rPr>
        <w:t xml:space="preserve"> built</w:t>
      </w:r>
      <w:r w:rsidRPr="002C3F27">
        <w:rPr>
          <w:rFonts w:asciiTheme="majorBidi" w:hAnsiTheme="majorBidi" w:cstheme="majorBidi"/>
          <w:sz w:val="24"/>
          <w:szCs w:val="24"/>
        </w:rPr>
        <w:t xml:space="preserve"> an optimized reference set using the </w:t>
      </w:r>
      <w:r w:rsidR="00702EEB">
        <w:rPr>
          <w:rFonts w:asciiTheme="majorBidi" w:hAnsiTheme="majorBidi" w:cstheme="majorBidi"/>
          <w:sz w:val="24"/>
          <w:szCs w:val="24"/>
        </w:rPr>
        <w:t>“</w:t>
      </w:r>
      <w:proofErr w:type="spellStart"/>
      <w:r w:rsidRPr="002C3F27">
        <w:rPr>
          <w:rFonts w:asciiTheme="majorBidi" w:hAnsiTheme="majorBidi" w:cstheme="majorBidi"/>
          <w:sz w:val="24"/>
          <w:szCs w:val="24"/>
        </w:rPr>
        <w:t>select.reference.set</w:t>
      </w:r>
      <w:proofErr w:type="spellEnd"/>
      <w:r w:rsidRPr="002C3F27">
        <w:rPr>
          <w:rFonts w:asciiTheme="majorBidi" w:hAnsiTheme="majorBidi" w:cstheme="majorBidi"/>
          <w:sz w:val="24"/>
          <w:szCs w:val="24"/>
        </w:rPr>
        <w:t xml:space="preserve"> formula</w:t>
      </w:r>
      <w:r w:rsidR="00702EEB">
        <w:rPr>
          <w:rFonts w:asciiTheme="majorBidi" w:hAnsiTheme="majorBidi" w:cstheme="majorBidi"/>
          <w:sz w:val="24"/>
          <w:szCs w:val="24"/>
        </w:rPr>
        <w:t>”</w:t>
      </w:r>
      <w:r w:rsidRPr="002C3F27">
        <w:rPr>
          <w:rFonts w:asciiTheme="majorBidi" w:hAnsiTheme="majorBidi" w:cstheme="majorBidi"/>
          <w:sz w:val="24"/>
          <w:szCs w:val="24"/>
        </w:rPr>
        <w:t>. The CNV calling step applies the beta</w:t>
      </w:r>
      <w:r w:rsidR="006016D5">
        <w:rPr>
          <w:rFonts w:asciiTheme="majorBidi" w:hAnsiTheme="majorBidi" w:cstheme="majorBidi"/>
          <w:sz w:val="24"/>
          <w:szCs w:val="24"/>
        </w:rPr>
        <w:t>-</w:t>
      </w:r>
      <w:r w:rsidRPr="002C3F27">
        <w:rPr>
          <w:rFonts w:asciiTheme="majorBidi" w:hAnsiTheme="majorBidi" w:cstheme="majorBidi"/>
          <w:sz w:val="24"/>
          <w:szCs w:val="24"/>
        </w:rPr>
        <w:t xml:space="preserve">binomial model using the </w:t>
      </w:r>
      <w:r w:rsidR="00702EEB">
        <w:rPr>
          <w:rFonts w:asciiTheme="majorBidi" w:hAnsiTheme="majorBidi" w:cstheme="majorBidi"/>
          <w:sz w:val="24"/>
          <w:szCs w:val="24"/>
        </w:rPr>
        <w:t>“</w:t>
      </w:r>
      <w:r w:rsidRPr="002C3F27">
        <w:rPr>
          <w:rFonts w:asciiTheme="majorBidi" w:hAnsiTheme="majorBidi" w:cstheme="majorBidi"/>
          <w:sz w:val="24"/>
          <w:szCs w:val="24"/>
        </w:rPr>
        <w:t>new</w:t>
      </w:r>
      <w:r w:rsidR="00702EEB">
        <w:rPr>
          <w:rFonts w:asciiTheme="majorBidi" w:hAnsiTheme="majorBidi" w:cstheme="majorBidi"/>
          <w:sz w:val="24"/>
          <w:szCs w:val="24"/>
        </w:rPr>
        <w:t>”</w:t>
      </w:r>
      <w:r w:rsidRPr="002C3F27">
        <w:rPr>
          <w:rFonts w:asciiTheme="majorBidi" w:hAnsiTheme="majorBidi" w:cstheme="majorBidi"/>
          <w:sz w:val="24"/>
          <w:szCs w:val="24"/>
        </w:rPr>
        <w:t xml:space="preserve"> function </w:t>
      </w:r>
      <w:r w:rsidR="006016D5">
        <w:rPr>
          <w:rFonts w:asciiTheme="majorBidi" w:hAnsiTheme="majorBidi" w:cstheme="majorBidi"/>
          <w:sz w:val="24"/>
          <w:szCs w:val="24"/>
        </w:rPr>
        <w:t xml:space="preserve">and the </w:t>
      </w:r>
      <w:r w:rsidR="00702EEB">
        <w:rPr>
          <w:rFonts w:asciiTheme="majorBidi" w:hAnsiTheme="majorBidi" w:cstheme="majorBidi"/>
          <w:sz w:val="24"/>
          <w:szCs w:val="24"/>
        </w:rPr>
        <w:t>“</w:t>
      </w:r>
      <w:r w:rsidRPr="002C3F27">
        <w:rPr>
          <w:rFonts w:asciiTheme="majorBidi" w:hAnsiTheme="majorBidi" w:cstheme="majorBidi"/>
          <w:sz w:val="24"/>
          <w:szCs w:val="24"/>
        </w:rPr>
        <w:t>CALLCNVs</w:t>
      </w:r>
      <w:r w:rsidR="00702EEB">
        <w:rPr>
          <w:rFonts w:asciiTheme="majorBidi" w:hAnsiTheme="majorBidi" w:cstheme="majorBidi"/>
          <w:sz w:val="24"/>
          <w:szCs w:val="24"/>
        </w:rPr>
        <w:t>”</w:t>
      </w:r>
      <w:r w:rsidRPr="002C3F27">
        <w:rPr>
          <w:rFonts w:asciiTheme="majorBidi" w:hAnsiTheme="majorBidi" w:cstheme="majorBidi"/>
          <w:sz w:val="24"/>
          <w:szCs w:val="24"/>
        </w:rPr>
        <w:t xml:space="preserve"> function in the </w:t>
      </w:r>
      <w:proofErr w:type="spellStart"/>
      <w:r w:rsidRPr="002C3F27">
        <w:rPr>
          <w:rFonts w:asciiTheme="majorBidi" w:hAnsiTheme="majorBidi" w:cstheme="majorBidi"/>
          <w:sz w:val="24"/>
          <w:szCs w:val="24"/>
        </w:rPr>
        <w:t>ExomeDepth</w:t>
      </w:r>
      <w:proofErr w:type="spellEnd"/>
      <w:r w:rsidRPr="002C3F27">
        <w:rPr>
          <w:rFonts w:asciiTheme="majorBidi" w:hAnsiTheme="majorBidi" w:cstheme="majorBidi"/>
          <w:sz w:val="24"/>
          <w:szCs w:val="24"/>
        </w:rPr>
        <w:t xml:space="preserve"> Library.</w:t>
      </w:r>
      <w:r>
        <w:rPr>
          <w:rFonts w:asciiTheme="majorBidi" w:hAnsiTheme="majorBidi" w:cstheme="majorBidi"/>
          <w:sz w:val="24"/>
          <w:szCs w:val="24"/>
        </w:rPr>
        <w:t xml:space="preserve"> The CNV c</w:t>
      </w:r>
      <w:r w:rsidRPr="002C3F27">
        <w:rPr>
          <w:rFonts w:asciiTheme="majorBidi" w:hAnsiTheme="majorBidi" w:cstheme="majorBidi"/>
          <w:sz w:val="24"/>
          <w:szCs w:val="24"/>
        </w:rPr>
        <w:t xml:space="preserve">alls </w:t>
      </w:r>
      <w:r w:rsidR="006016D5">
        <w:rPr>
          <w:rFonts w:asciiTheme="majorBidi" w:hAnsiTheme="majorBidi" w:cstheme="majorBidi"/>
          <w:sz w:val="24"/>
          <w:szCs w:val="24"/>
        </w:rPr>
        <w:t xml:space="preserve">are </w:t>
      </w:r>
      <w:r>
        <w:rPr>
          <w:rFonts w:asciiTheme="majorBidi" w:hAnsiTheme="majorBidi" w:cstheme="majorBidi"/>
          <w:sz w:val="24"/>
          <w:szCs w:val="24"/>
        </w:rPr>
        <w:t>further</w:t>
      </w:r>
      <w:r w:rsidRPr="002C3F27">
        <w:rPr>
          <w:rFonts w:asciiTheme="majorBidi" w:hAnsiTheme="majorBidi" w:cstheme="majorBidi"/>
          <w:sz w:val="24"/>
          <w:szCs w:val="24"/>
        </w:rPr>
        <w:t xml:space="preserve"> annotated with </w:t>
      </w:r>
      <w:r w:rsidR="00702EEB">
        <w:rPr>
          <w:rFonts w:asciiTheme="majorBidi" w:hAnsiTheme="majorBidi" w:cstheme="majorBidi"/>
          <w:sz w:val="24"/>
          <w:szCs w:val="24"/>
        </w:rPr>
        <w:t>“</w:t>
      </w:r>
      <w:r w:rsidRPr="002C3F27">
        <w:rPr>
          <w:rFonts w:asciiTheme="majorBidi" w:hAnsiTheme="majorBidi" w:cstheme="majorBidi"/>
          <w:sz w:val="24"/>
          <w:szCs w:val="24"/>
        </w:rPr>
        <w:t>Conrad.hg19</w:t>
      </w:r>
      <w:r w:rsidR="00702EEB">
        <w:rPr>
          <w:rFonts w:asciiTheme="majorBidi" w:hAnsiTheme="majorBidi" w:cstheme="majorBidi"/>
          <w:sz w:val="24"/>
          <w:szCs w:val="24"/>
        </w:rPr>
        <w:t>”</w:t>
      </w:r>
      <w:r w:rsidRPr="002C3F27">
        <w:rPr>
          <w:rFonts w:asciiTheme="majorBidi" w:hAnsiTheme="majorBidi" w:cstheme="majorBidi"/>
          <w:sz w:val="24"/>
          <w:szCs w:val="24"/>
        </w:rPr>
        <w:t xml:space="preserve">, </w:t>
      </w:r>
      <w:r w:rsidR="006016D5">
        <w:rPr>
          <w:rFonts w:asciiTheme="majorBidi" w:hAnsiTheme="majorBidi" w:cstheme="majorBidi"/>
          <w:sz w:val="24"/>
          <w:szCs w:val="24"/>
        </w:rPr>
        <w:t>which</w:t>
      </w:r>
      <w:r w:rsidRPr="002C3F27">
        <w:rPr>
          <w:rFonts w:asciiTheme="majorBidi" w:hAnsiTheme="majorBidi" w:cstheme="majorBidi"/>
          <w:sz w:val="24"/>
          <w:szCs w:val="24"/>
        </w:rPr>
        <w:t xml:space="preserve"> identifies the overlap with a set of common CNVs and </w:t>
      </w:r>
      <w:r w:rsidR="00702EEB">
        <w:rPr>
          <w:rFonts w:asciiTheme="majorBidi" w:hAnsiTheme="majorBidi" w:cstheme="majorBidi"/>
          <w:sz w:val="24"/>
          <w:szCs w:val="24"/>
        </w:rPr>
        <w:t>“</w:t>
      </w:r>
      <w:proofErr w:type="gramStart"/>
      <w:r w:rsidRPr="002C3F27">
        <w:rPr>
          <w:rFonts w:asciiTheme="majorBidi" w:hAnsiTheme="majorBidi" w:cstheme="majorBidi"/>
          <w:sz w:val="24"/>
          <w:szCs w:val="24"/>
        </w:rPr>
        <w:t>exons.hg</w:t>
      </w:r>
      <w:proofErr w:type="gramEnd"/>
      <w:r w:rsidRPr="002C3F27">
        <w:rPr>
          <w:rFonts w:asciiTheme="majorBidi" w:hAnsiTheme="majorBidi" w:cstheme="majorBidi"/>
          <w:sz w:val="24"/>
          <w:szCs w:val="24"/>
        </w:rPr>
        <w:t>19</w:t>
      </w:r>
      <w:r w:rsidR="00702EEB">
        <w:rPr>
          <w:rFonts w:asciiTheme="majorBidi" w:hAnsiTheme="majorBidi" w:cstheme="majorBidi"/>
          <w:sz w:val="24"/>
          <w:szCs w:val="24"/>
        </w:rPr>
        <w:t>”</w:t>
      </w:r>
      <w:r w:rsidRPr="002C3F27">
        <w:rPr>
          <w:rFonts w:asciiTheme="majorBidi" w:hAnsiTheme="majorBidi" w:cstheme="majorBidi"/>
          <w:sz w:val="24"/>
          <w:szCs w:val="24"/>
        </w:rPr>
        <w:t xml:space="preserve"> that </w:t>
      </w:r>
      <w:r w:rsidRPr="002C3F27">
        <w:rPr>
          <w:rFonts w:asciiTheme="majorBidi" w:hAnsiTheme="majorBidi" w:cstheme="majorBidi"/>
          <w:sz w:val="24"/>
          <w:szCs w:val="24"/>
        </w:rPr>
        <w:lastRenderedPageBreak/>
        <w:t xml:space="preserve">specifies exon positions for the hg19 build of the human genome, both Conrad.hg19 and exons.hg19 are available within the </w:t>
      </w:r>
      <w:proofErr w:type="spellStart"/>
      <w:r w:rsidRPr="002C3F27">
        <w:rPr>
          <w:rFonts w:asciiTheme="majorBidi" w:hAnsiTheme="majorBidi" w:cstheme="majorBidi"/>
          <w:sz w:val="24"/>
          <w:szCs w:val="24"/>
        </w:rPr>
        <w:t>ExomeDepth</w:t>
      </w:r>
      <w:proofErr w:type="spellEnd"/>
      <w:r w:rsidRPr="002C3F27">
        <w:rPr>
          <w:rFonts w:asciiTheme="majorBidi" w:hAnsiTheme="majorBidi" w:cstheme="majorBidi"/>
          <w:sz w:val="24"/>
          <w:szCs w:val="24"/>
        </w:rPr>
        <w:t xml:space="preserve"> library.</w:t>
      </w:r>
    </w:p>
    <w:p w14:paraId="6BCED03B" w14:textId="77777777" w:rsidR="00600DDB" w:rsidRDefault="00600DDB" w:rsidP="00F4777C">
      <w:pPr>
        <w:spacing w:after="0" w:line="360" w:lineRule="auto"/>
        <w:jc w:val="both"/>
        <w:rPr>
          <w:rFonts w:asciiTheme="majorBidi" w:hAnsiTheme="majorBidi" w:cstheme="majorBidi"/>
          <w:bCs/>
          <w:sz w:val="24"/>
          <w:szCs w:val="24"/>
        </w:rPr>
      </w:pPr>
      <w:r w:rsidRPr="001855AA">
        <w:rPr>
          <w:rFonts w:asciiTheme="majorBidi" w:hAnsiTheme="majorBidi" w:cstheme="majorBidi"/>
          <w:bCs/>
          <w:sz w:val="24"/>
          <w:szCs w:val="24"/>
        </w:rPr>
        <w:t>The ACMG guidelines on variant interpretation and classification were followed</w:t>
      </w:r>
      <w:r w:rsidR="00F4777C">
        <w:rPr>
          <w:rFonts w:asciiTheme="majorBidi" w:hAnsiTheme="majorBidi" w:cstheme="majorBidi"/>
          <w:bCs/>
          <w:sz w:val="24"/>
          <w:szCs w:val="24"/>
        </w:rPr>
        <w:t xml:space="preserve">. </w:t>
      </w:r>
      <w:r>
        <w:rPr>
          <w:rFonts w:asciiTheme="majorBidi" w:hAnsiTheme="majorBidi" w:cstheme="majorBidi"/>
          <w:bCs/>
          <w:sz w:val="24"/>
          <w:szCs w:val="24"/>
        </w:rPr>
        <w:t xml:space="preserve">Variants were classified into three groups. </w:t>
      </w:r>
      <w:r w:rsidRPr="001855AA">
        <w:rPr>
          <w:rFonts w:asciiTheme="majorBidi" w:hAnsiTheme="majorBidi" w:cstheme="majorBidi"/>
          <w:bCs/>
          <w:sz w:val="24"/>
          <w:szCs w:val="24"/>
        </w:rPr>
        <w:t>Disease-causing variants</w:t>
      </w:r>
      <w:r>
        <w:rPr>
          <w:rFonts w:asciiTheme="majorBidi" w:hAnsiTheme="majorBidi" w:cstheme="majorBidi"/>
          <w:bCs/>
          <w:sz w:val="24"/>
          <w:szCs w:val="24"/>
        </w:rPr>
        <w:t xml:space="preserve"> </w:t>
      </w:r>
      <w:r w:rsidRPr="001855AA">
        <w:rPr>
          <w:rFonts w:asciiTheme="majorBidi" w:hAnsiTheme="majorBidi" w:cstheme="majorBidi"/>
          <w:bCs/>
          <w:sz w:val="24"/>
          <w:szCs w:val="24"/>
        </w:rPr>
        <w:t>are pathogenic or</w:t>
      </w:r>
      <w:r>
        <w:rPr>
          <w:rFonts w:asciiTheme="majorBidi" w:hAnsiTheme="majorBidi" w:cstheme="majorBidi"/>
          <w:bCs/>
          <w:sz w:val="24"/>
          <w:szCs w:val="24"/>
        </w:rPr>
        <w:t xml:space="preserve"> </w:t>
      </w:r>
      <w:r w:rsidRPr="001855AA">
        <w:rPr>
          <w:rFonts w:asciiTheme="majorBidi" w:hAnsiTheme="majorBidi" w:cstheme="majorBidi"/>
          <w:bCs/>
          <w:sz w:val="24"/>
          <w:szCs w:val="24"/>
        </w:rPr>
        <w:t>likely pathogenic variants in known disease-causing genes associated with the reported phenotypes of the affected patients. Possible disease-causing variants</w:t>
      </w:r>
      <w:r>
        <w:rPr>
          <w:rFonts w:asciiTheme="majorBidi" w:hAnsiTheme="majorBidi" w:cstheme="majorBidi"/>
          <w:bCs/>
          <w:sz w:val="24"/>
          <w:szCs w:val="24"/>
        </w:rPr>
        <w:t xml:space="preserve"> </w:t>
      </w:r>
      <w:r w:rsidRPr="001855AA">
        <w:rPr>
          <w:rFonts w:asciiTheme="majorBidi" w:hAnsiTheme="majorBidi" w:cstheme="majorBidi"/>
          <w:bCs/>
          <w:sz w:val="24"/>
          <w:szCs w:val="24"/>
        </w:rPr>
        <w:t>are rare and damaging variants but of uncertain significance (VUS); seen in known disease-causing genes that overlap with the patient the phenotype. The third group was variants in candidate genes, which were predicted to be deleterious and found in genes that were not confirmed previously to be implicated in human disease.</w:t>
      </w:r>
    </w:p>
    <w:p w14:paraId="78174850" w14:textId="77777777" w:rsidR="00600DDB" w:rsidRPr="000E20EB" w:rsidRDefault="00600DDB" w:rsidP="00F73426">
      <w:pPr>
        <w:pStyle w:val="Heading1"/>
        <w:spacing w:line="360" w:lineRule="auto"/>
        <w:rPr>
          <w:rFonts w:asciiTheme="majorBidi" w:hAnsiTheme="majorBidi" w:cstheme="majorBidi"/>
          <w:b/>
          <w:bCs/>
          <w:color w:val="000000" w:themeColor="text1"/>
          <w:sz w:val="24"/>
          <w:szCs w:val="24"/>
        </w:rPr>
      </w:pPr>
      <w:bookmarkStart w:id="6" w:name="_Toc102008006"/>
      <w:r w:rsidRPr="000E20EB">
        <w:rPr>
          <w:rFonts w:asciiTheme="majorBidi" w:hAnsiTheme="majorBidi" w:cstheme="majorBidi"/>
          <w:b/>
          <w:bCs/>
          <w:color w:val="000000" w:themeColor="text1"/>
          <w:sz w:val="24"/>
          <w:szCs w:val="24"/>
        </w:rPr>
        <w:t>Mutation Analyses</w:t>
      </w:r>
      <w:bookmarkEnd w:id="6"/>
    </w:p>
    <w:p w14:paraId="303E2005" w14:textId="77777777" w:rsidR="00157252" w:rsidRPr="00F73426" w:rsidRDefault="00600DDB" w:rsidP="006016D5">
      <w:pPr>
        <w:spacing w:after="0" w:line="360" w:lineRule="auto"/>
        <w:jc w:val="both"/>
        <w:rPr>
          <w:rFonts w:asciiTheme="majorBidi" w:hAnsiTheme="majorBidi" w:cstheme="majorBidi"/>
          <w:sz w:val="24"/>
          <w:szCs w:val="24"/>
        </w:rPr>
      </w:pPr>
      <w:r w:rsidRPr="001855AA">
        <w:rPr>
          <w:rFonts w:asciiTheme="majorBidi" w:hAnsiTheme="majorBidi" w:cstheme="majorBidi"/>
          <w:sz w:val="24"/>
          <w:szCs w:val="24"/>
        </w:rPr>
        <w:t xml:space="preserve">Mutation analysis was performed to establish the causative role of the prioritized variants. In most of the recruited families, exome sequencing was done in a proband </w:t>
      </w:r>
      <w:r w:rsidR="00F4777C">
        <w:rPr>
          <w:rFonts w:asciiTheme="majorBidi" w:hAnsiTheme="majorBidi" w:cstheme="majorBidi"/>
          <w:sz w:val="24"/>
          <w:szCs w:val="24"/>
        </w:rPr>
        <w:t>and</w:t>
      </w:r>
      <w:r w:rsidRPr="001855AA">
        <w:rPr>
          <w:rFonts w:asciiTheme="majorBidi" w:hAnsiTheme="majorBidi" w:cstheme="majorBidi"/>
          <w:sz w:val="24"/>
          <w:szCs w:val="24"/>
        </w:rPr>
        <w:t xml:space="preserve"> affected siblings. Identified prioritized variants needed to be validated and segregation analysis completed in multiple family members using Sanger sequencing. Sequence validation and testing for each candidate variant segregation within the remainder of the family members w</w:t>
      </w:r>
      <w:r w:rsidR="006016D5">
        <w:rPr>
          <w:rFonts w:asciiTheme="majorBidi" w:hAnsiTheme="majorBidi" w:cstheme="majorBidi"/>
          <w:sz w:val="24"/>
          <w:szCs w:val="24"/>
        </w:rPr>
        <w:t>ere</w:t>
      </w:r>
      <w:r w:rsidRPr="001855AA">
        <w:rPr>
          <w:rFonts w:asciiTheme="majorBidi" w:hAnsiTheme="majorBidi" w:cstheme="majorBidi"/>
          <w:sz w:val="24"/>
          <w:szCs w:val="24"/>
        </w:rPr>
        <w:t xml:space="preserve"> done through conventional Sanger sequencing following standard procedures.</w:t>
      </w:r>
    </w:p>
    <w:sectPr w:rsidR="00157252" w:rsidRPr="00F7342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1215DFB"/>
    <w:multiLevelType w:val="multilevel"/>
    <w:tmpl w:val="6686C0A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57B329EB"/>
    <w:multiLevelType w:val="multilevel"/>
    <w:tmpl w:val="80302E04"/>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5A355EEF"/>
    <w:multiLevelType w:val="multilevel"/>
    <w:tmpl w:val="6686C0A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ytDQztTCztDC3sDQyNLVU0lEKTi0uzszPAykwNKgFAGqWAy8tAAAA"/>
  </w:docVars>
  <w:rsids>
    <w:rsidRoot w:val="006850E6"/>
    <w:rsid w:val="000C615A"/>
    <w:rsid w:val="000E0165"/>
    <w:rsid w:val="001B7C28"/>
    <w:rsid w:val="001D5217"/>
    <w:rsid w:val="002C3F27"/>
    <w:rsid w:val="00383A5C"/>
    <w:rsid w:val="003E4AF0"/>
    <w:rsid w:val="004734F7"/>
    <w:rsid w:val="00564C15"/>
    <w:rsid w:val="00600DDB"/>
    <w:rsid w:val="006016D5"/>
    <w:rsid w:val="006850E6"/>
    <w:rsid w:val="00702EEB"/>
    <w:rsid w:val="0089475B"/>
    <w:rsid w:val="008F7473"/>
    <w:rsid w:val="00A04A6C"/>
    <w:rsid w:val="00A23E38"/>
    <w:rsid w:val="00C279A6"/>
    <w:rsid w:val="00C80861"/>
    <w:rsid w:val="00C900AB"/>
    <w:rsid w:val="00CB6C27"/>
    <w:rsid w:val="00CF6EF8"/>
    <w:rsid w:val="00D205C4"/>
    <w:rsid w:val="00D50200"/>
    <w:rsid w:val="00DD7744"/>
    <w:rsid w:val="00E579B8"/>
    <w:rsid w:val="00F412C6"/>
    <w:rsid w:val="00F4777C"/>
    <w:rsid w:val="00F73426"/>
    <w:rsid w:val="00FB027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4D8920"/>
  <w15:chartTrackingRefBased/>
  <w15:docId w15:val="{635CFFCC-E98B-4FE3-86E0-1C71B21F5C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00DDB"/>
    <w:rPr>
      <w:rFonts w:ascii="Calibri" w:eastAsia="Calibri" w:hAnsi="Calibri" w:cs="Calibri"/>
    </w:rPr>
  </w:style>
  <w:style w:type="paragraph" w:styleId="Heading1">
    <w:name w:val="heading 1"/>
    <w:basedOn w:val="Normal"/>
    <w:next w:val="Normal"/>
    <w:link w:val="Heading1Char"/>
    <w:uiPriority w:val="9"/>
    <w:qFormat/>
    <w:rsid w:val="00600DDB"/>
    <w:pPr>
      <w:keepNext/>
      <w:keepLines/>
      <w:spacing w:before="240" w:after="0"/>
      <w:outlineLvl w:val="0"/>
    </w:pPr>
    <w:rPr>
      <w:color w:val="2F5496"/>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00DDB"/>
    <w:rPr>
      <w:rFonts w:ascii="Calibri" w:eastAsia="Calibri" w:hAnsi="Calibri" w:cs="Calibri"/>
      <w:color w:val="2F5496"/>
      <w:sz w:val="32"/>
      <w:szCs w:val="32"/>
    </w:rPr>
  </w:style>
  <w:style w:type="table" w:styleId="PlainTable2">
    <w:name w:val="Plain Table 2"/>
    <w:basedOn w:val="TableNormal"/>
    <w:uiPriority w:val="42"/>
    <w:rsid w:val="00600DDB"/>
    <w:pPr>
      <w:spacing w:after="0" w:line="240" w:lineRule="auto"/>
    </w:pPr>
    <w:rPr>
      <w:rFonts w:ascii="Calibri" w:eastAsia="Calibri" w:hAnsi="Calibri" w:cs="Calibri"/>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smallCaps/>
      </w:rPr>
      <w:tblPr/>
      <w:tcPr>
        <w:tcBorders>
          <w:bottom w:val="single" w:sz="4" w:space="0" w:color="7F7F7F" w:themeColor="text1" w:themeTint="80"/>
        </w:tcBorders>
      </w:tcPr>
    </w:tblStylePr>
    <w:tblStylePr w:type="lastRow">
      <w:rPr>
        <w:b/>
        <w:bCs/>
        <w:smallCaps/>
      </w:rPr>
      <w:tblPr/>
      <w:tcPr>
        <w:tcBorders>
          <w:top w:val="single" w:sz="4" w:space="0" w:color="7F7F7F" w:themeColor="text1" w:themeTint="80"/>
        </w:tcBorders>
      </w:tcPr>
    </w:tblStylePr>
    <w:tblStylePr w:type="firstCol">
      <w:rPr>
        <w:b/>
        <w:bCs/>
        <w:smallCaps/>
      </w:rPr>
    </w:tblStylePr>
    <w:tblStylePr w:type="lastCol">
      <w:rPr>
        <w:b/>
        <w:bCs/>
        <w:smallCap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ListParagraph">
    <w:name w:val="List Paragraph"/>
    <w:basedOn w:val="Normal"/>
    <w:uiPriority w:val="34"/>
    <w:qFormat/>
    <w:rsid w:val="00600DDB"/>
    <w:pPr>
      <w:ind w:left="720"/>
      <w:contextualSpacing/>
    </w:pPr>
  </w:style>
  <w:style w:type="paragraph" w:styleId="Caption">
    <w:name w:val="caption"/>
    <w:basedOn w:val="Normal"/>
    <w:next w:val="Normal"/>
    <w:uiPriority w:val="35"/>
    <w:unhideWhenUsed/>
    <w:qFormat/>
    <w:rsid w:val="00600DDB"/>
    <w:pPr>
      <w:spacing w:after="200" w:line="240" w:lineRule="auto"/>
    </w:pPr>
    <w:rPr>
      <w:i/>
      <w:iCs/>
      <w:color w:val="44546A" w:themeColor="text2"/>
      <w:sz w:val="18"/>
      <w:szCs w:val="18"/>
    </w:rPr>
  </w:style>
  <w:style w:type="paragraph" w:styleId="BalloonText">
    <w:name w:val="Balloon Text"/>
    <w:basedOn w:val="Normal"/>
    <w:link w:val="BalloonTextChar"/>
    <w:uiPriority w:val="99"/>
    <w:semiHidden/>
    <w:unhideWhenUsed/>
    <w:rsid w:val="00D205C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205C4"/>
    <w:rPr>
      <w:rFonts w:ascii="Segoe UI" w:eastAsia="Calibri" w:hAnsi="Segoe UI" w:cs="Segoe UI"/>
      <w:sz w:val="18"/>
      <w:szCs w:val="18"/>
    </w:rPr>
  </w:style>
  <w:style w:type="paragraph" w:styleId="Revision">
    <w:name w:val="Revision"/>
    <w:hidden/>
    <w:uiPriority w:val="99"/>
    <w:semiHidden/>
    <w:rsid w:val="000E0165"/>
    <w:pPr>
      <w:spacing w:after="0" w:line="240" w:lineRule="auto"/>
    </w:pPr>
    <w:rPr>
      <w:rFonts w:ascii="Calibri" w:eastAsia="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164</TotalTime>
  <Pages>4</Pages>
  <Words>1265</Words>
  <Characters>7212</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Almundher Abdullah Ali Al-Maawali</dc:creator>
  <cp:keywords/>
  <dc:description/>
  <cp:lastModifiedBy>Almundher Abdullah Ali Al-Maawali</cp:lastModifiedBy>
  <cp:revision>28</cp:revision>
  <dcterms:created xsi:type="dcterms:W3CDTF">2022-06-14T05:38:00Z</dcterms:created>
  <dcterms:modified xsi:type="dcterms:W3CDTF">2022-09-21T05:21:00Z</dcterms:modified>
</cp:coreProperties>
</file>