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B24B5" w14:textId="4F4051C3" w:rsidR="00420B9A" w:rsidRDefault="00420B9A" w:rsidP="00420B9A">
      <w:pPr>
        <w:spacing w:after="0" w:line="480"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INFARMATION</w:t>
      </w:r>
    </w:p>
    <w:p w14:paraId="5CA1854B" w14:textId="77777777" w:rsidR="00420B9A" w:rsidRDefault="00420B9A" w:rsidP="00420B9A">
      <w:pPr>
        <w:spacing w:after="0" w:line="480" w:lineRule="auto"/>
        <w:ind w:right="-1"/>
        <w:jc w:val="both"/>
        <w:rPr>
          <w:rFonts w:ascii="Times New Roman" w:eastAsia="Times New Roman" w:hAnsi="Times New Roman" w:cs="Times New Roman"/>
          <w:b/>
          <w:sz w:val="24"/>
          <w:szCs w:val="24"/>
        </w:rPr>
      </w:pPr>
    </w:p>
    <w:p w14:paraId="163EA2A4" w14:textId="044A5012" w:rsidR="00420B9A" w:rsidRPr="00420B9A" w:rsidRDefault="00420B9A" w:rsidP="00420B9A">
      <w:pPr>
        <w:spacing w:after="0" w:line="480" w:lineRule="auto"/>
        <w:ind w:right="-1"/>
        <w:jc w:val="both"/>
        <w:rPr>
          <w:rFonts w:ascii="Times New Roman" w:eastAsia="Times New Roman" w:hAnsi="Times New Roman" w:cs="Times New Roman"/>
          <w:b/>
          <w:sz w:val="24"/>
          <w:szCs w:val="24"/>
          <w:u w:val="single"/>
        </w:rPr>
      </w:pPr>
      <w:r w:rsidRPr="00420B9A">
        <w:rPr>
          <w:rFonts w:ascii="Times New Roman" w:eastAsia="Times New Roman" w:hAnsi="Times New Roman" w:cs="Times New Roman"/>
          <w:b/>
          <w:sz w:val="24"/>
          <w:szCs w:val="24"/>
          <w:u w:val="single"/>
        </w:rPr>
        <w:t>Appendix S1</w:t>
      </w:r>
    </w:p>
    <w:p w14:paraId="7BF223D3" w14:textId="77777777" w:rsidR="00420B9A" w:rsidRDefault="00420B9A" w:rsidP="00420B9A">
      <w:pPr>
        <w:spacing w:after="0" w:line="480" w:lineRule="auto"/>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Details on material and methods </w:t>
      </w:r>
    </w:p>
    <w:p w14:paraId="135542FA" w14:textId="77777777" w:rsidR="00420B9A" w:rsidRDefault="00420B9A" w:rsidP="00420B9A">
      <w:pPr>
        <w:spacing w:after="0" w:line="480" w:lineRule="auto"/>
        <w:ind w:right="-1"/>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Hierarchy and ranking position determination</w:t>
      </w:r>
    </w:p>
    <w:p w14:paraId="48F724E5" w14:textId="77777777" w:rsidR="00420B9A" w:rsidRDefault="00420B9A" w:rsidP="00420B9A">
      <w:pPr>
        <w:spacing w:after="0" w:line="480" w:lineRule="auto"/>
        <w:ind w:right="-1"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determined the bonobo ranking position based on decided conflicts, by using the Normalized David’s Scores (NDS) (de Vries et al., 2006). Via the R ‘steepness’ package (https://CRAN.R-project.org/package=steepness), NDS were</w:t>
      </w:r>
      <w:r>
        <w:rPr>
          <w:rFonts w:ascii="Times New Roman" w:eastAsia="Times New Roman" w:hAnsi="Times New Roman" w:cs="Times New Roman"/>
          <w:color w:val="DD7E6B"/>
          <w:sz w:val="24"/>
          <w:szCs w:val="24"/>
        </w:rPr>
        <w:t xml:space="preserve"> </w:t>
      </w:r>
      <w:r>
        <w:rPr>
          <w:rFonts w:ascii="Times New Roman" w:eastAsia="Times New Roman" w:hAnsi="Times New Roman" w:cs="Times New Roman"/>
          <w:sz w:val="24"/>
          <w:szCs w:val="24"/>
        </w:rPr>
        <w:t xml:space="preserve">individually assessed by using decided agonistic encounters. The individual values (number of decided encounters normalized over the individual observation time) were entered in a </w:t>
      </w:r>
      <w:proofErr w:type="spellStart"/>
      <w:r>
        <w:rPr>
          <w:rFonts w:ascii="Times New Roman" w:eastAsia="Times New Roman" w:hAnsi="Times New Roman" w:cs="Times New Roman"/>
          <w:sz w:val="24"/>
          <w:szCs w:val="24"/>
        </w:rPr>
        <w:t>sociomatrix</w:t>
      </w:r>
      <w:proofErr w:type="spellEnd"/>
      <w:r>
        <w:rPr>
          <w:rFonts w:ascii="Times New Roman" w:eastAsia="Times New Roman" w:hAnsi="Times New Roman" w:cs="Times New Roman"/>
          <w:sz w:val="24"/>
          <w:szCs w:val="24"/>
        </w:rPr>
        <w:t xml:space="preserve">. NDSs were calculated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a dyadic dominance index (</w:t>
      </w:r>
      <w:proofErr w:type="spellStart"/>
      <w:r>
        <w:rPr>
          <w:rFonts w:ascii="Times New Roman" w:eastAsia="Times New Roman" w:hAnsi="Times New Roman" w:cs="Times New Roman"/>
          <w:sz w:val="24"/>
          <w:szCs w:val="24"/>
        </w:rPr>
        <w:t>Dij</w:t>
      </w:r>
      <w:proofErr w:type="spellEnd"/>
      <w:r>
        <w:rPr>
          <w:rFonts w:ascii="Times New Roman" w:eastAsia="Times New Roman" w:hAnsi="Times New Roman" w:cs="Times New Roman"/>
          <w:sz w:val="24"/>
          <w:szCs w:val="24"/>
        </w:rPr>
        <w:t>) in which the observed proportion of wins (</w:t>
      </w:r>
      <w:proofErr w:type="spellStart"/>
      <w:r>
        <w:rPr>
          <w:rFonts w:ascii="Times New Roman" w:eastAsia="Times New Roman" w:hAnsi="Times New Roman" w:cs="Times New Roman"/>
          <w:sz w:val="24"/>
          <w:szCs w:val="24"/>
        </w:rPr>
        <w:t>Pij</w:t>
      </w:r>
      <w:proofErr w:type="spellEnd"/>
      <w:r>
        <w:rPr>
          <w:rFonts w:ascii="Times New Roman" w:eastAsia="Times New Roman" w:hAnsi="Times New Roman" w:cs="Times New Roman"/>
          <w:sz w:val="24"/>
          <w:szCs w:val="24"/>
        </w:rPr>
        <w:t xml:space="preserve">) is corrected for the chance occurrence of the observed outcome. The chance occurrence of the observed outcome is calculated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a binomial distribution with each subject having an equal chance of winning or losing in every agonistic encounter (de Vries et al., 2006). The hierarchy steepness resulted from the absolute slope of the straight line fitted to the normalized David’s scores plotted against the subjects’ ranks (de Vries et al., 2006).</w:t>
      </w:r>
    </w:p>
    <w:p w14:paraId="6C62D2B4" w14:textId="77777777" w:rsidR="00420B9A" w:rsidRDefault="00420B9A" w:rsidP="00420B9A">
      <w:pPr>
        <w:spacing w:after="0" w:line="480" w:lineRule="auto"/>
        <w:ind w:right="-1"/>
        <w:jc w:val="both"/>
        <w:rPr>
          <w:rFonts w:ascii="Times New Roman" w:eastAsia="Times New Roman" w:hAnsi="Times New Roman" w:cs="Times New Roman"/>
          <w:sz w:val="24"/>
          <w:szCs w:val="24"/>
        </w:rPr>
      </w:pPr>
    </w:p>
    <w:p w14:paraId="263A3FB3" w14:textId="23B6AEB0" w:rsidR="00420B9A" w:rsidRDefault="00420B9A" w:rsidP="00420B9A">
      <w:pPr>
        <w:spacing w:after="0" w:line="480" w:lineRule="auto"/>
        <w:ind w:right="-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3AA76B1" w14:textId="77777777" w:rsidR="00420B9A" w:rsidRDefault="00420B9A" w:rsidP="00420B9A">
      <w:pPr>
        <w:spacing w:after="0" w:line="480" w:lineRule="auto"/>
        <w:ind w:right="-1"/>
        <w:jc w:val="both"/>
        <w:rPr>
          <w:rFonts w:ascii="Times New Roman" w:eastAsia="Times New Roman" w:hAnsi="Times New Roman" w:cs="Times New Roman"/>
          <w:sz w:val="24"/>
          <w:szCs w:val="24"/>
        </w:rPr>
      </w:pPr>
    </w:p>
    <w:p w14:paraId="6B45878B" w14:textId="523F6363" w:rsidR="005E18E0" w:rsidRPr="00343F16" w:rsidRDefault="00420B9A" w:rsidP="00343F16">
      <w:pPr>
        <w:spacing w:after="0" w:line="48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Vries, H., Stevens, J.M., &amp; Vervaecke, H. (2006). Measuring and testing the steepness of dominance hierarchies. </w:t>
      </w:r>
      <w:r>
        <w:rPr>
          <w:rFonts w:ascii="Times New Roman" w:eastAsia="Times New Roman" w:hAnsi="Times New Roman" w:cs="Times New Roman"/>
          <w:i/>
          <w:sz w:val="24"/>
          <w:szCs w:val="24"/>
        </w:rPr>
        <w:t xml:space="preserve">Animal </w:t>
      </w:r>
      <w:proofErr w:type="spellStart"/>
      <w:r>
        <w:rPr>
          <w:rFonts w:ascii="Times New Roman" w:eastAsia="Times New Roman" w:hAnsi="Times New Roman" w:cs="Times New Roman"/>
          <w:i/>
          <w:sz w:val="24"/>
          <w:szCs w:val="24"/>
        </w:rPr>
        <w:t>Behaviour</w:t>
      </w:r>
      <w:proofErr w:type="spellEnd"/>
      <w:r>
        <w:rPr>
          <w:rFonts w:ascii="Times New Roman" w:eastAsia="Times New Roman" w:hAnsi="Times New Roman" w:cs="Times New Roman"/>
          <w:sz w:val="24"/>
          <w:szCs w:val="24"/>
        </w:rPr>
        <w:t>, 71(3), 585-592. https://doi.org/10.1016/j.anbehav.2005.05.015</w:t>
      </w:r>
    </w:p>
    <w:sectPr w:rsidR="005E18E0" w:rsidRPr="00343F16" w:rsidSect="00420B9A">
      <w:pgSz w:w="11906" w:h="16838"/>
      <w:pgMar w:top="1701" w:right="1701" w:bottom="1701" w:left="1701"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BEF"/>
    <w:rsid w:val="0032677E"/>
    <w:rsid w:val="00343F16"/>
    <w:rsid w:val="00420B9A"/>
    <w:rsid w:val="005E18E0"/>
    <w:rsid w:val="00D93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720F8"/>
  <w15:docId w15:val="{EBCFC874-8AAB-40FE-96CB-70DFDAFF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top w:w="100" w:type="dxa"/>
        <w:left w:w="108" w:type="dxa"/>
        <w:bottom w:w="100" w:type="dxa"/>
        <w:right w:w="108"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0">
    <w:basedOn w:val="TableNormal"/>
    <w:pPr>
      <w:spacing w:after="0" w:line="240" w:lineRule="auto"/>
    </w:pPr>
    <w:rPr>
      <w:color w:val="000000"/>
    </w:rPr>
    <w:tblPr>
      <w:tblStyleRowBandSize w:val="1"/>
      <w:tblStyleColBandSize w:val="1"/>
      <w:tblCellMar>
        <w:top w:w="100" w:type="dxa"/>
        <w:left w:w="108" w:type="dxa"/>
        <w:bottom w:w="10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HA4RSUyXVoYemxv2Kf9BfMnqA==">AMUW2mUG2PkdrBL7Jw2ao4IYu5EgDvqcncPjer2j9JpLbtB2RCF/l24JLQ2qJKAMuv2wMRkeUH06o+o8z1f9+c37yR9GDPUkCNo+FLu7zfCT39OxZw6XEdI=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196</Words>
  <Characters>1120</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Guidi</dc:creator>
  <cp:lastModifiedBy>Andrea Guidi</cp:lastModifiedBy>
  <cp:revision>3</cp:revision>
  <dcterms:created xsi:type="dcterms:W3CDTF">2022-05-05T08:27:00Z</dcterms:created>
  <dcterms:modified xsi:type="dcterms:W3CDTF">2022-05-05T08:28:00Z</dcterms:modified>
</cp:coreProperties>
</file>