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D198D" w14:textId="0943BB05" w:rsidR="00581BA8" w:rsidRPr="00420B9A" w:rsidRDefault="00581BA8" w:rsidP="00581BA8">
      <w:pPr>
        <w:spacing w:after="0" w:line="480" w:lineRule="auto"/>
        <w:ind w:right="-1"/>
        <w:jc w:val="both"/>
        <w:rPr>
          <w:rFonts w:ascii="Times New Roman" w:eastAsia="Times New Roman" w:hAnsi="Times New Roman" w:cs="Times New Roman"/>
          <w:b/>
          <w:sz w:val="24"/>
          <w:szCs w:val="24"/>
          <w:u w:val="single"/>
        </w:rPr>
      </w:pPr>
      <w:r w:rsidRPr="00420B9A">
        <w:rPr>
          <w:rFonts w:ascii="Times New Roman" w:eastAsia="Times New Roman" w:hAnsi="Times New Roman" w:cs="Times New Roman"/>
          <w:b/>
          <w:sz w:val="24"/>
          <w:szCs w:val="24"/>
          <w:u w:val="single"/>
        </w:rPr>
        <w:t>Table S</w:t>
      </w:r>
      <w:r w:rsidR="00075213">
        <w:rPr>
          <w:rFonts w:ascii="Times New Roman" w:eastAsia="Times New Roman" w:hAnsi="Times New Roman" w:cs="Times New Roman"/>
          <w:b/>
          <w:sz w:val="24"/>
          <w:szCs w:val="24"/>
          <w:u w:val="single"/>
        </w:rPr>
        <w:t>1</w:t>
      </w:r>
    </w:p>
    <w:p w14:paraId="58EA2557" w14:textId="1761BA35" w:rsidR="00581BA8" w:rsidRDefault="00581BA8" w:rsidP="00581BA8">
      <w:pPr>
        <w:spacing w:after="0" w:line="480"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the behaviors considered for the present study</w:t>
      </w:r>
      <w:r w:rsidR="00075213">
        <w:rPr>
          <w:rFonts w:ascii="Times New Roman" w:eastAsia="Times New Roman" w:hAnsi="Times New Roman" w:cs="Times New Roman"/>
          <w:sz w:val="24"/>
          <w:szCs w:val="24"/>
        </w:rPr>
        <w:t xml:space="preserve"> (following </w:t>
      </w:r>
      <w:proofErr w:type="spellStart"/>
      <w:r w:rsidR="00D75D29">
        <w:rPr>
          <w:rFonts w:ascii="Times New Roman" w:eastAsia="Times New Roman" w:hAnsi="Times New Roman" w:cs="Times New Roman"/>
          <w:sz w:val="24"/>
          <w:szCs w:val="24"/>
        </w:rPr>
        <w:t>Demuru</w:t>
      </w:r>
      <w:proofErr w:type="spellEnd"/>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&amp;</w:t>
      </w:r>
      <w:r w:rsidR="00D75D29">
        <w:rPr>
          <w:rFonts w:ascii="Times New Roman" w:eastAsia="Times New Roman" w:hAnsi="Times New Roman" w:cs="Times New Roman"/>
          <w:sz w:val="24"/>
          <w:szCs w:val="24"/>
        </w:rPr>
        <w:t xml:space="preserve"> Palagi</w:t>
      </w:r>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2012</w:t>
      </w:r>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Enomoto</w:t>
      </w:r>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1990</w:t>
      </w:r>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Kano</w:t>
      </w:r>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1980</w:t>
      </w:r>
      <w:r w:rsidR="00D75D29">
        <w:rPr>
          <w:rFonts w:ascii="Times New Roman" w:eastAsia="Times New Roman" w:hAnsi="Times New Roman" w:cs="Times New Roman"/>
          <w:sz w:val="24"/>
          <w:szCs w:val="24"/>
        </w:rPr>
        <w:t xml:space="preserve">; </w:t>
      </w:r>
      <w:proofErr w:type="spellStart"/>
      <w:r w:rsidR="00075213">
        <w:rPr>
          <w:rFonts w:ascii="Times New Roman" w:eastAsia="Times New Roman" w:hAnsi="Times New Roman" w:cs="Times New Roman"/>
          <w:sz w:val="24"/>
          <w:szCs w:val="24"/>
        </w:rPr>
        <w:t>Norscia</w:t>
      </w:r>
      <w:proofErr w:type="spellEnd"/>
      <w:r w:rsidR="00075213">
        <w:rPr>
          <w:rFonts w:ascii="Times New Roman" w:eastAsia="Times New Roman" w:hAnsi="Times New Roman" w:cs="Times New Roman"/>
          <w:sz w:val="24"/>
          <w:szCs w:val="24"/>
        </w:rPr>
        <w:t xml:space="preserve"> et al., 2022; </w:t>
      </w:r>
      <w:r w:rsidR="00D75D29">
        <w:rPr>
          <w:rFonts w:ascii="Times New Roman" w:eastAsia="Times New Roman" w:hAnsi="Times New Roman" w:cs="Times New Roman"/>
          <w:sz w:val="24"/>
          <w:szCs w:val="24"/>
        </w:rPr>
        <w:t>de Waal</w:t>
      </w:r>
      <w:r w:rsidR="00D75D29">
        <w:rPr>
          <w:rFonts w:ascii="Times New Roman" w:eastAsia="Times New Roman" w:hAnsi="Times New Roman" w:cs="Times New Roman"/>
          <w:sz w:val="24"/>
          <w:szCs w:val="24"/>
        </w:rPr>
        <w:t xml:space="preserve">, </w:t>
      </w:r>
      <w:r w:rsidR="00D75D29">
        <w:rPr>
          <w:rFonts w:ascii="Times New Roman" w:eastAsia="Times New Roman" w:hAnsi="Times New Roman" w:cs="Times New Roman"/>
          <w:sz w:val="24"/>
          <w:szCs w:val="24"/>
        </w:rPr>
        <w:t>1988</w:t>
      </w:r>
      <w:r w:rsidR="000752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tbl>
      <w:tblPr>
        <w:tblW w:w="8637" w:type="dxa"/>
        <w:tblBorders>
          <w:top w:val="nil"/>
          <w:left w:val="nil"/>
          <w:bottom w:val="nil"/>
          <w:right w:val="nil"/>
          <w:insideH w:val="nil"/>
          <w:insideV w:val="nil"/>
        </w:tblBorders>
        <w:tblLayout w:type="fixed"/>
        <w:tblLook w:val="0600" w:firstRow="0" w:lastRow="0" w:firstColumn="0" w:lastColumn="0" w:noHBand="1" w:noVBand="1"/>
      </w:tblPr>
      <w:tblGrid>
        <w:gridCol w:w="3251"/>
        <w:gridCol w:w="5386"/>
      </w:tblGrid>
      <w:tr w:rsidR="00581BA8" w14:paraId="15250580" w14:textId="77777777" w:rsidTr="00BD7263">
        <w:trPr>
          <w:trHeight w:val="247"/>
        </w:trPr>
        <w:tc>
          <w:tcPr>
            <w:tcW w:w="32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29A762C2"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AFFILIATIVE BEHAVIOR</w:t>
            </w:r>
          </w:p>
        </w:tc>
        <w:tc>
          <w:tcPr>
            <w:tcW w:w="5386" w:type="dxa"/>
            <w:tcBorders>
              <w:top w:val="single" w:sz="8" w:space="0" w:color="000000"/>
              <w:left w:val="nil"/>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5847263"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DESCRIPTION</w:t>
            </w:r>
          </w:p>
        </w:tc>
      </w:tr>
      <w:tr w:rsidR="00581BA8" w14:paraId="2B10C5AD" w14:textId="77777777" w:rsidTr="00BD7263">
        <w:trPr>
          <w:trHeight w:val="471"/>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50C88E"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Grooming</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5E2ACD3F" w14:textId="24D6E83B"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Fur cleaning carried out on another individual both with hands and/or mouth</w:t>
            </w:r>
          </w:p>
        </w:tc>
      </w:tr>
      <w:tr w:rsidR="00581BA8" w14:paraId="26788382" w14:textId="77777777" w:rsidTr="00BD7263">
        <w:trPr>
          <w:trHeight w:val="225"/>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7C44E1"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Reciprocal Grooming</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636B4D11" w14:textId="7D77FD03"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Fur</w:t>
            </w:r>
            <w:r w:rsidRPr="00581BA8">
              <w:rPr>
                <w:rFonts w:ascii="Times New Roman" w:eastAsia="Times New Roman" w:hAnsi="Times New Roman" w:cs="Times New Roman"/>
              </w:rPr>
              <w:t xml:space="preserve"> cleaning carried out by two individuals </w:t>
            </w:r>
            <w:r>
              <w:rPr>
                <w:rFonts w:ascii="Times New Roman" w:eastAsia="Times New Roman" w:hAnsi="Times New Roman" w:cs="Times New Roman"/>
              </w:rPr>
              <w:t>reciprocally</w:t>
            </w:r>
          </w:p>
        </w:tc>
      </w:tr>
      <w:tr w:rsidR="00581BA8" w14:paraId="673AC96C" w14:textId="77777777" w:rsidTr="00BD7263">
        <w:trPr>
          <w:trHeight w:val="347"/>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59CF24"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Sit in Contact</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86C8BC5"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Two or more individuals are sitting in reciprocal contact</w:t>
            </w:r>
          </w:p>
        </w:tc>
      </w:tr>
      <w:tr w:rsidR="00581BA8" w14:paraId="629FF506" w14:textId="77777777" w:rsidTr="00BD7263">
        <w:trPr>
          <w:trHeight w:val="303"/>
        </w:trPr>
        <w:tc>
          <w:tcPr>
            <w:tcW w:w="32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17F42A4A"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BEHAVIOR</w:t>
            </w:r>
          </w:p>
        </w:tc>
        <w:tc>
          <w:tcPr>
            <w:tcW w:w="5386" w:type="dxa"/>
            <w:tcBorders>
              <w:top w:val="single" w:sz="8" w:space="0" w:color="000000"/>
              <w:left w:val="nil"/>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0D070D90"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DESCRIPTION</w:t>
            </w:r>
          </w:p>
        </w:tc>
      </w:tr>
      <w:tr w:rsidR="00581BA8" w14:paraId="5C9BDFB6" w14:textId="77777777" w:rsidTr="00BD7263">
        <w:trPr>
          <w:trHeight w:val="479"/>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87CB5C"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Avoid</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4D915CA4"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When an individual avoids interacting with another one, or when it changes its moving direction or goes far away from the latter</w:t>
            </w:r>
          </w:p>
        </w:tc>
      </w:tr>
      <w:tr w:rsidR="00581BA8" w14:paraId="334F63B9" w14:textId="77777777" w:rsidTr="00BD7263">
        <w:trPr>
          <w:trHeight w:val="224"/>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E224AE"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Bare Teeth</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18A5FFB4"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Facial expression of fear where all teeth are exposed; usually associated with screaming</w:t>
            </w:r>
          </w:p>
        </w:tc>
      </w:tr>
      <w:tr w:rsidR="00581BA8" w14:paraId="731840AB" w14:textId="77777777" w:rsidTr="00BD7263">
        <w:trPr>
          <w:trHeight w:val="327"/>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7B1870D"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Fleeing</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4096C534"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escape effectuated in an aggressive context</w:t>
            </w:r>
          </w:p>
        </w:tc>
      </w:tr>
      <w:tr w:rsidR="00581BA8" w14:paraId="6E471DDB" w14:textId="77777777" w:rsidTr="00BD7263">
        <w:trPr>
          <w:trHeight w:val="317"/>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75C5BA"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Screaming</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352F2FBC"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 scream vocalization of fear</w:t>
            </w:r>
          </w:p>
        </w:tc>
      </w:tr>
      <w:tr w:rsidR="00581BA8" w14:paraId="34D7ADEE" w14:textId="77777777" w:rsidTr="00BD7263">
        <w:trPr>
          <w:trHeight w:val="169"/>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513D3D"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Urinate</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7CA72F8A"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urinates for fear in an aggressive context</w:t>
            </w:r>
          </w:p>
        </w:tc>
      </w:tr>
      <w:tr w:rsidR="00581BA8" w14:paraId="791C0DC3" w14:textId="77777777" w:rsidTr="00BD7263">
        <w:trPr>
          <w:trHeight w:val="291"/>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385369"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Defecation</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78E4B5B6"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defecates for fear in an aggressive context</w:t>
            </w:r>
          </w:p>
        </w:tc>
      </w:tr>
      <w:tr w:rsidR="00581BA8" w14:paraId="03F3AB68" w14:textId="77777777" w:rsidTr="00BD7263">
        <w:trPr>
          <w:trHeight w:val="142"/>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48DB6A"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Bite</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3A1648CD"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bites another one</w:t>
            </w:r>
          </w:p>
        </w:tc>
      </w:tr>
      <w:tr w:rsidR="00581BA8" w14:paraId="131C06D1" w14:textId="77777777" w:rsidTr="00BD7263">
        <w:trPr>
          <w:trHeight w:val="420"/>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035A79"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Brusque Rush</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39B29572"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jumps on another one</w:t>
            </w:r>
          </w:p>
        </w:tc>
      </w:tr>
      <w:tr w:rsidR="00581BA8" w14:paraId="746FDB51" w14:textId="77777777" w:rsidTr="00BD7263">
        <w:trPr>
          <w:trHeight w:val="357"/>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3E2F95"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Crouching</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2DB42EB0"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 crouching position assumed by an individual who is receiving an aggression, it is displayed to protect itself from the aggressor’s hits</w:t>
            </w:r>
          </w:p>
        </w:tc>
      </w:tr>
      <w:tr w:rsidR="00581BA8" w14:paraId="0056BB02" w14:textId="77777777" w:rsidTr="00BD7263">
        <w:trPr>
          <w:trHeight w:val="16"/>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3DBA46"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Push</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151FCF0C"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push another one by hands</w:t>
            </w:r>
          </w:p>
        </w:tc>
      </w:tr>
      <w:tr w:rsidR="00581BA8" w14:paraId="27E71AAF" w14:textId="77777777" w:rsidTr="00BD7263">
        <w:trPr>
          <w:trHeight w:val="379"/>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50F653"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Pull</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2F068348"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pulls another one by hands</w:t>
            </w:r>
          </w:p>
        </w:tc>
      </w:tr>
      <w:tr w:rsidR="00581BA8" w14:paraId="4539199C" w14:textId="77777777" w:rsidTr="00BD7263">
        <w:trPr>
          <w:trHeight w:val="16"/>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F77A19"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Slap</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1C13F8B6"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slaps another one by hands</w:t>
            </w:r>
          </w:p>
        </w:tc>
      </w:tr>
      <w:tr w:rsidR="00581BA8" w14:paraId="4736D944" w14:textId="77777777" w:rsidTr="00BD7263">
        <w:trPr>
          <w:trHeight w:val="16"/>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98580E"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Aggressive Stamping</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0176D786"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jumps on another one with feet together</w:t>
            </w:r>
          </w:p>
        </w:tc>
      </w:tr>
      <w:tr w:rsidR="00581BA8" w14:paraId="040D5CD5" w14:textId="77777777" w:rsidTr="00BD7263">
        <w:trPr>
          <w:trHeight w:val="1339"/>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39D847"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Charging Display</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2C2AE12E"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It is composed of a series of behaviors (piloerection, run, facial expression, branch dragging, harm swinging, etc.) which generally are displayed by males to threaten other individuals, or to assess their dominance. In bonobo is common even within females</w:t>
            </w:r>
          </w:p>
        </w:tc>
      </w:tr>
      <w:tr w:rsidR="00581BA8" w14:paraId="1BF55A39" w14:textId="77777777" w:rsidTr="00BD7263">
        <w:trPr>
          <w:trHeight w:val="98"/>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AF16EC"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lastRenderedPageBreak/>
              <w:t>Chase</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4B0F1069"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chases another one</w:t>
            </w:r>
          </w:p>
        </w:tc>
      </w:tr>
      <w:tr w:rsidR="00581BA8" w14:paraId="728BE9AF" w14:textId="77777777" w:rsidTr="00BD7263">
        <w:trPr>
          <w:trHeight w:val="324"/>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92FA86" w14:textId="77777777" w:rsidR="00581BA8" w:rsidRDefault="00581BA8" w:rsidP="00CB02BD">
            <w:pPr>
              <w:spacing w:after="0"/>
              <w:rPr>
                <w:rFonts w:ascii="Times New Roman" w:eastAsia="Times New Roman" w:hAnsi="Times New Roman" w:cs="Times New Roman"/>
                <w:b/>
              </w:rPr>
            </w:pPr>
            <w:r>
              <w:rPr>
                <w:rFonts w:ascii="Times New Roman" w:eastAsia="Times New Roman" w:hAnsi="Times New Roman" w:cs="Times New Roman"/>
                <w:b/>
              </w:rPr>
              <w:t>Kick</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57A1BAE6" w14:textId="77777777" w:rsidR="00581BA8" w:rsidRDefault="00581BA8" w:rsidP="00CB02BD">
            <w:pPr>
              <w:spacing w:after="0"/>
              <w:rPr>
                <w:rFonts w:ascii="Times New Roman" w:eastAsia="Times New Roman" w:hAnsi="Times New Roman" w:cs="Times New Roman"/>
              </w:rPr>
            </w:pPr>
            <w:r>
              <w:rPr>
                <w:rFonts w:ascii="Times New Roman" w:eastAsia="Times New Roman" w:hAnsi="Times New Roman" w:cs="Times New Roman"/>
              </w:rPr>
              <w:t>An individual kicks another one</w:t>
            </w:r>
          </w:p>
        </w:tc>
      </w:tr>
      <w:tr w:rsidR="00BD7263" w14:paraId="7C71F514" w14:textId="77777777" w:rsidTr="00BD7263">
        <w:trPr>
          <w:trHeight w:val="324"/>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68F88B" w14:textId="20A4C82A" w:rsidR="00BD7263" w:rsidRDefault="00BD7263" w:rsidP="00CB02BD">
            <w:pPr>
              <w:spacing w:after="0"/>
              <w:rPr>
                <w:rFonts w:ascii="Times New Roman" w:eastAsia="Times New Roman" w:hAnsi="Times New Roman" w:cs="Times New Roman"/>
                <w:b/>
              </w:rPr>
            </w:pPr>
            <w:r>
              <w:rPr>
                <w:rFonts w:ascii="Times New Roman" w:eastAsia="Times New Roman" w:hAnsi="Times New Roman" w:cs="Times New Roman"/>
                <w:b/>
              </w:rPr>
              <w:t>Food Force Claim</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3413F385" w14:textId="6C9FA455" w:rsidR="00BD7263" w:rsidRDefault="00BD7263" w:rsidP="00CB02BD">
            <w:pPr>
              <w:spacing w:after="0"/>
              <w:rPr>
                <w:rFonts w:ascii="Times New Roman" w:eastAsia="Times New Roman" w:hAnsi="Times New Roman" w:cs="Times New Roman"/>
              </w:rPr>
            </w:pPr>
            <w:r>
              <w:rPr>
                <w:rFonts w:ascii="Times New Roman" w:eastAsia="Times New Roman" w:hAnsi="Times New Roman" w:cs="Times New Roman"/>
              </w:rPr>
              <w:t>Two individuals get close to food and one of them win in taking it</w:t>
            </w:r>
          </w:p>
        </w:tc>
      </w:tr>
      <w:tr w:rsidR="00BD7263" w14:paraId="3C776C88" w14:textId="77777777" w:rsidTr="00BD7263">
        <w:trPr>
          <w:trHeight w:val="324"/>
        </w:trPr>
        <w:tc>
          <w:tcPr>
            <w:tcW w:w="3251" w:type="dxa"/>
            <w:tcBorders>
              <w:top w:val="nil"/>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vAlign w:val="center"/>
          </w:tcPr>
          <w:p w14:paraId="282CABD6" w14:textId="376FD7AD" w:rsidR="00BD7263" w:rsidRDefault="00BD7263" w:rsidP="00CB02BD">
            <w:pPr>
              <w:spacing w:after="0"/>
              <w:rPr>
                <w:rFonts w:ascii="Times New Roman" w:eastAsia="Times New Roman" w:hAnsi="Times New Roman" w:cs="Times New Roman"/>
                <w:b/>
              </w:rPr>
            </w:pPr>
            <w:r>
              <w:rPr>
                <w:rFonts w:ascii="Times New Roman" w:eastAsia="Times New Roman" w:hAnsi="Times New Roman" w:cs="Times New Roman"/>
                <w:b/>
              </w:rPr>
              <w:t>SOCIO-SEXUAL CONTACTS</w:t>
            </w:r>
          </w:p>
        </w:tc>
        <w:tc>
          <w:tcPr>
            <w:tcW w:w="5386" w:type="dxa"/>
            <w:tcBorders>
              <w:top w:val="nil"/>
              <w:left w:val="nil"/>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tcPr>
          <w:p w14:paraId="54C8F54D" w14:textId="124B8559" w:rsidR="00BD7263" w:rsidRPr="00BD7263" w:rsidRDefault="00BD7263" w:rsidP="00CB02BD">
            <w:pPr>
              <w:spacing w:after="0"/>
              <w:rPr>
                <w:rFonts w:ascii="Times New Roman" w:eastAsia="Times New Roman" w:hAnsi="Times New Roman" w:cs="Times New Roman"/>
                <w:b/>
                <w:bCs/>
              </w:rPr>
            </w:pPr>
            <w:r>
              <w:rPr>
                <w:rFonts w:ascii="Times New Roman" w:eastAsia="Times New Roman" w:hAnsi="Times New Roman" w:cs="Times New Roman"/>
                <w:b/>
              </w:rPr>
              <w:t>DESCRIPTION</w:t>
            </w:r>
          </w:p>
        </w:tc>
      </w:tr>
      <w:tr w:rsidR="00BD7263" w14:paraId="19DEA56D" w14:textId="77777777" w:rsidTr="00BD7263">
        <w:trPr>
          <w:trHeight w:val="162"/>
        </w:trPr>
        <w:tc>
          <w:tcPr>
            <w:tcW w:w="32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90E07F" w14:textId="6724D852" w:rsidR="00BD7263" w:rsidRPr="00CB02BD" w:rsidRDefault="00BD7263" w:rsidP="00CB02BD">
            <w:pPr>
              <w:spacing w:after="0"/>
              <w:rPr>
                <w:rFonts w:ascii="Times New Roman" w:eastAsia="Times New Roman" w:hAnsi="Times New Roman" w:cs="Times New Roman"/>
                <w:b/>
              </w:rPr>
            </w:pPr>
            <w:r w:rsidRPr="00CB02BD">
              <w:rPr>
                <w:rFonts w:ascii="Times New Roman" w:eastAsia="Times New Roman" w:hAnsi="Times New Roman" w:cs="Times New Roman"/>
                <w:b/>
              </w:rPr>
              <w:t>Genito-Genital Rubbing (GGR)</w:t>
            </w:r>
          </w:p>
        </w:tc>
        <w:tc>
          <w:tcPr>
            <w:tcW w:w="5386" w:type="dxa"/>
            <w:tcBorders>
              <w:top w:val="nil"/>
              <w:left w:val="nil"/>
              <w:bottom w:val="single" w:sz="8" w:space="0" w:color="000000"/>
              <w:right w:val="single" w:sz="8" w:space="0" w:color="000000"/>
            </w:tcBorders>
            <w:tcMar>
              <w:top w:w="100" w:type="dxa"/>
              <w:left w:w="100" w:type="dxa"/>
              <w:bottom w:w="100" w:type="dxa"/>
              <w:right w:w="100" w:type="dxa"/>
            </w:tcMar>
          </w:tcPr>
          <w:p w14:paraId="5D016724" w14:textId="5FA03AAA" w:rsidR="00BD7263" w:rsidRDefault="00CB02BD" w:rsidP="00CB02BD">
            <w:pPr>
              <w:spacing w:after="0"/>
              <w:rPr>
                <w:rFonts w:ascii="Times New Roman" w:eastAsia="Times New Roman" w:hAnsi="Times New Roman" w:cs="Times New Roman"/>
              </w:rPr>
            </w:pPr>
            <w:r>
              <w:rPr>
                <w:rFonts w:ascii="Times New Roman" w:hAnsi="Times New Roman" w:cs="Times New Roman"/>
                <w:sz w:val="24"/>
                <w:szCs w:val="24"/>
              </w:rPr>
              <w:t>T</w:t>
            </w:r>
            <w:r w:rsidRPr="00CB02BD">
              <w:rPr>
                <w:rFonts w:ascii="Times New Roman" w:hAnsi="Times New Roman" w:cs="Times New Roman"/>
                <w:sz w:val="24"/>
                <w:szCs w:val="24"/>
              </w:rPr>
              <w:t xml:space="preserve">wo females in </w:t>
            </w:r>
            <w:proofErr w:type="spellStart"/>
            <w:r w:rsidRPr="00CB02BD">
              <w:rPr>
                <w:rFonts w:ascii="Times New Roman" w:hAnsi="Times New Roman" w:cs="Times New Roman"/>
                <w:sz w:val="24"/>
                <w:szCs w:val="24"/>
              </w:rPr>
              <w:t>ventro</w:t>
            </w:r>
            <w:proofErr w:type="spellEnd"/>
            <w:r w:rsidRPr="00CB02BD">
              <w:rPr>
                <w:rFonts w:ascii="Times New Roman" w:hAnsi="Times New Roman" w:cs="Times New Roman"/>
                <w:sz w:val="24"/>
                <w:szCs w:val="24"/>
              </w:rPr>
              <w:t xml:space="preserve">-ventral, </w:t>
            </w:r>
            <w:proofErr w:type="spellStart"/>
            <w:r w:rsidRPr="00CB02BD">
              <w:rPr>
                <w:rFonts w:ascii="Times New Roman" w:hAnsi="Times New Roman" w:cs="Times New Roman"/>
                <w:sz w:val="24"/>
                <w:szCs w:val="24"/>
              </w:rPr>
              <w:t>dorso</w:t>
            </w:r>
            <w:proofErr w:type="spellEnd"/>
            <w:r w:rsidRPr="00CB02BD">
              <w:rPr>
                <w:rFonts w:ascii="Times New Roman" w:hAnsi="Times New Roman" w:cs="Times New Roman"/>
                <w:sz w:val="24"/>
                <w:szCs w:val="24"/>
              </w:rPr>
              <w:t xml:space="preserve">-dorsal or </w:t>
            </w:r>
            <w:proofErr w:type="spellStart"/>
            <w:r w:rsidRPr="00CB02BD">
              <w:rPr>
                <w:rFonts w:ascii="Times New Roman" w:hAnsi="Times New Roman" w:cs="Times New Roman"/>
                <w:sz w:val="24"/>
                <w:szCs w:val="24"/>
              </w:rPr>
              <w:t>ventro</w:t>
            </w:r>
            <w:proofErr w:type="spellEnd"/>
            <w:r w:rsidRPr="00CB02BD">
              <w:rPr>
                <w:rFonts w:ascii="Times New Roman" w:hAnsi="Times New Roman" w:cs="Times New Roman"/>
                <w:sz w:val="24"/>
                <w:szCs w:val="24"/>
              </w:rPr>
              <w:t xml:space="preserve">-dorsal position. </w:t>
            </w:r>
            <w:r>
              <w:rPr>
                <w:rFonts w:ascii="Times New Roman" w:hAnsi="Times New Roman" w:cs="Times New Roman"/>
                <w:sz w:val="24"/>
                <w:szCs w:val="24"/>
              </w:rPr>
              <w:t>Females rub their genital each other with lateral movements</w:t>
            </w:r>
            <w:r>
              <w:rPr>
                <w:rFonts w:ascii="Times New Roman" w:hAnsi="Times New Roman" w:cs="Times New Roman"/>
                <w:sz w:val="24"/>
                <w:szCs w:val="24"/>
              </w:rPr>
              <w:t>.</w:t>
            </w:r>
          </w:p>
        </w:tc>
      </w:tr>
    </w:tbl>
    <w:p w14:paraId="0D7CF5CE" w14:textId="77777777" w:rsidR="00581BA8" w:rsidRDefault="00581BA8" w:rsidP="00581BA8">
      <w:pPr>
        <w:spacing w:after="0" w:line="480" w:lineRule="auto"/>
        <w:ind w:right="-1"/>
        <w:jc w:val="both"/>
        <w:rPr>
          <w:rFonts w:ascii="Times New Roman" w:eastAsia="Times New Roman" w:hAnsi="Times New Roman" w:cs="Times New Roman"/>
          <w:sz w:val="24"/>
          <w:szCs w:val="24"/>
        </w:rPr>
      </w:pPr>
    </w:p>
    <w:p w14:paraId="0DEEA3F3" w14:textId="571229A9" w:rsidR="00581BA8" w:rsidRPr="00D75D29" w:rsidRDefault="00D75D29" w:rsidP="00D75D29">
      <w:pPr>
        <w:spacing w:after="0" w:line="480" w:lineRule="auto"/>
        <w:ind w:left="426" w:right="-1" w:hanging="426"/>
        <w:jc w:val="both"/>
        <w:rPr>
          <w:rFonts w:ascii="Times New Roman" w:eastAsia="Times New Roman" w:hAnsi="Times New Roman" w:cs="Times New Roman"/>
          <w:sz w:val="24"/>
          <w:szCs w:val="24"/>
          <w:lang w:val="it-IT"/>
        </w:rPr>
      </w:pPr>
      <w:proofErr w:type="spellStart"/>
      <w:r>
        <w:rPr>
          <w:rFonts w:ascii="Times New Roman" w:eastAsia="Times New Roman" w:hAnsi="Times New Roman" w:cs="Times New Roman"/>
          <w:sz w:val="24"/>
          <w:szCs w:val="24"/>
        </w:rPr>
        <w:t>Demuru</w:t>
      </w:r>
      <w:proofErr w:type="spellEnd"/>
      <w:r>
        <w:rPr>
          <w:rFonts w:ascii="Times New Roman" w:eastAsia="Times New Roman" w:hAnsi="Times New Roman" w:cs="Times New Roman"/>
          <w:sz w:val="24"/>
          <w:szCs w:val="24"/>
        </w:rPr>
        <w:t>, E., &amp; Palagi, E. (2012). In bonobos yawn contagion is higher among kin and friends. </w:t>
      </w:r>
      <w:proofErr w:type="spellStart"/>
      <w:r w:rsidRPr="00446716">
        <w:rPr>
          <w:rFonts w:ascii="Times New Roman" w:eastAsia="Times New Roman" w:hAnsi="Times New Roman" w:cs="Times New Roman"/>
          <w:i/>
          <w:sz w:val="24"/>
          <w:szCs w:val="24"/>
          <w:lang w:val="it-IT"/>
        </w:rPr>
        <w:t>PloS</w:t>
      </w:r>
      <w:proofErr w:type="spellEnd"/>
      <w:r w:rsidRPr="00446716">
        <w:rPr>
          <w:rFonts w:ascii="Times New Roman" w:eastAsia="Times New Roman" w:hAnsi="Times New Roman" w:cs="Times New Roman"/>
          <w:i/>
          <w:sz w:val="24"/>
          <w:szCs w:val="24"/>
          <w:lang w:val="it-IT"/>
        </w:rPr>
        <w:t xml:space="preserve"> One</w:t>
      </w:r>
      <w:r w:rsidRPr="00446716">
        <w:rPr>
          <w:rFonts w:ascii="Times New Roman" w:eastAsia="Times New Roman" w:hAnsi="Times New Roman" w:cs="Times New Roman"/>
          <w:sz w:val="24"/>
          <w:szCs w:val="24"/>
          <w:lang w:val="it-IT"/>
        </w:rPr>
        <w:t>, 7(11), e49613. doi.org/10.1371/journal.pone.0049613</w:t>
      </w:r>
    </w:p>
    <w:p w14:paraId="7A9F9EC5" w14:textId="77777777" w:rsidR="00D75D29" w:rsidRDefault="00D75D29" w:rsidP="00D75D29">
      <w:pPr>
        <w:spacing w:after="0" w:line="480" w:lineRule="auto"/>
        <w:ind w:left="426" w:right="-1"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Enomoto, T. (1990). Social play and sexual behavior of the bonobo (</w:t>
      </w:r>
      <w:r>
        <w:rPr>
          <w:rFonts w:ascii="Times New Roman" w:eastAsia="Times New Roman" w:hAnsi="Times New Roman" w:cs="Times New Roman"/>
          <w:i/>
          <w:sz w:val="24"/>
          <w:szCs w:val="24"/>
        </w:rPr>
        <w:t>Pan paniscus</w:t>
      </w:r>
      <w:r>
        <w:rPr>
          <w:rFonts w:ascii="Times New Roman" w:eastAsia="Times New Roman" w:hAnsi="Times New Roman" w:cs="Times New Roman"/>
          <w:sz w:val="24"/>
          <w:szCs w:val="24"/>
        </w:rPr>
        <w:t>) with special reference to flexibility. </w:t>
      </w:r>
      <w:r>
        <w:rPr>
          <w:rFonts w:ascii="Times New Roman" w:eastAsia="Times New Roman" w:hAnsi="Times New Roman" w:cs="Times New Roman"/>
          <w:i/>
          <w:sz w:val="24"/>
          <w:szCs w:val="24"/>
        </w:rPr>
        <w:t>Primates</w:t>
      </w:r>
      <w:r>
        <w:rPr>
          <w:rFonts w:ascii="Times New Roman" w:eastAsia="Times New Roman" w:hAnsi="Times New Roman" w:cs="Times New Roman"/>
          <w:sz w:val="24"/>
          <w:szCs w:val="24"/>
        </w:rPr>
        <w:t>, 31(4), 469-480. doi.org/10.1007/BF02382531</w:t>
      </w:r>
    </w:p>
    <w:p w14:paraId="17145907" w14:textId="77777777" w:rsidR="00581BA8" w:rsidRDefault="00581BA8" w:rsidP="00581BA8">
      <w:pPr>
        <w:spacing w:after="0" w:line="480" w:lineRule="auto"/>
        <w:ind w:left="426" w:right="-1"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Kano, T. (1980). Social behavior of wild pygmy chimpanzees (</w:t>
      </w:r>
      <w:r>
        <w:rPr>
          <w:rFonts w:ascii="Times New Roman" w:eastAsia="Times New Roman" w:hAnsi="Times New Roman" w:cs="Times New Roman"/>
          <w:i/>
          <w:sz w:val="24"/>
          <w:szCs w:val="24"/>
        </w:rPr>
        <w:t>Pan paniscus</w:t>
      </w:r>
      <w:r>
        <w:rPr>
          <w:rFonts w:ascii="Times New Roman" w:eastAsia="Times New Roman" w:hAnsi="Times New Roman" w:cs="Times New Roman"/>
          <w:sz w:val="24"/>
          <w:szCs w:val="24"/>
        </w:rPr>
        <w:t>) of Wamba: A preliminary report. </w:t>
      </w:r>
      <w:r>
        <w:rPr>
          <w:rFonts w:ascii="Times New Roman" w:eastAsia="Times New Roman" w:hAnsi="Times New Roman" w:cs="Times New Roman"/>
          <w:i/>
          <w:sz w:val="24"/>
          <w:szCs w:val="24"/>
        </w:rPr>
        <w:t>Journal of Human Evolution</w:t>
      </w:r>
      <w:r>
        <w:rPr>
          <w:rFonts w:ascii="Times New Roman" w:eastAsia="Times New Roman" w:hAnsi="Times New Roman" w:cs="Times New Roman"/>
          <w:sz w:val="24"/>
          <w:szCs w:val="24"/>
        </w:rPr>
        <w:t>, 9(4), 243-260. doi.org/10.1016/0047-2484(80)90053-6</w:t>
      </w:r>
    </w:p>
    <w:p w14:paraId="4E4C1039" w14:textId="4AA58489" w:rsidR="00D75D29" w:rsidRDefault="00D75D29" w:rsidP="00581BA8">
      <w:pPr>
        <w:spacing w:after="0" w:line="480" w:lineRule="auto"/>
        <w:ind w:left="426" w:right="-1" w:hanging="426"/>
        <w:jc w:val="both"/>
        <w:rPr>
          <w:rFonts w:ascii="Times New Roman" w:eastAsia="Times New Roman" w:hAnsi="Times New Roman" w:cs="Times New Roman"/>
          <w:sz w:val="24"/>
          <w:szCs w:val="24"/>
        </w:rPr>
      </w:pPr>
      <w:proofErr w:type="spellStart"/>
      <w:r w:rsidRPr="00D75D29">
        <w:rPr>
          <w:rFonts w:ascii="Times New Roman" w:eastAsia="Times New Roman" w:hAnsi="Times New Roman" w:cs="Times New Roman"/>
          <w:sz w:val="24"/>
          <w:szCs w:val="24"/>
          <w:lang w:val="it-IT"/>
        </w:rPr>
        <w:t>Norscia</w:t>
      </w:r>
      <w:proofErr w:type="spellEnd"/>
      <w:r w:rsidRPr="00D75D29">
        <w:rPr>
          <w:rFonts w:ascii="Times New Roman" w:eastAsia="Times New Roman" w:hAnsi="Times New Roman" w:cs="Times New Roman"/>
          <w:sz w:val="24"/>
          <w:szCs w:val="24"/>
          <w:lang w:val="it-IT"/>
        </w:rPr>
        <w:t xml:space="preserve">, I., Caselli, M., De Meo, G., Cordoni, G., </w:t>
      </w:r>
      <w:proofErr w:type="spellStart"/>
      <w:r w:rsidRPr="00D75D29">
        <w:rPr>
          <w:rFonts w:ascii="Times New Roman" w:eastAsia="Times New Roman" w:hAnsi="Times New Roman" w:cs="Times New Roman"/>
          <w:sz w:val="24"/>
          <w:szCs w:val="24"/>
          <w:lang w:val="it-IT"/>
        </w:rPr>
        <w:t>Guéry</w:t>
      </w:r>
      <w:proofErr w:type="spellEnd"/>
      <w:r w:rsidRPr="00D75D29">
        <w:rPr>
          <w:rFonts w:ascii="Times New Roman" w:eastAsia="Times New Roman" w:hAnsi="Times New Roman" w:cs="Times New Roman"/>
          <w:sz w:val="24"/>
          <w:szCs w:val="24"/>
          <w:lang w:val="it-IT"/>
        </w:rPr>
        <w:t xml:space="preserve">, J.P., &amp; Demuru, E. (2022). </w:t>
      </w:r>
      <w:r w:rsidRPr="00D75D29">
        <w:rPr>
          <w:rFonts w:ascii="Times New Roman" w:eastAsia="Times New Roman" w:hAnsi="Times New Roman" w:cs="Times New Roman"/>
          <w:sz w:val="24"/>
          <w:szCs w:val="24"/>
        </w:rPr>
        <w:t>Yawn contagion in bonobos: Another group, another story. </w:t>
      </w:r>
      <w:r w:rsidRPr="00D75D29">
        <w:rPr>
          <w:rFonts w:ascii="Times New Roman" w:eastAsia="Times New Roman" w:hAnsi="Times New Roman" w:cs="Times New Roman"/>
          <w:i/>
          <w:iCs/>
          <w:sz w:val="24"/>
          <w:szCs w:val="24"/>
        </w:rPr>
        <w:t>American Journal of Primatology</w:t>
      </w:r>
      <w:r w:rsidRPr="00D75D29">
        <w:rPr>
          <w:rFonts w:ascii="Times New Roman" w:eastAsia="Times New Roman" w:hAnsi="Times New Roman" w:cs="Times New Roman"/>
          <w:sz w:val="24"/>
          <w:szCs w:val="24"/>
        </w:rPr>
        <w:t>, 84(3), e23366.</w:t>
      </w:r>
      <w:r>
        <w:rPr>
          <w:rFonts w:ascii="Times New Roman" w:eastAsia="Times New Roman" w:hAnsi="Times New Roman" w:cs="Times New Roman"/>
          <w:sz w:val="24"/>
          <w:szCs w:val="24"/>
        </w:rPr>
        <w:t xml:space="preserve"> </w:t>
      </w:r>
      <w:r w:rsidRPr="00D75D29">
        <w:rPr>
          <w:rFonts w:ascii="Times New Roman" w:eastAsia="Times New Roman" w:hAnsi="Times New Roman" w:cs="Times New Roman"/>
          <w:sz w:val="24"/>
          <w:szCs w:val="24"/>
        </w:rPr>
        <w:t>https://doi.org/10.1002/ajp.23366</w:t>
      </w:r>
    </w:p>
    <w:p w14:paraId="060A292E" w14:textId="1B31530E" w:rsidR="00581BA8" w:rsidRDefault="00581BA8" w:rsidP="00581BA8">
      <w:pPr>
        <w:spacing w:after="0" w:line="480" w:lineRule="auto"/>
        <w:ind w:left="426" w:right="-1"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Waal, F.B. (1988). The communicative repertoire of captive bonobos (</w:t>
      </w:r>
      <w:r>
        <w:rPr>
          <w:rFonts w:ascii="Times New Roman" w:eastAsia="Times New Roman" w:hAnsi="Times New Roman" w:cs="Times New Roman"/>
          <w:i/>
          <w:sz w:val="24"/>
          <w:szCs w:val="24"/>
        </w:rPr>
        <w:t>Pan paniscus</w:t>
      </w:r>
      <w:r>
        <w:rPr>
          <w:rFonts w:ascii="Times New Roman" w:eastAsia="Times New Roman" w:hAnsi="Times New Roman" w:cs="Times New Roman"/>
          <w:sz w:val="24"/>
          <w:szCs w:val="24"/>
        </w:rPr>
        <w:t>), compared to that of chimpanzees. </w:t>
      </w:r>
      <w:proofErr w:type="spellStart"/>
      <w:r>
        <w:rPr>
          <w:rFonts w:ascii="Times New Roman" w:eastAsia="Times New Roman" w:hAnsi="Times New Roman" w:cs="Times New Roman"/>
          <w:i/>
          <w:sz w:val="24"/>
          <w:szCs w:val="24"/>
        </w:rPr>
        <w:t>Behaviour</w:t>
      </w:r>
      <w:proofErr w:type="spellEnd"/>
      <w:r>
        <w:rPr>
          <w:rFonts w:ascii="Times New Roman" w:eastAsia="Times New Roman" w:hAnsi="Times New Roman" w:cs="Times New Roman"/>
          <w:sz w:val="24"/>
          <w:szCs w:val="24"/>
        </w:rPr>
        <w:t>, 106(3-4), 183-251. doi.org/10.1163/156853988X00269</w:t>
      </w:r>
    </w:p>
    <w:p w14:paraId="7D4D3C90" w14:textId="77777777" w:rsidR="00EE196E" w:rsidRDefault="00EE196E"/>
    <w:sectPr w:rsidR="00EE19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A8"/>
    <w:rsid w:val="00075213"/>
    <w:rsid w:val="00430F23"/>
    <w:rsid w:val="00581BA8"/>
    <w:rsid w:val="008D7264"/>
    <w:rsid w:val="00BD7263"/>
    <w:rsid w:val="00CB02BD"/>
    <w:rsid w:val="00D75D29"/>
    <w:rsid w:val="00EE19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6904"/>
  <w15:chartTrackingRefBased/>
  <w15:docId w15:val="{7E6D1987-1668-475A-83BA-313497C4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1BA8"/>
    <w:rPr>
      <w:rFonts w:ascii="Calibri" w:eastAsia="Calibri" w:hAnsi="Calibri" w:cs="Calibri"/>
      <w:lang w:val="en-US"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75D29"/>
    <w:rPr>
      <w:color w:val="0563C1" w:themeColor="hyperlink"/>
      <w:u w:val="single"/>
    </w:rPr>
  </w:style>
  <w:style w:type="character" w:styleId="Menzionenonrisolta">
    <w:name w:val="Unresolved Mention"/>
    <w:basedOn w:val="Carpredefinitoparagrafo"/>
    <w:uiPriority w:val="99"/>
    <w:semiHidden/>
    <w:unhideWhenUsed/>
    <w:rsid w:val="00D75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450</Words>
  <Characters>2568</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Guidi</dc:creator>
  <cp:keywords/>
  <dc:description/>
  <cp:lastModifiedBy>Andrea Guidi</cp:lastModifiedBy>
  <cp:revision>4</cp:revision>
  <dcterms:created xsi:type="dcterms:W3CDTF">2022-05-05T07:38:00Z</dcterms:created>
  <dcterms:modified xsi:type="dcterms:W3CDTF">2022-05-06T07:07:00Z</dcterms:modified>
</cp:coreProperties>
</file>