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599DD" w14:textId="615CAB54" w:rsidR="00766D0C" w:rsidRDefault="00766D0C" w:rsidP="00766D0C">
      <w:pPr>
        <w:spacing w:after="0" w:line="480" w:lineRule="auto"/>
        <w:jc w:val="center"/>
        <w:rPr>
          <w:rFonts w:ascii="Times New Roman" w:eastAsia="Times New Roman" w:hAnsi="Times New Roman" w:cs="Times New Roman"/>
          <w:b/>
          <w:bCs/>
          <w:sz w:val="24"/>
          <w:szCs w:val="24"/>
        </w:rPr>
      </w:pPr>
      <w:r w:rsidRPr="00EC61D1">
        <w:rPr>
          <w:rFonts w:ascii="Times New Roman" w:eastAsia="Times New Roman" w:hAnsi="Times New Roman" w:cs="Times New Roman"/>
          <w:b/>
          <w:bCs/>
          <w:sz w:val="24"/>
          <w:szCs w:val="24"/>
        </w:rPr>
        <w:t xml:space="preserve">Combating cholera by building predictive capabilities for pathogenic </w:t>
      </w:r>
      <w:r w:rsidRPr="00EC61D1">
        <w:rPr>
          <w:rFonts w:ascii="Times New Roman" w:eastAsia="Times New Roman" w:hAnsi="Times New Roman" w:cs="Times New Roman"/>
          <w:b/>
          <w:bCs/>
          <w:i/>
          <w:iCs/>
          <w:sz w:val="24"/>
          <w:szCs w:val="24"/>
        </w:rPr>
        <w:t>Vibrio cholerae</w:t>
      </w:r>
      <w:r w:rsidR="00C4504D">
        <w:rPr>
          <w:rFonts w:ascii="Times New Roman" w:eastAsia="Times New Roman" w:hAnsi="Times New Roman" w:cs="Times New Roman"/>
          <w:b/>
          <w:bCs/>
          <w:i/>
          <w:iCs/>
          <w:sz w:val="24"/>
          <w:szCs w:val="24"/>
        </w:rPr>
        <w:t xml:space="preserve"> </w:t>
      </w:r>
      <w:r w:rsidR="00C4504D" w:rsidRPr="0038682D">
        <w:rPr>
          <w:rFonts w:ascii="Times New Roman" w:eastAsia="Times New Roman" w:hAnsi="Times New Roman" w:cs="Times New Roman"/>
          <w:b/>
          <w:bCs/>
          <w:sz w:val="24"/>
          <w:szCs w:val="24"/>
        </w:rPr>
        <w:t>in</w:t>
      </w:r>
      <w:r w:rsidRPr="00EC61D1">
        <w:rPr>
          <w:rFonts w:ascii="Times New Roman" w:eastAsia="Times New Roman" w:hAnsi="Times New Roman" w:cs="Times New Roman"/>
          <w:b/>
          <w:bCs/>
          <w:sz w:val="24"/>
          <w:szCs w:val="24"/>
        </w:rPr>
        <w:t xml:space="preserve"> Yemen</w:t>
      </w:r>
    </w:p>
    <w:p w14:paraId="77AC8867" w14:textId="77777777" w:rsidR="00766D0C" w:rsidRPr="00EC61D1" w:rsidRDefault="00766D0C" w:rsidP="00766D0C">
      <w:pPr>
        <w:spacing w:after="0" w:line="480" w:lineRule="auto"/>
        <w:jc w:val="center"/>
        <w:rPr>
          <w:rFonts w:ascii="Times New Roman" w:eastAsia="Times New Roman" w:hAnsi="Times New Roman" w:cs="Times New Roman"/>
          <w:b/>
          <w:bCs/>
          <w:sz w:val="24"/>
          <w:szCs w:val="24"/>
        </w:rPr>
      </w:pPr>
    </w:p>
    <w:p w14:paraId="30F9BE72" w14:textId="0CE37EC7" w:rsidR="00766D0C" w:rsidRDefault="00766D0C" w:rsidP="00766D0C">
      <w:pPr>
        <w:jc w:val="center"/>
      </w:pPr>
      <w:r w:rsidRPr="00AC3C38">
        <w:rPr>
          <w:rFonts w:ascii="Times New Roman" w:eastAsia="Times New Roman" w:hAnsi="Times New Roman" w:cs="Times New Roman"/>
          <w:b/>
          <w:bCs/>
          <w:i/>
          <w:iCs/>
          <w:sz w:val="24"/>
          <w:szCs w:val="24"/>
        </w:rPr>
        <w:t>Moiz Usmani, Kyle D. Brumfield, Bailey M. Magers, Juan Chaves-Gonzalez, Helen Ticehurst, Rosa B</w:t>
      </w:r>
      <w:r w:rsidR="007C5F3F">
        <w:rPr>
          <w:rFonts w:ascii="Times New Roman" w:eastAsia="Times New Roman" w:hAnsi="Times New Roman" w:cs="Times New Roman"/>
          <w:b/>
          <w:bCs/>
          <w:i/>
          <w:iCs/>
          <w:sz w:val="24"/>
          <w:szCs w:val="24"/>
        </w:rPr>
        <w:t>ar</w:t>
      </w:r>
      <w:r w:rsidRPr="00AC3C38">
        <w:rPr>
          <w:rFonts w:ascii="Times New Roman" w:eastAsia="Times New Roman" w:hAnsi="Times New Roman" w:cs="Times New Roman"/>
          <w:b/>
          <w:bCs/>
          <w:i/>
          <w:iCs/>
          <w:sz w:val="24"/>
          <w:szCs w:val="24"/>
        </w:rPr>
        <w:t>ci</w:t>
      </w:r>
      <w:r w:rsidR="007C5F3F">
        <w:rPr>
          <w:rFonts w:ascii="Times New Roman" w:eastAsia="Times New Roman" w:hAnsi="Times New Roman" w:cs="Times New Roman"/>
          <w:b/>
          <w:bCs/>
          <w:i/>
          <w:iCs/>
          <w:sz w:val="24"/>
          <w:szCs w:val="24"/>
        </w:rPr>
        <w:t>e</w:t>
      </w:r>
      <w:r w:rsidRPr="00AC3C38">
        <w:rPr>
          <w:rFonts w:ascii="Times New Roman" w:eastAsia="Times New Roman" w:hAnsi="Times New Roman" w:cs="Times New Roman"/>
          <w:b/>
          <w:bCs/>
          <w:i/>
          <w:iCs/>
          <w:sz w:val="24"/>
          <w:szCs w:val="24"/>
        </w:rPr>
        <w:t>la, Fergus McBean, Rita R. Colwell, Antarpreet Jutla*</w:t>
      </w:r>
    </w:p>
    <w:p w14:paraId="2F9F5008" w14:textId="77777777" w:rsidR="00766D0C" w:rsidRDefault="00766D0C"/>
    <w:p w14:paraId="32BC7067" w14:textId="77777777" w:rsidR="00766D0C" w:rsidRDefault="00766D0C"/>
    <w:p w14:paraId="764EF37A" w14:textId="77777777" w:rsidR="00766D0C" w:rsidRDefault="00766D0C"/>
    <w:p w14:paraId="15B14C7F" w14:textId="77777777" w:rsidR="00766D0C" w:rsidRDefault="00766D0C"/>
    <w:p w14:paraId="4F337762" w14:textId="77777777" w:rsidR="00766D0C" w:rsidRDefault="00766D0C"/>
    <w:p w14:paraId="140FF8B2" w14:textId="28F2D554" w:rsidR="00E12AC2" w:rsidRPr="00766D0C" w:rsidRDefault="006C64CF">
      <w:pPr>
        <w:rPr>
          <w:b/>
          <w:bCs/>
        </w:rPr>
      </w:pPr>
      <w:r w:rsidRPr="00766D0C">
        <w:rPr>
          <w:b/>
          <w:bCs/>
        </w:rPr>
        <w:t xml:space="preserve">Supplementary </w:t>
      </w:r>
      <w:r w:rsidR="00766D0C" w:rsidRPr="00766D0C">
        <w:rPr>
          <w:b/>
          <w:bCs/>
        </w:rPr>
        <w:t>Material</w:t>
      </w:r>
    </w:p>
    <w:p w14:paraId="2A9FEA57" w14:textId="53EDDDF3" w:rsidR="006C64CF" w:rsidRDefault="006C64CF"/>
    <w:p w14:paraId="6768A504" w14:textId="348F8051" w:rsidR="006C64CF" w:rsidRDefault="006C64CF"/>
    <w:p w14:paraId="003A728E" w14:textId="5D495DDE" w:rsidR="006C64CF" w:rsidRDefault="006C64CF"/>
    <w:p w14:paraId="62A2F4E6" w14:textId="209A0F52" w:rsidR="006C64CF" w:rsidRDefault="006C64CF"/>
    <w:p w14:paraId="514A889E" w14:textId="3367E858" w:rsidR="006C64CF" w:rsidRDefault="006C64CF"/>
    <w:p w14:paraId="344954BB" w14:textId="7C445ED3" w:rsidR="006C64CF" w:rsidRDefault="006C64CF"/>
    <w:p w14:paraId="65F6BD23" w14:textId="45C2C48D" w:rsidR="006C64CF" w:rsidRDefault="006C64CF"/>
    <w:p w14:paraId="5BFB3115" w14:textId="4E96E6FE" w:rsidR="006C64CF" w:rsidRDefault="006C64CF"/>
    <w:p w14:paraId="0E287B7D" w14:textId="42161C63" w:rsidR="006C64CF" w:rsidRDefault="006C64CF"/>
    <w:p w14:paraId="654BE1B9" w14:textId="2B1F554B" w:rsidR="006C64CF" w:rsidRDefault="006C64CF"/>
    <w:p w14:paraId="6C17E4FA" w14:textId="6BB836A4" w:rsidR="006C64CF" w:rsidRDefault="006C64CF"/>
    <w:p w14:paraId="15151A1B" w14:textId="65974045" w:rsidR="006C64CF" w:rsidRDefault="006C64CF"/>
    <w:p w14:paraId="76897553" w14:textId="1266DE53" w:rsidR="006C64CF" w:rsidRDefault="006C64CF"/>
    <w:p w14:paraId="0F6BE2A8" w14:textId="38E30BF7" w:rsidR="006C64CF" w:rsidRDefault="006C64CF"/>
    <w:p w14:paraId="794EE0C3" w14:textId="62119778" w:rsidR="006C64CF" w:rsidRDefault="006C64CF"/>
    <w:p w14:paraId="57ECAF88" w14:textId="2E16E58D" w:rsidR="006C64CF" w:rsidRDefault="006C64CF"/>
    <w:p w14:paraId="3F711057" w14:textId="68B31902" w:rsidR="006C64CF" w:rsidRDefault="006C64CF"/>
    <w:p w14:paraId="39D33FB0" w14:textId="27D7414F" w:rsidR="00DD578F" w:rsidRPr="0038682D" w:rsidRDefault="001D267A">
      <w:pPr>
        <w:rPr>
          <w:b/>
          <w:bCs/>
        </w:rPr>
      </w:pPr>
      <w:r w:rsidRPr="0038682D">
        <w:rPr>
          <w:b/>
          <w:bCs/>
        </w:rPr>
        <w:lastRenderedPageBreak/>
        <w:t>Model:</w:t>
      </w:r>
    </w:p>
    <w:p w14:paraId="2668D536" w14:textId="77777777" w:rsidR="001D267A" w:rsidRPr="0065521C" w:rsidRDefault="001D267A" w:rsidP="001D267A">
      <w:pPr>
        <w:spacing w:line="480" w:lineRule="auto"/>
        <w:jc w:val="both"/>
        <w:rPr>
          <w:rFonts w:cstheme="minorHAnsi"/>
          <w:b/>
          <w:bCs/>
          <w:i/>
          <w:iCs/>
          <w:sz w:val="24"/>
          <w:szCs w:val="24"/>
        </w:rPr>
      </w:pPr>
      <w:r w:rsidRPr="0065521C">
        <w:rPr>
          <w:rFonts w:cstheme="minorHAnsi"/>
          <w:b/>
          <w:bCs/>
          <w:i/>
          <w:iCs/>
          <w:sz w:val="24"/>
          <w:szCs w:val="24"/>
        </w:rPr>
        <w:t xml:space="preserve">Trigger Model- </w:t>
      </w:r>
      <w:r w:rsidRPr="0065521C">
        <w:rPr>
          <w:rFonts w:cstheme="minorHAnsi"/>
          <w:sz w:val="24"/>
          <w:szCs w:val="24"/>
        </w:rPr>
        <w:t xml:space="preserve">For our predictive model, we developed an algorithm using precipitation, temperature, and </w:t>
      </w:r>
      <w:r>
        <w:rPr>
          <w:rFonts w:cstheme="minorHAnsi"/>
          <w:sz w:val="24"/>
          <w:szCs w:val="24"/>
        </w:rPr>
        <w:t>sociological</w:t>
      </w:r>
      <w:r w:rsidRPr="0065521C">
        <w:rPr>
          <w:rFonts w:cstheme="minorHAnsi"/>
          <w:sz w:val="24"/>
          <w:szCs w:val="24"/>
        </w:rPr>
        <w:t xml:space="preserve"> data</w:t>
      </w:r>
      <w:r>
        <w:rPr>
          <w:rFonts w:cstheme="minorHAnsi"/>
          <w:sz w:val="24"/>
          <w:szCs w:val="24"/>
        </w:rPr>
        <w:t xml:space="preserve"> (as shown in figure 1a)</w:t>
      </w:r>
      <w:r w:rsidRPr="0065521C">
        <w:rPr>
          <w:rFonts w:cstheme="minorHAnsi"/>
          <w:sz w:val="24"/>
          <w:szCs w:val="24"/>
        </w:rPr>
        <w:t xml:space="preserve"> from different sources along with ground information of WASH facilities </w:t>
      </w:r>
      <w:r>
        <w:rPr>
          <w:rFonts w:cstheme="minorHAnsi"/>
          <w:sz w:val="24"/>
          <w:szCs w:val="24"/>
        </w:rPr>
        <w:t>in</w:t>
      </w:r>
      <w:r w:rsidRPr="0065521C">
        <w:rPr>
          <w:rFonts w:cstheme="minorHAnsi"/>
          <w:sz w:val="24"/>
          <w:szCs w:val="24"/>
        </w:rPr>
        <w:t xml:space="preserve"> Yemen. A pathway was determined using these variables, which states that if a region with damaged WASH facilities, for a specific period, experiences a positive anomalous temperature followed by positive anomalous rainfall with a lag of four weeks, then it will be at high risk of a cholera outbreak. These anomalies for temperature and precipitation were calculated over the long-term average values using equation (a).  </w:t>
      </w:r>
    </w:p>
    <w:p w14:paraId="1EC844AC" w14:textId="77777777" w:rsidR="001D267A" w:rsidRPr="0065521C" w:rsidRDefault="001D267A" w:rsidP="001D267A">
      <w:pPr>
        <w:spacing w:line="480" w:lineRule="auto"/>
        <w:jc w:val="both"/>
        <w:rPr>
          <w:rFonts w:cstheme="minorHAnsi"/>
          <w:sz w:val="24"/>
          <w:szCs w:val="24"/>
        </w:rPr>
      </w:pPr>
      <m:oMath>
        <m:r>
          <w:rPr>
            <w:rFonts w:ascii="Cambria Math" w:hAnsi="Cambria Math" w:cstheme="minorHAnsi"/>
            <w:sz w:val="24"/>
            <w:szCs w:val="24"/>
          </w:rPr>
          <m:t xml:space="preserve">Anomalous Value=Present month value-Long term average value of same month </m:t>
        </m:r>
      </m:oMath>
      <w:r w:rsidRPr="0065521C">
        <w:rPr>
          <w:rFonts w:eastAsiaTheme="minorEastAsia" w:cstheme="minorHAnsi"/>
          <w:sz w:val="24"/>
          <w:szCs w:val="24"/>
        </w:rPr>
        <w:t>……..(a)</w:t>
      </w:r>
    </w:p>
    <w:p w14:paraId="07F13AF6" w14:textId="03FF3BFA" w:rsidR="001D267A" w:rsidRDefault="001D267A" w:rsidP="0038682D">
      <w:pPr>
        <w:spacing w:line="480" w:lineRule="auto"/>
      </w:pPr>
      <w:r w:rsidRPr="0065521C">
        <w:rPr>
          <w:rFonts w:cstheme="minorHAnsi"/>
          <w:sz w:val="24"/>
          <w:szCs w:val="24"/>
        </w:rPr>
        <w:t>In this study, the significance of these anomalous variabilities in temperature and precipitation is computed by determining the ratio of these anomalous variations to the standard deviation of respective grid points (standard score). We quantified these anomalous hydroclimatic variables in standard scores to capture the significance of these variabilities and their impact on the prediction of risk maps. The significance of these variables is directly proportional to standard scores</w:t>
      </w:r>
      <w:r>
        <w:rPr>
          <w:rFonts w:cstheme="minorHAnsi"/>
          <w:sz w:val="24"/>
          <w:szCs w:val="24"/>
        </w:rPr>
        <w:t>;</w:t>
      </w:r>
      <w:r w:rsidRPr="0065521C">
        <w:rPr>
          <w:rFonts w:cstheme="minorHAnsi"/>
          <w:sz w:val="24"/>
          <w:szCs w:val="24"/>
        </w:rPr>
        <w:t xml:space="preserve"> thus</w:t>
      </w:r>
      <w:r>
        <w:rPr>
          <w:rFonts w:cstheme="minorHAnsi"/>
          <w:sz w:val="24"/>
          <w:szCs w:val="24"/>
        </w:rPr>
        <w:t>,</w:t>
      </w:r>
      <w:r w:rsidRPr="0065521C">
        <w:rPr>
          <w:rFonts w:cstheme="minorHAnsi"/>
          <w:sz w:val="24"/>
          <w:szCs w:val="24"/>
        </w:rPr>
        <w:t xml:space="preserve"> as the scores increases from 1, 2, and 3, the confidence interval increases to 68%, 95% to 99.7%, respectively. Along with the anomalous standard score, the average precipitation of the previous month is used as one of the predictive variables.</w:t>
      </w:r>
    </w:p>
    <w:p w14:paraId="499DDCE5" w14:textId="6E176AB3" w:rsidR="001D267A" w:rsidRDefault="001D267A" w:rsidP="0038682D">
      <w:pPr>
        <w:spacing w:line="480" w:lineRule="auto"/>
      </w:pPr>
      <w:r w:rsidRPr="0065521C">
        <w:rPr>
          <w:rFonts w:cstheme="minorHAnsi"/>
          <w:b/>
          <w:bCs/>
          <w:sz w:val="24"/>
          <w:szCs w:val="24"/>
        </w:rPr>
        <w:t>Classification and Weights</w:t>
      </w:r>
      <w:r w:rsidRPr="0065521C">
        <w:rPr>
          <w:rFonts w:cstheme="minorHAnsi"/>
          <w:sz w:val="24"/>
          <w:szCs w:val="24"/>
        </w:rPr>
        <w:t xml:space="preserve">- For the trigger model, we used six input variables, namely, average precipitation and positive anomalous variability of precipitation with a lag of one month (four weeks), positive anomalous variability of temperature with a lag of two months (eight weeks), </w:t>
      </w:r>
      <w:bookmarkStart w:id="0" w:name="_Hlk31824038"/>
      <w:r w:rsidRPr="0065521C">
        <w:rPr>
          <w:rFonts w:cstheme="minorHAnsi"/>
          <w:sz w:val="24"/>
          <w:szCs w:val="24"/>
        </w:rPr>
        <w:t>average temperature</w:t>
      </w:r>
      <w:bookmarkEnd w:id="0"/>
      <w:r w:rsidRPr="0065521C">
        <w:rPr>
          <w:rFonts w:cstheme="minorHAnsi"/>
          <w:sz w:val="24"/>
          <w:szCs w:val="24"/>
        </w:rPr>
        <w:t>, population density, and WASH data</w:t>
      </w:r>
      <w:r>
        <w:rPr>
          <w:rFonts w:cstheme="minorHAnsi"/>
          <w:sz w:val="24"/>
          <w:szCs w:val="24"/>
        </w:rPr>
        <w:t>.</w:t>
      </w:r>
      <w:r w:rsidRPr="0065521C">
        <w:rPr>
          <w:rFonts w:cstheme="minorHAnsi"/>
          <w:sz w:val="24"/>
          <w:szCs w:val="24"/>
        </w:rPr>
        <w:t xml:space="preserve"> These variables are classified on a </w:t>
      </w:r>
      <w:r w:rsidRPr="0065521C">
        <w:rPr>
          <w:rFonts w:cstheme="minorHAnsi"/>
          <w:sz w:val="24"/>
          <w:szCs w:val="24"/>
        </w:rPr>
        <w:lastRenderedPageBreak/>
        <w:t xml:space="preserve">scale of 0 (minimum) to 4 (maximum), based on the defined microbiologic and hydroclimatic parameters, except for average temperature and sociodemographic instability, which are binary. </w:t>
      </w:r>
      <w:r>
        <w:rPr>
          <w:rFonts w:cstheme="minorHAnsi"/>
          <w:sz w:val="24"/>
          <w:szCs w:val="24"/>
        </w:rPr>
        <w:t>This classification has been done to mitigate the impact of combining these variables of varying ranges and different numbering systems. In this study, each reclassified input variable is given equal importance, thus was given equal weights. WASH facility in Yemen was considered completely damaged based on information provided by DfID and UNICEF</w:t>
      </w:r>
      <w:r w:rsidRPr="0065521C">
        <w:rPr>
          <w:rFonts w:cstheme="minorHAnsi"/>
          <w:sz w:val="24"/>
          <w:szCs w:val="24"/>
        </w:rPr>
        <w:t>.</w:t>
      </w:r>
    </w:p>
    <w:p w14:paraId="7771E544" w14:textId="137EA01B" w:rsidR="001D267A" w:rsidRPr="0038682D" w:rsidRDefault="001D267A">
      <w:pPr>
        <w:rPr>
          <w:b/>
          <w:bCs/>
        </w:rPr>
      </w:pPr>
      <w:r w:rsidRPr="0038682D">
        <w:rPr>
          <w:b/>
          <w:bCs/>
        </w:rPr>
        <w:t>Results:</w:t>
      </w:r>
    </w:p>
    <w:p w14:paraId="08F455D8" w14:textId="4F5CEC1F" w:rsidR="00DD578F" w:rsidRPr="0038682D" w:rsidRDefault="00DD578F">
      <w:pPr>
        <w:rPr>
          <w:rFonts w:asciiTheme="majorHAnsi" w:hAnsiTheme="majorHAnsi" w:cstheme="majorHAnsi"/>
        </w:rPr>
      </w:pPr>
      <w:r w:rsidRPr="0038682D">
        <w:rPr>
          <w:rFonts w:asciiTheme="majorHAnsi" w:hAnsiTheme="majorHAnsi" w:cstheme="majorHAnsi"/>
        </w:rPr>
        <w:t>Strength</w:t>
      </w:r>
    </w:p>
    <w:p w14:paraId="6C3BFB66" w14:textId="77777777" w:rsidR="00DD578F" w:rsidRPr="0038682D" w:rsidRDefault="00DD578F" w:rsidP="00DD578F">
      <w:pPr>
        <w:spacing w:after="0" w:line="480" w:lineRule="auto"/>
        <w:rPr>
          <w:rFonts w:asciiTheme="majorHAnsi" w:eastAsia="Times New Roman" w:hAnsiTheme="majorHAnsi" w:cstheme="majorHAnsi"/>
          <w:sz w:val="24"/>
          <w:szCs w:val="24"/>
        </w:rPr>
      </w:pPr>
      <w:r w:rsidRPr="0038682D">
        <w:rPr>
          <w:rFonts w:asciiTheme="majorHAnsi" w:eastAsia="Times New Roman" w:hAnsiTheme="majorHAnsi" w:cstheme="majorHAnsi"/>
          <w:sz w:val="24"/>
          <w:szCs w:val="24"/>
        </w:rPr>
        <w:t xml:space="preserve">Interestingly, the first report of </w:t>
      </w:r>
      <w:r w:rsidRPr="0038682D">
        <w:rPr>
          <w:rFonts w:asciiTheme="majorHAnsi" w:eastAsia="Times New Roman" w:hAnsiTheme="majorHAnsi" w:cstheme="majorHAnsi"/>
          <w:i/>
          <w:iCs/>
          <w:sz w:val="24"/>
          <w:szCs w:val="24"/>
        </w:rPr>
        <w:t xml:space="preserve">V. cholerae </w:t>
      </w:r>
      <w:r w:rsidRPr="0038682D">
        <w:rPr>
          <w:rFonts w:asciiTheme="majorHAnsi" w:eastAsia="Times New Roman" w:hAnsiTheme="majorHAnsi" w:cstheme="majorHAnsi"/>
          <w:sz w:val="24"/>
          <w:szCs w:val="24"/>
        </w:rPr>
        <w:t>serotype O139 occurred in the chars near the southwestern coastal districts of Bagerhat, Bangladesh, where islands emerge at the end of the monsoon season</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{"citationID":"TFaddtXn","properties":{"formattedCitation":"\\super 1\\nosupersub{}","plainCitation":"1","noteIndex":0},"citationItems":[{"id":56,"uris":["http://zotero.org/users/local/JtIXDwNs/items/9PNP4XHJ"],"uri":["http://zotero.org/users/local/JtIXDwNs/items/9PNP4XHJ"],"itemData":{"id":56,"type":"article-journal","container-title":"Science","DOI":"10.1126/science.274.5295.2025","ISSN":"0036-8075, 1095-9203","issue":"5295","journalAbbreviation":"Science","language":"en","page":"2025-2031","source":"DOI.org (Crossref)","title":"Global Climate and Infectious Disease: The Cholera Paradigm","title-short":"Global Climate and Infectious Disease","volume":"274","author":[{"family":"Colwell","given":"R. R."}],"issued":{"date-parts":[["1996",12,20]]}}}],"schema":"https://github.com/citation-style-language/schema/raw/master/csl-citation.json"}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1</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xml:space="preserve">. Because of poor communication with the mainland, the </w:t>
      </w:r>
      <w:r w:rsidRPr="0038682D">
        <w:rPr>
          <w:rFonts w:asciiTheme="majorHAnsi" w:eastAsia="Times New Roman" w:hAnsiTheme="majorHAnsi" w:cstheme="majorHAnsi"/>
          <w:i/>
          <w:iCs/>
          <w:sz w:val="24"/>
          <w:szCs w:val="24"/>
        </w:rPr>
        <w:t>V. cholerae</w:t>
      </w:r>
      <w:r w:rsidRPr="0038682D">
        <w:rPr>
          <w:rFonts w:asciiTheme="majorHAnsi" w:eastAsia="Times New Roman" w:hAnsiTheme="majorHAnsi" w:cstheme="majorHAnsi"/>
          <w:sz w:val="24"/>
          <w:szCs w:val="24"/>
        </w:rPr>
        <w:t xml:space="preserve"> O139 was not reported until December 1992</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{"citationID":"BVHZdb61","properties":{"formattedCitation":"\\super 1\\nosupersub{}","plainCitation":"1","noteIndex":0},"citationItems":[{"id":56,"uris":["http://zotero.org/users/local/JtIXDwNs/items/9PNP4XHJ"],"uri":["http://zotero.org/users/local/JtIXDwNs/items/9PNP4XHJ"],"itemData":{"id":56,"type":"article-journal","container-title":"Science","DOI":"10.1126/science.274.5295.2025","ISSN":"0036-8075, 1095-9203","issue":"5295","journalAbbreviation":"Science","language":"en","page":"2025-2031","source":"DOI.org (Crossref)","title":"Global Climate and Infectious Disease: The Cholera Paradigm","title-short":"Global Climate and Infectious Disease","volume":"274","author":[{"family":"Colwell","given":"R. R."}],"issued":{"date-parts":[["1996",12,20]]}}}],"schema":"https://github.com/citation-style-language/schema/raw/master/csl-citation.json"}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1</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xml:space="preserve">. By September of the following year, the epidemic caused by </w:t>
      </w:r>
      <w:r w:rsidRPr="0038682D">
        <w:rPr>
          <w:rFonts w:asciiTheme="majorHAnsi" w:eastAsia="Times New Roman" w:hAnsiTheme="majorHAnsi" w:cstheme="majorHAnsi"/>
          <w:i/>
          <w:iCs/>
          <w:sz w:val="24"/>
          <w:szCs w:val="24"/>
        </w:rPr>
        <w:t xml:space="preserve">V. cholerae </w:t>
      </w:r>
      <w:r w:rsidRPr="0038682D">
        <w:rPr>
          <w:rFonts w:asciiTheme="majorHAnsi" w:eastAsia="Times New Roman" w:hAnsiTheme="majorHAnsi" w:cstheme="majorHAnsi"/>
          <w:sz w:val="24"/>
          <w:szCs w:val="24"/>
        </w:rPr>
        <w:t xml:space="preserve">O139 had spread to northern regions of Bangladesh—coinciding with seasonal outbreaks of </w:t>
      </w:r>
      <w:r w:rsidRPr="0038682D">
        <w:rPr>
          <w:rFonts w:asciiTheme="majorHAnsi" w:eastAsia="Times New Roman" w:hAnsiTheme="majorHAnsi" w:cstheme="majorHAnsi"/>
          <w:i/>
          <w:iCs/>
          <w:sz w:val="24"/>
          <w:szCs w:val="24"/>
        </w:rPr>
        <w:t xml:space="preserve">V. cholerae </w:t>
      </w:r>
      <w:r w:rsidRPr="0038682D">
        <w:rPr>
          <w:rFonts w:asciiTheme="majorHAnsi" w:eastAsia="Times New Roman" w:hAnsiTheme="majorHAnsi" w:cstheme="majorHAnsi"/>
          <w:sz w:val="24"/>
          <w:szCs w:val="24"/>
        </w:rPr>
        <w:t>O1</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{"citationID":"6nceKxrQ","properties":{"formattedCitation":"\\super 49\\nosupersub{}","plainCitation":"49","noteIndex":0},"citationItems":[{"id":854,"uris":["http://zotero.org/users/local/JtIXDwNs/items/M5V6GCAA"],"uri":["http://zotero.org/users/local/JtIXDwNs/items/M5V6GCAA"],"itemData":{"id":854,"type":"article-journal","abstract":"Since Vibrio cholerae O139 first appeared in 1992, both O1 El Tor and O139 have been recognized as the epidemic serogroups, although their geographic distribution, endemicity, and reservoir are not fully understood. To address this lack of information, a study of the epidemiology and ecology of V. cholerae O1 and O139 was carried out in two coastal areas, Bakerganj and Mathbaria, Bangladesh, where cholera occurs seasonally. The results of a biweekly clinical study (January 2004 to May 2005), employing culture methods, and of an ecological study (monthly in Bakerganj and biweekly in Mathbaria from March 2004 to May 2005), employing direct and enrichment culture, colony blot hybridization, and direct fluorescent-antibody methods, showed that cholera is endemic in both Bakerganj and Mathbaria and that V. cholerae O1, O139, and non-O1/non-O139 are autochthonous to the aquatic environment. Although V. cholerae O1 and O139 were isolated from both areas, most noteworthy was the isolation of V. cholerae O139 in March, July, and September 2004 in Mathbaria, where seasonal cholera was clinically linked only to V. cholerae O1. In Mathbaria, V. cholerae O139 emerged as the sole cause of a significant outbreak of cholera in March 2005. V. cholerae O1 reemerged clinically in April 2005 and established dominance over V. cholerae O139, continuing to cause cholera in Mathbaria. In conclusion, the epidemic potential and coastal aquatic reservoir for V. cholerae O139 have been demonstrated. Based on the results of this study, the coastal ecosystem of the Bay of Bengal is concluded to be a significant reservoir for the epidemic serogroups of V. cholerae.","container-title":"Applied and Environmental Microbiology","DOI":"10.1128/AEM.00066-06","ISSN":"0099-2240","issue":"6","journalAbbreviation":"Appl Environ Microbiol","language":"eng","note":"PMID: 16751520\nPMCID: PMC1489596","page":"4096-4104","source":"PubMed","title":"Seasonal cholera caused by Vibrio cholerae serogroups O1 and O139 in the coastal aquatic environment of Bangladesh","volume":"72","author":[{"family":"Alam","given":"Munirul"},{"family":"Hasan","given":"Nur A."},{"family":"Sadique","given":"Abdus"},{"family":"Bhuiyan","given":"N. A."},{"family":"Ahmed","given":"Kabir U."},{"family":"Nusrin","given":"Suraia"},{"family":"Nair","given":"G. Balakrish"},{"family":"Siddique","given":"A. K."},{"family":"Sack","given":"R. Bradley"},{"family":"Sack","given":"David A."},{"family":"Huq","given":"Anwar"},{"family":"Colwell","given":"Rita R."}],"issued":{"date-parts":[["2006",6]]}}}],"schema":"https://github.com/citation-style-language/schema/raw/master/csl-citation.json"}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49</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xml:space="preserve">. </w:t>
      </w:r>
    </w:p>
    <w:p w14:paraId="542861A1" w14:textId="77777777" w:rsidR="00DD578F" w:rsidRPr="0038682D" w:rsidRDefault="00DD578F" w:rsidP="00DD578F">
      <w:pPr>
        <w:spacing w:after="0" w:line="480" w:lineRule="auto"/>
        <w:rPr>
          <w:rFonts w:asciiTheme="majorHAnsi" w:eastAsia="Times New Roman" w:hAnsiTheme="majorHAnsi" w:cstheme="majorHAnsi"/>
          <w:sz w:val="24"/>
          <w:szCs w:val="24"/>
        </w:rPr>
      </w:pPr>
      <w:r w:rsidRPr="0038682D">
        <w:rPr>
          <w:rFonts w:asciiTheme="majorHAnsi" w:eastAsia="Times New Roman" w:hAnsiTheme="majorHAnsi" w:cstheme="majorHAnsi"/>
          <w:sz w:val="24"/>
          <w:szCs w:val="24"/>
        </w:rPr>
        <w:t>The bimodal distribution of cholera cases in Bangladesh is annual, with the first peak in the spring and a second, larger peak after the monsoon season in the fall. In Calcutta, India, cases tend to peak between April and June, while in South America, cholera cases occur most frequently during the summer months (January and February)</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{"citationID":"qBvmr3CK","properties":{"formattedCitation":"\\super 50\\nosupersub{}","plainCitation":"50","noteIndex":0},"citationItems":[{"id":845,"uris":["http://zotero.org/users/local/JtIXDwNs/items/P9SKNUH5"],"uri":["http://zotero.org/users/local/JtIXDwNs/items/P9SKNUH5"],"itemData":{"id":845,"type":"article-journal","abstract":"Despite more than a century of study, cholera still presents challenges and surprises to us. Throughout most of the 20th century, cholera was caused by Vibrio cholerae of the O1 serogroup and the disease was largely confined to Asia and Africa. However, the last decade of the 20th century has witnessed two major developments in the history of this disease. In 1991, a massive outbreak of cholera started in South America, the one continent previously untouched by cholera in this century. In 1992, an apparently new pandemic caused by a previously unknown serogroup of V. cholerae (O139) began in India and Bangladesh. The O139 epidemic has been occurring in populations assumed to be largely immune to V. cholerae O1 and has rapidly spread to many countries including the United States. In this review, we discuss all aspects of cholera, including the clinical microbiology, epidemiology, pathogenesis, and clinical features of the disease. Special attention will be paid to the extraordinary advances that have been made in recent years in unravelling the molecular pathogenesis of this infection and in the development of new generations of vaccines to prevent it.","container-title":"Clinical Microbiology Reviews","DOI":"10.1128/CMR.8.1.48","ISSN":"0893-8512","issue":"1","journalAbbreviation":"Clin Microbiol Rev","language":"eng","note":"PMID: 7704895\nPMCID: PMC172849","page":"48-86","source":"PubMed","title":"Cholera","volume":"8","author":[{"family":"Kaper","given":"J. B."},{"family":"Morris","given":"J. G."},{"family":"Levine","given":"M. M."}],"issued":{"date-parts":[["1995",1]]}}}],"schema":"https://github.com/citation-style-language/schema/raw/master/csl-citation.json"}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50</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In Haiti, the number of cholera cases oscillates yearly with an increase during the rainy season (April to October) and a decrease in the dry season</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{"citationID":"BnEQufG2","properties":{"formattedCitation":"\\super 51,52\\nosupersub{}","plainCitation":"51,52","noteIndex":0},"citationItems":[{"id":850,"uris":["http://zotero.org/users/local/JtIXDwNs/items/LPEG424U"],"uri":["http://zotero.org/users/local/JtIXDwNs/items/LPEG424U"],"itemData":{"id":850,"type":"article-journal","abstract":"The spread of cholera in the midst of an epidemic is largely driven by direct transmission from person to person, although it is well-recognized that\n              Vibrio cholerae\n              is also capable of growth and long-term survival in aquatic ecosystems. While prior studies have shown that aquatic reservoirs are important in the persistence of the disease on the Indian subcontinent, an epidemiological view postulating that locally evolving environmental\n              V. cholerae\n              contributes to outbreaks outside Asia remains debated. The single-source introduction of toxigenic\n              V. cholerae\n              O1 in Haiti, one of the largest outbreaks occurring this century, with 812,586 suspected cases and 9,606 deaths reported through July 2018, provided a unique opportunity to evaluate the role of aquatic reservoirs and assess bacterial transmission dynamics across environmental boundaries. To this end, we investigated the phylogeography of both clinical and aquatic toxigenic\n              V. cholerae\n              O1 isolates and show robust evidence of the establishment of aquatic reservoirs as well as ongoing evolution of\n              V. cholerae\n              isolates from aquatic sites. Novel environmental lineages emerged from sequential population bottlenecks, carrying mutations potentially involved in adaptation to the aquatic ecosystem. Based on such empirical data, we developed a mixed-transmission dynamic model of\n              V. cholerae\n              , where aquatic reservoirs actively contribute to genetic diversification and epidemic emergence, which underscores the complexity of transmission pathways in epidemics and endemic settings and the need for long-term investments in cholera control at both human and environmental levels.","container-title":"Proceedings of the National Academy of Sciences","DOI":"10.1073/pnas.1918763117","ISSN":"0027-8424, 1091-6490","issue":"14","journalAbbreviation":"Proc Natl Acad Sci USA","language":"en","page":"7897-7904","source":"DOI.org (Crossref)","title":"Toxigenic &lt;i&gt;Vibrio cholerae&lt;/i&gt; evolution and establishment of reservoirs in aquatic ecosystems","volume":"117","author":[{"family":"Mavian","given":"Carla"},{"family":"Paisie","given":"Taylor K."},{"family":"Alam","given":"Meer T."},{"family":"Browne","given":"Cameron"},{"family":"Beau De Rochars","given":"Valery Madsen"},{"family":"Nembrini","given":"Stefano"},{"family":"Cash","given":"Melanie N."},{"family":"Nelson","given":"Eric J."},{"family":"Azarian","given":"Taj"},{"family":"Ali","given":"Afsar"},{"family":"Morris","given":"J. Glenn"},{"family":"Salemi","given":"Marco"}],"issued":{"date-parts":[["2020",4,7]]}}},{"id":848,"uris":["http://zotero.org/users/local/JtIXDwNs/items/N5ZHN9UP"],"uri":["http://zotero.org/users/local/JtIXDwNs/items/N5ZHN9UP"],"itemData":{"id":848,"type":"article-journal","container-title":"Proceedings of the National Academy of Sciences","DOI":"10.1073/pnas.1207359109","ISSN":"0027-8424, 1091-6490","issue":"29","journalAbbreviation":"Proceedings of the National Academy of Sciences","language":"en","page":"E2010-E2017","source":"DOI.org (Crossref)","title":"Genomic diversity of 2010 Haitian cholera outbreak strains","volume":"109","author":[{"family":"Hasan","given":"N. A."},{"family":"Choi","given":"S. Y."},{"family":"Eppinger","given":"M."},{"family":"Clark","given":"P. W."},{"family":"Chen","given":"A."},{"family":"Alam","given":"M."},{"family":"Haley","given":"B. J."},{"family":"Taviani","given":"E."},{"family":"Hine","given":"E."},{"family":"Su","given":"Q."},{"family":"Tallon","given":"L. J."},{"family":"Prosper","given":"J. B."},{"family":"Furth","given":"K."},{"family":"Hoq","given":"M. M."},{"family":"Li","given":"H."},{"family":"Fraser-Liggett","given":"C. M."},{"family":"Cravioto","given":"A."},{"family":"Huq","given":"A."},{"family":"Ravel","given":"J."},{"family":"Cebula","given":"T. A."},{"family":"Colwell","given":"R. R."}],"issued":{"date-parts":[["2012",7,17]]}}}],"schema":"https://github.com/citation-style-language/schema/raw/master/csl-citation.json"}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51,52</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Furthermore, with genetic analysis, it has been shown that cholera outbreaks are typically multiclonal</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{"citationID":"5t6utt34","properties":{"formattedCitation":"\\super 52,53\\nosupersub{}","plainCitation":"52,53","noteIndex":0},"citationItems":[{"id":848,"uris":["http://zotero.org/users/local/JtIXDwNs/items/N5ZHN9UP"],"uri":["http://zotero.org/users/local/JtIXDwNs/items/N5ZHN9UP"],"itemData":{"id":848,"type":"article-journal","container-title":"Proceedings of the National Academy of Sciences","DOI":"10.1073/pnas.1207359109","ISSN":"0027-8424, 1091-6490","issue":"29","journalAbbreviation":"Proceedings of the National Academy of Sciences","language":"en","page":"E2010-E2017","source":"DOI.org (Crossref)","title":"Genomic diversity of 2010 Haitian cholera outbreak strains","volume":"109","author":[{"family":"Hasan","given":"N. A."},{"family":"Choi","given":"S. Y."},{"family":"Eppinger","given":"M."},{"family":"Clark","given":"P. W."},{"family":"Chen","given":"A."},{"family":"Alam","given":"M."},{"family":"Haley","given":"B. J."},{"family":"Taviani","given":"E."},{"family":"Hine","given":"E."},{"family":"Su","given":"Q."},{"family":"Tallon","given":"L. J."},{"family":"Prosper","given":"J. B."},{"family":"Furth","given":"K."},{"family":"Hoq","given":"M. M."},{"family":"Li","given":"H."},{"family":"Fraser-Liggett","given":"C. M."},{"family":"Cravioto","given":"A."},{"family":"Huq","given":"A."},{"family":"Ravel","given":"J."},{"family":"Cebula","given":"T. A."},{"family":"Colwell","given":"R. R."}],"issued":{"date-parts":[["2012",7,17]]}}},{"id":852,"uris":["http://zotero.org/users/local/JtIXDwNs/items/7NMH4NC8"],"uri":["http://zotero.org/users/local/JtIXDwNs/items/7NMH4NC8"],"itemData":{"id":852,"type":"article-journal","abstract":"The DNA sequences of the asd genes from 45 isolates of Vibrio cholerae (19 clinical O1 isolates, 2 environmental nontoxigenic O1 isolates, and 24 isolates with different non-O1 antigens) were determined. No differences were found within either sixth- or seventh-pandemic isolates; however, variation was found between the two forms and among the non-O1 isolates. O139 isolates had sequences identical to those of seventh-pandemic isolates. Phylogenetic trees with Vibrio mimicus as the outgroup suggest that the sixth-pandemic, seventh-pandemic, and U.S. Gulf isolates are three clones that have evolved independently from different lineages of environmental, nontoxigenic, non-O1 V. cholerae isolates. There is evidence for horizontal transfer of O antigen, since isolates with nearly identical asd sequences had different O antigens, and isolates with the O1 antigen did not cluster together but were found in different lineages. We also found evidence for recombination events within the asd gene of V. cholerae. V. cholerae may have a higher level of genetic exchange and a lower level of clonality than species such as Salmonella enterica and Escherichia coli.","container-title":"Journal of Bacteriology","DOI":"10.1128/jb.177.11.3191-3198.1995","ISSN":"0021-9193, 1098-5530","issue":"11","journalAbbreviation":"J Bacteriol","language":"en","page":"3191-3198","source":"DOI.org (Crossref)","title":"The sixth and seventh cholera pandemics are due to independent clones separately derived from environmental, nontoxigenic, non-O1 Vibrio cholerae","volume":"177","author":[{"family":"Karaolis","given":"D K"},{"family":"Lan","given":"R"},{"family":"Reeves","given":"P R"}],"issued":{"date-parts":[["1995",6]]}}}],"schema":"https://github.com/citation-style-language/schema/raw/master/csl-citation.json"}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52,53</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xml:space="preserve">, suggesting cholera outbreaks typically lack a common source and the causative agent has a broad distribution. </w:t>
      </w:r>
    </w:p>
    <w:p w14:paraId="4F3A6102" w14:textId="714F39AB" w:rsidR="00DD578F" w:rsidRPr="0038682D" w:rsidRDefault="00DD578F" w:rsidP="00DD578F">
      <w:pPr>
        <w:spacing w:after="0" w:line="480" w:lineRule="auto"/>
        <w:rPr>
          <w:rFonts w:asciiTheme="majorHAnsi" w:eastAsia="Times New Roman" w:hAnsiTheme="majorHAnsi" w:cstheme="majorHAnsi"/>
          <w:sz w:val="24"/>
          <w:szCs w:val="24"/>
        </w:rPr>
      </w:pPr>
      <w:r w:rsidRPr="0038682D">
        <w:rPr>
          <w:rFonts w:asciiTheme="majorHAnsi" w:eastAsia="Times New Roman" w:hAnsiTheme="majorHAnsi" w:cstheme="majorHAnsi"/>
          <w:sz w:val="24"/>
          <w:szCs w:val="24"/>
        </w:rPr>
        <w:lastRenderedPageBreak/>
        <w:t xml:space="preserve">When environmental conditions are unfavorable, </w:t>
      </w:r>
      <w:r w:rsidRPr="0038682D">
        <w:rPr>
          <w:rFonts w:asciiTheme="majorHAnsi" w:eastAsia="Times New Roman" w:hAnsiTheme="majorHAnsi" w:cstheme="majorHAnsi"/>
          <w:i/>
          <w:iCs/>
          <w:sz w:val="24"/>
          <w:szCs w:val="24"/>
        </w:rPr>
        <w:t xml:space="preserve">V. cholerae </w:t>
      </w:r>
      <w:r w:rsidRPr="0038682D">
        <w:rPr>
          <w:rFonts w:asciiTheme="majorHAnsi" w:eastAsia="Times New Roman" w:hAnsiTheme="majorHAnsi" w:cstheme="majorHAnsi"/>
          <w:sz w:val="24"/>
          <w:szCs w:val="24"/>
        </w:rPr>
        <w:t>is able to enter a protective, (VBNC) state whereby the bacterium becomes metabolically dormant, enhancing survivability and persistence in the environment</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{"citationID":"tPEcu84r","properties":{"formattedCitation":"\\super 13,54\\nosupersub{}","plainCitation":"13,54","noteIndex":0},"citationItems":[{"id":291,"uris":["http://zotero.org/users/local/JtIXDwNs/items/AFLWNP2L"],"uri":["http://zotero.org/users/local/JtIXDwNs/items/AFLWNP2L"],"itemData":{"id":291,"type":"article-journal","container-title":"Microbiological Reviews","ISSN":"0146-0749","issue":"3","journalAbbreviation":"Microbiol Rev","language":"eng","note":"PMID: 3312987\nPMCID: PMC373117","page":"365-379","source":"PubMed","title":"Survival strategies of bacteria in the natural environment","volume":"51","author":[{"family":"Roszak","given":"D. B."},{"family":"Colwell","given":"R. R."}],"issued":{"date-parts":[["1987",9]]}}},{"id":268,"uris":["http://zotero.org/users/local/JtIXDwNs/items/M4KJ2R4K"],"uri":["http://zotero.org/users/local/JtIXDwNs/items/M4KJ2R4K"],"itemData":{"id":268,"type":"article-journal","container-title":"Journal of Infection and Chemotherapy","DOI":"10.1007/PL00012151","ISSN":"1341321X","issue":"2","journalAbbreviation":"Journal of Infection and Chemotherapy","language":"en","page":"121-125","source":"DOI.org (Crossref)","title":"Viable but nonculturable bacteria: a survival strategy","title-short":"Viable but nonculturable bacteria","volume":"6","author":[{"family":"Colwell","given":"Rita R."}],"issued":{"date-parts":[["2000"]]}}}],"schema":"https://github.com/citation-style-language/schema/raw/master/csl-citation.json"}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13,54</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Subsequently, when environmental conditions are again favorable for growth and multiplication, typically triggered by temperature, salinity, and nutrient conditions,  VBNC cells regain cultivability and virulence</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{"citationID":"C1eliCIY","properties":{"formattedCitation":"\\super 13,35\\nosupersub{}","plainCitation":"13,35","noteIndex":0},"citationItems":[{"id":291,"uris":["http://zotero.org/users/local/JtIXDwNs/items/AFLWNP2L"],"uri":["http://zotero.org/users/local/JtIXDwNs/items/AFLWNP2L"],"itemData":{"id":291,"type":"article-journal","container-title":"Microbiological Reviews","ISSN":"0146-0749","issue":"3","journalAbbreviation":"Microbiol Rev","language":"eng","note":"PMID: 3312987\nPMCID: PMC373117","page":"365-379","source":"PubMed","title":"Survival strategies of bacteria in the natural environment","volume":"51","author":[{"family":"Roszak","given":"D. B."},{"family":"Colwell","given":"R. R."}],"issued":{"date-parts":[["1987",9]]}}},{"id":318,"uris":["http://zotero.org/users/local/JtIXDwNs/items/MLRJS93V"],"uri":["http://zotero.org/users/local/JtIXDwNs/items/MLRJS93V"],"itemData":{"id":318,"type":"article-journal","container-title":"Proceedings of the National Academy of Sciences","DOI":"10.1073/pnas.0705599104","ISSN":"0027-8424, 1091-6490","issue":"45","journalAbbreviation":"Proceedings of the National Academy of Sciences","language":"en","page":"17801-17806","source":"DOI.org (Crossref)","title":"Viable but nonculturable Vibrio cholerae O1 in biofilms in the aquatic environment and their role in cholera transmission","volume":"104","author":[{"family":"Alam","given":"M."},{"family":"Sultana","given":"M."},{"family":"Nair","given":"G. B."},{"family":"Siddique","given":"A. K."},{"family":"Hasan","given":"N. A."},{"family":"Sack","given":"R. B."},{"family":"Sack","given":"D. A."},{"family":"Ahmed","given":"K. U."},{"family":"Sadique","given":"A."},{"family":"Watanabe","given":"H."},{"family":"Grim","given":"C. J."},{"family":"Huq","given":"A."},{"family":"Colwell","given":"R. R."}],"issued":{"date-parts":[["2007",11,6]]}}}],"schema":"https://github.com/citation-style-language/schema/raw/master/csl-citation.json"}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13,35</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Copepods feed on phytoplankton, and a high correlation between phytoplankton blooms and an increased number of copepods with cholera cases has been observed</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{"citationID":"h5YLPy1t","properties":{"formattedCitation":"\\super 14\\nosupersub{}","plainCitation":"14","noteIndex":0},"citationItems":[{"id":249,"uris":["http://zotero.org/users/local/JtIXDwNs/items/WNSLRDFN"],"uri":["http://zotero.org/users/local/JtIXDwNs/items/WNSLRDFN"],"itemData":{"id":249,"type":"article-journal","abstract":"Strains of Vibrio cholerae, both O1 and non-O1 serovars, were found to attach to the surfaces of live copepods maintained in natural water samples collected from the Chesapeake Bay and Bangladesh environs. The specificity of attachment of V. cholerae to live copepods was confirmed by scanning electron microscopy, which revealed that the oral region and egg sac were the most heavily colonized areas of the copepods. In addition, survival of V. cholerae in water was extended in the presence of live copepods. Attachment of viable V. cholerae cells to copepods killed by exposure to -60 degrees C was not observed. Furthermore, survival of V. cholerae was not as long in the presence of dead copepods as in the live copepod system. A strain of Vibrio parahaemolyticus was also seen to attach to copepod surfaces without effect on survival of the organism in water. The attachment of vibrios to copepods was concluded to be significant since strains of other bacteria, including Pseudomonas sp. and Escherichia coli, did not adhere to live or dead copepods. Attachment of V. cholerae to live copepods is suggested to be an important factor of the ecology of this species in the aquatic environment, as well as in the epidemiology of cholera, for which V. cholerae serovar O1 is the causative agent.","container-title":"Applied and Environmental Microbiology","DOI":"10.1128/AEM.45.1.275-283.1983","ISSN":"0099-2240","issue":"1","journalAbbreviation":"Appl Environ Microbiol","language":"eng","note":"PMID: 6337551\nPMCID: PMC242265","page":"275-283","source":"PubMed","title":"Ecological relationships between Vibrio cholerae and planktonic crustacean copepods","volume":"45","author":[{"family":"Huq","given":"A."},{"family":"Small","given":"E. B."},{"family":"West","given":"P. A."},{"family":"Huq","given":"M. I."},{"family":"Rahman","given":"R."},{"family":"Colwell","given":"R. R."}],"issued":{"date-parts":[["1983",1]]}}}],"schema":"https://github.com/citation-style-language/schema/raw/master/csl-citation.json"}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14</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 xml:space="preserve">. The increased abundance of phytoplankton followed by zooplankton blooms also promotes nutrient-rich waters favorable for the growth of </w:t>
      </w:r>
      <w:r w:rsidRPr="0038682D">
        <w:rPr>
          <w:rFonts w:asciiTheme="majorHAnsi" w:eastAsia="Times New Roman" w:hAnsiTheme="majorHAnsi" w:cstheme="majorHAnsi"/>
          <w:i/>
          <w:iCs/>
          <w:sz w:val="24"/>
          <w:szCs w:val="24"/>
        </w:rPr>
        <w:t>V. cholerae</w:t>
      </w:r>
      <w:r w:rsidRPr="0038682D">
        <w:rPr>
          <w:rFonts w:asciiTheme="majorHAnsi" w:eastAsia="Times New Roman" w:hAnsiTheme="majorHAnsi" w:cstheme="majorHAnsi"/>
          <w:i/>
          <w:iCs/>
          <w:sz w:val="24"/>
          <w:szCs w:val="24"/>
        </w:rPr>
        <w:fldChar w:fldCharType="begin"/>
      </w:r>
      <w:r w:rsidRPr="0038682D">
        <w:rPr>
          <w:rFonts w:asciiTheme="majorHAnsi" w:eastAsia="Times New Roman" w:hAnsiTheme="majorHAnsi" w:cstheme="majorHAnsi"/>
          <w:i/>
          <w:iCs/>
          <w:sz w:val="24"/>
          <w:szCs w:val="24"/>
        </w:rPr>
        <w:instrText xml:space="preserve"> ADDIN ZOTERO_ITEM CSL_CITATION {"citationID":"8pXuEHsq","properties":{"formattedCitation":"\\super 49,55\\nosupersub{}","plainCitation":"49,55","noteIndex":0},"citationItems":[{"id":857,"uris":["http://zotero.org/users/local/JtIXDwNs/items/S95JN9HS"],"uri":["http://zotero.org/users/local/JtIXDwNs/items/S95JN9HS"],"itemData":{"id":857,"type":"article-journal","abstract":"Vibrio-related infections are increasing worldwide both in humans and aquatic animals. Rise in global sea surface temperature (SST), which is approximately 1 °C higher now than 140 years ago and is one of the primary physical impacts of global warming, has been linked to such increases. In this chapter, major known effects of increasing SST on the biology and ecology of vibrios are described. They include the effects on bacterial growth rate, both in the field and in laboratory, culturability, expression of pathogenicity traits, and interactions with aquatic organisms and abiotic surfaces. Special emphasis is given to the effect of ocean warming on Vibrio interactions with zooplankters, which represent one of the most important aquatic reservoirs for these bacteria. The reported findings highlight the biocomplexity of the interactions between vibrios and their natural environment in a climate change scenario, posing the need for interdisciplinary studies to properly understand the connection between ocean warming and persistence and spread of vibrios in sea waters and the epidemiology of the diseases they cause.","container-title":"Microbiology Spectrum","DOI":"10.1128/microbiolspec.VE-0004-2014","ISSN":"2165-0497","issue":"3","journalAbbreviation":"Microbiol Spectr","language":"eng","note":"PMID: 26185070","source":"PubMed","title":"Effects of Global Warming on Vibrio Ecology","volume":"3","author":[{"family":"Vezzulli","given":"Luigi"},{"family":"Pezzati","given":"Elisabetta"},{"family":"Brettar","given":"Ingrid"},{"family":"Höfle","given":"Manfred"},{"family":"Pruzzo","given":"Carla"}],"issued":{"date-parts":[["2015",6]]}}},{"id":854,"uris":["http://zotero.org/users/local/JtIXDwNs/items/M5V6GCAA"],"uri":["http://zotero.org/users/local/JtIXDwNs/items/M5V6GCAA"],"itemData":{"id":854,"type":"article-journal","abstract":"Since Vibrio cholerae O139 first appeared in 1992, both O1 El Tor and O139 have been recognized as the epidemic serogroups, although their geographic distribution, endemicity, and reservoir are not fully understood. To address this lack of information, a study of the epidemiology and ecology of V. cholerae O1 and O139 was carried out in two coastal areas, Bakerganj and Mathbaria, Bangladesh, where cholera occurs seasonally. The results of a biweekly clinical study (January 2004 to May 2005), employing culture methods, and of an ecological study (monthly in Bakerganj and biweekly in Mathbaria from March 2004 to May 2005), employing direct and enrichment culture, colony blot hybridization, and direct fluorescent-antibody methods, showed that cholera is endemic in both Bakerganj and Mathbaria and that V. cholerae O1, O139, and non-O1/non-O139 are autochthonous to the aquatic environment. Although V. cholerae O1 and O139 were isolated from both areas, most noteworthy was the isolation of V. cholerae O139 in March, July, and September 2004 in Mathbaria, where seasonal cholera was clinically linked only to V. cholerae O1. In Mathbaria, V. cholerae O139 emerged as the sole cause of a significant outbreak of cholera in March 2005. V. cholerae O1 reemerged clinically in April 2005 and established dominance over V. cholerae O139, continuing to cause cholera in Mathbaria. In conclusion, the epidemic potential and coastal aquatic reservoir for V. cholerae O139 have been demonstrated. Based on the results of this study, the coastal ecosystem of the Bay of Bengal is concluded to be a significant reservoir for the epidemic serogroups of V. cholerae.","container-title":"Applied and Environmental Microbiology","DOI":"10.1128/AEM.00066-06","ISSN":"0099-2240","issue":"6","journalAbbreviation":"Appl Environ Microbiol","language":"eng","note":"PMID: 16751520\nPMCID: PMC1489596","page":"4096-4104","source":"PubMed","title":"Seasonal cholera caused by Vibrio cholerae serogroups O1 and O139 in the coastal aquatic environment of Bangladesh","volume":"72","author":[{"family":"Alam","given":"Munirul"},{"family":"Hasan","given":"Nur A."},{"family":"Sadique","given":"Abdus"},{"family":"Bhuiyan","given":"N. A."},{"family":"Ahmed","given":"Kabir U."},{"family":"Nusrin","given":"Suraia"},{"family":"Nair","given":"G. Balakrish"},{"family":"Siddique","given":"A. K."},{"family":"Sack","given":"R. Bradley"},{"family":"Sack","given":"David A."},{"family":"Huq","given":"Anwar"},{"family":"Colwell","given":"Rita R."}],"issued":{"date-parts":[["2006",6]]}}}],"schema":"https://github.com/citation-style-language/schema/raw/master/csl-citation.json"} </w:instrText>
      </w:r>
      <w:r w:rsidRPr="0038682D">
        <w:rPr>
          <w:rFonts w:asciiTheme="majorHAnsi" w:eastAsia="Times New Roman" w:hAnsiTheme="majorHAnsi" w:cstheme="majorHAnsi"/>
          <w:i/>
          <w:iCs/>
          <w:sz w:val="24"/>
          <w:szCs w:val="24"/>
        </w:rPr>
        <w:fldChar w:fldCharType="separate"/>
      </w:r>
      <w:r w:rsidRPr="0038682D">
        <w:rPr>
          <w:rFonts w:asciiTheme="majorHAnsi" w:eastAsia="Times New Roman" w:hAnsiTheme="majorHAnsi" w:cstheme="majorHAnsi"/>
          <w:sz w:val="24"/>
          <w:szCs w:val="24"/>
          <w:vertAlign w:val="superscript"/>
        </w:rPr>
        <w:t>49,55</w:t>
      </w:r>
      <w:r w:rsidRPr="0038682D">
        <w:rPr>
          <w:rFonts w:asciiTheme="majorHAnsi" w:eastAsia="Times New Roman" w:hAnsiTheme="majorHAnsi" w:cstheme="majorHAnsi"/>
          <w:i/>
          <w:iCs/>
          <w:sz w:val="24"/>
          <w:szCs w:val="24"/>
        </w:rPr>
        <w:fldChar w:fldCharType="end"/>
      </w:r>
      <w:r w:rsidRPr="0038682D">
        <w:rPr>
          <w:rFonts w:asciiTheme="majorHAnsi" w:eastAsia="Times New Roman" w:hAnsiTheme="majorHAnsi" w:cstheme="majorHAnsi"/>
          <w:sz w:val="24"/>
          <w:szCs w:val="24"/>
        </w:rPr>
        <w:t xml:space="preserve">. Clearly, the limits of endemicity are consistent and suggest a biogeographical pattern of endemic disease promoted by interaction of the environment and </w:t>
      </w:r>
      <w:r w:rsidRPr="0038682D">
        <w:rPr>
          <w:rFonts w:asciiTheme="majorHAnsi" w:eastAsia="Times New Roman" w:hAnsiTheme="majorHAnsi" w:cstheme="majorHAnsi"/>
          <w:i/>
          <w:iCs/>
          <w:sz w:val="24"/>
          <w:szCs w:val="24"/>
        </w:rPr>
        <w:t xml:space="preserve">V. cholerae </w:t>
      </w:r>
      <w:r w:rsidRPr="0038682D">
        <w:rPr>
          <w:rFonts w:asciiTheme="majorHAnsi" w:eastAsia="Times New Roman" w:hAnsiTheme="majorHAnsi" w:cstheme="majorHAnsi"/>
          <w:sz w:val="24"/>
          <w:szCs w:val="24"/>
        </w:rPr>
        <w:t>ecology. Hence,  remote sensing of phytoplankton blooms, coupled with temperature and precipitation, can be used as an effective predictor of cholera epidemics</w:t>
      </w:r>
      <w:r w:rsidRPr="0038682D">
        <w:rPr>
          <w:rFonts w:asciiTheme="majorHAnsi" w:eastAsia="Times New Roman" w:hAnsiTheme="majorHAnsi" w:cstheme="majorHAnsi"/>
          <w:sz w:val="24"/>
          <w:szCs w:val="24"/>
        </w:rPr>
        <w:fldChar w:fldCharType="begin"/>
      </w:r>
      <w:r w:rsidRPr="0038682D">
        <w:rPr>
          <w:rFonts w:asciiTheme="majorHAnsi" w:eastAsia="Times New Roman" w:hAnsiTheme="majorHAnsi" w:cstheme="majorHAnsi"/>
          <w:sz w:val="24"/>
          <w:szCs w:val="24"/>
        </w:rPr>
        <w:instrText xml:space="preserve"> ADDIN ZOTERO_ITEM CSL_CITATION {"citationID":"jqVbVyBw","properties":{"formattedCitation":"\\super 25,56,57\\nosupersub{}","plainCitation":"25,56,57","noteIndex":0},"citationItems":[{"id":266,"uris":["http://zotero.org/users/local/JtIXDwNs/items/C97YK4S7"],"uri":["http://zotero.org/users/local/JtIXDwNs/items/C97YK4S7"],"itemData":{"id":266,"type":"article-journal","abstract":"ABSTRACT\n            \n              Vibrio cholerae\n              , a bacterium autochthonous to the aquatic environment, is the causative agent of cholera, a severe watery, life-threatening diarrheal disease occurring predominantly in developing countries.\n              V. cholerae\n              , including both serogroups O1 and O139, is found in association with crustacean zooplankton, mainly copepods, and notably in ponds, rivers, and estuarine systems globally. The incidence of cholera and occurrence of pathogenic\n              V. cholerae\n              strains with zooplankton were studied in two areas of Bangladesh: Bakerganj and Mathbaria. Chitinous zooplankton communities of several bodies of water were analyzed in order to understand the interaction of the zooplankton population composition with the population dynamics of pathogenic\n              V. cholerae\n              and incidence of cholera. Two dominant zooplankton groups were found to be consistently associated with detection of\n              V. cholerae\n              and/or occurrence of cholera cases, namely, rotifers and cladocerans, in addition to copepods. Local differences indicate there are subtle ecological factors that can influence interactions between\n              V. cholerae\n              , its plankton hosts, and the incidence of cholera.","container-title":"Applied and Environmental Microbiology","DOI":"10.1128/AEM.01472-10","ISSN":"0099-2240, 1098-5336","issue":"17","journalAbbreviation":"Appl. Environ. Microbiol.","language":"en","page":"6125-6132","source":"DOI.org (Crossref)","title":"Role of Zooplankton Diversity in Vibrio cholerae Population Dynamics and in the Incidence of Cholera in the Bangladesh Sundarbans","volume":"77","author":[{"family":"Magny","given":"Guillaume Constantin","non-dropping-particle":"de"},{"family":"Mozumder","given":"Pronob K."},{"family":"Grim","given":"Christopher J."},{"family":"Hasan","given":"Nur A."},{"family":"Naser","given":"M. Niamul"},{"family":"Alam","given":"Munirul"},{"family":"Sack","given":"R. Bradley"},{"family":"Huq","given":"Anwar"},{"family":"Colwell","given":"Rita R."}],"issued":{"date-parts":[["2011",9,1]]}}},{"id":140,"uris":["http://zotero.org/users/local/JtIXDwNs/items/RR2672H4"],"uri":["http://zotero.org/users/local/JtIXDwNs/items/RR2672H4"],"itemData":{"id":140,"type":"article-journal","abstract":"Cholera outbreak following the earthquake of 2010 in Haiti has reaffirmed that the disease is a major public health threat. Vibrio cholerae is autochthonous to aquatic environment, hence, it cannot be eradicated but hydroclimatology-based prediction and prevention is an achievable goal. Using data from the 1800s, we describe uniqueness in seasonality and mechanism of occurrence of cholera in the epidemic regions of Asia and Latin America. Epidemic regions are located near regional rivers and are characterized by sporadic outbreaks, which are likely to be initiated during episodes of prevailing warm air temperature with low river flows, creating favorable environmental conditions for growth of cholera bacteria. Heavy rainfall, through inundation or breakdown of sanitary infrastructure, accelerates interaction between contaminated water and human activities, resulting in an epidemic. This causal mechanism is markedly different from endemic cholera where tidal intrusion of seawater carrying bacteria from estuary to inland regions, results in outbreaks.","container-title":"The American Journal of Tropical Medicine and Hygiene","DOI":"10.4269/ajtmh.12-0721","ISSN":"0002-9637, 1476-1645","issue":"3","language":"en","note":"number: 3\ncontainer-title: The American Journal of Tropical Medicine and Hygiene","page":"597-607","source":"DOI.org (Crossref)","title":"Environmental Factors Influencing Epidemic Cholera","volume":"89","author":[{"family":"Huq","given":"Anwar"},{"family":"Hasan","given":"Nur"},{"family":"Akanda","given":"Ali"},{"family":"Whitcombe","given":"Elizabeth"},{"family":"Colwell","given":"Rita"},{"family":"Haley","given":"Bradd"},{"family":"Alam","given":"Munir"},{"family":"Jutla","given":"Antarpreet"},{"family":"Sack","given":"R. Bradley"}],"issued":{"date-parts":[["2013",9,4]]}}},{"id":123,"uris":["http://zotero.org/users/local/JtIXDwNs/items/PM9EBTM6"],"uri":["http://zotero.org/users/local/JtIXDwNs/items/PM9EBTM6"],"itemData":{"id":123,"type":"article-journal","container-title":"Environmental Modelling &amp; Software","DOI":"10.1016/j.envsoft.2013.05.008","ISSN":"13648152","journalAbbreviation":"Environmental Modelling &amp; Software","language":"en","note":"container-title: Environmental Modelling &amp; Software","page":"148-158","source":"DOI.org (Crossref)","title":"A framework for predicting endemic cholera using satellite derived environmental determinants","volume":"47","author":[{"family":"Jutla","given":"Antarpreet S."},{"family":"Akanda","given":"Ali S."},{"family":"Islam","given":"Shafiqul"}],"issued":{"date-parts":[["2013",9]]}}}],"schema":"https://github.com/citation-style-language/schema/raw/master/csl-citation.json"} </w:instrText>
      </w:r>
      <w:r w:rsidRPr="0038682D">
        <w:rPr>
          <w:rFonts w:asciiTheme="majorHAnsi" w:eastAsia="Times New Roman" w:hAnsiTheme="majorHAnsi" w:cstheme="majorHAnsi"/>
          <w:sz w:val="24"/>
          <w:szCs w:val="24"/>
        </w:rPr>
        <w:fldChar w:fldCharType="separate"/>
      </w:r>
      <w:r w:rsidRPr="0038682D">
        <w:rPr>
          <w:rFonts w:asciiTheme="majorHAnsi" w:eastAsia="Times New Roman" w:hAnsiTheme="majorHAnsi" w:cstheme="majorHAnsi"/>
          <w:sz w:val="24"/>
          <w:szCs w:val="24"/>
          <w:vertAlign w:val="superscript"/>
        </w:rPr>
        <w:t>25,56,57</w:t>
      </w:r>
      <w:r w:rsidRPr="0038682D">
        <w:rPr>
          <w:rFonts w:asciiTheme="majorHAnsi" w:eastAsia="Times New Roman" w:hAnsiTheme="majorHAnsi" w:cstheme="majorHAnsi"/>
          <w:sz w:val="24"/>
          <w:szCs w:val="24"/>
        </w:rPr>
        <w:fldChar w:fldCharType="end"/>
      </w:r>
      <w:r w:rsidRPr="0038682D">
        <w:rPr>
          <w:rFonts w:asciiTheme="majorHAnsi" w:eastAsia="Times New Roman" w:hAnsiTheme="majorHAnsi" w:cstheme="majorHAnsi"/>
          <w:sz w:val="24"/>
          <w:szCs w:val="24"/>
        </w:rPr>
        <w:t>.</w:t>
      </w:r>
    </w:p>
    <w:p w14:paraId="07644AFD" w14:textId="77777777" w:rsidR="00DD578F" w:rsidRPr="0038682D" w:rsidRDefault="00DD578F" w:rsidP="00DD578F">
      <w:pPr>
        <w:spacing w:after="0" w:line="480" w:lineRule="auto"/>
        <w:rPr>
          <w:rFonts w:asciiTheme="majorHAnsi" w:eastAsia="Times New Roman" w:hAnsiTheme="majorHAnsi" w:cstheme="majorHAnsi"/>
          <w:sz w:val="24"/>
          <w:szCs w:val="24"/>
        </w:rPr>
      </w:pPr>
    </w:p>
    <w:p w14:paraId="3ADB4897" w14:textId="33348674" w:rsidR="00DD578F" w:rsidRPr="0038682D" w:rsidRDefault="00DD578F" w:rsidP="0038682D">
      <w:pPr>
        <w:spacing w:line="480" w:lineRule="auto"/>
        <w:rPr>
          <w:rFonts w:asciiTheme="majorHAnsi" w:hAnsiTheme="majorHAnsi" w:cstheme="majorHAnsi"/>
        </w:rPr>
      </w:pPr>
      <w:r w:rsidRPr="0038682D">
        <w:rPr>
          <w:rFonts w:asciiTheme="majorHAnsi" w:hAnsiTheme="majorHAnsi" w:cstheme="majorHAnsi"/>
        </w:rPr>
        <w:t>Temporality:</w:t>
      </w:r>
    </w:p>
    <w:p w14:paraId="74F73D6C" w14:textId="2809282A" w:rsidR="00DD578F" w:rsidRPr="0038682D" w:rsidRDefault="00DD578F" w:rsidP="0038682D">
      <w:pPr>
        <w:spacing w:line="480" w:lineRule="auto"/>
        <w:rPr>
          <w:rFonts w:asciiTheme="majorHAnsi" w:hAnsiTheme="majorHAnsi" w:cstheme="majorHAnsi"/>
        </w:rPr>
      </w:pPr>
      <w:r w:rsidRPr="0038682D">
        <w:rPr>
          <w:rFonts w:asciiTheme="majorHAnsi" w:hAnsiTheme="majorHAnsi" w:cstheme="majorHAnsi"/>
        </w:rPr>
        <w:t>Moreover, de Magny and colleagues</w:t>
      </w:r>
      <w:r w:rsidRPr="0038682D">
        <w:rPr>
          <w:rFonts w:asciiTheme="majorHAnsi" w:hAnsiTheme="majorHAnsi" w:cstheme="majorHAnsi"/>
        </w:rPr>
        <w:fldChar w:fldCharType="begin"/>
      </w:r>
      <w:r w:rsidRPr="0038682D">
        <w:rPr>
          <w:rFonts w:asciiTheme="majorHAnsi" w:hAnsiTheme="majorHAnsi" w:cstheme="majorHAnsi"/>
        </w:rPr>
        <w:instrText xml:space="preserve"> ADDIN ZOTERO_ITEM CSL_CITATION {"citationID":"3Zuzwpfc","properties":{"formattedCitation":"\\super 21,56\\nosupersub{}","plainCitation":"21,56","noteIndex":0},"citationItems":[{"id":182,"uris":["http://zotero.org/users/local/JtIXDwNs/items/NIGQGFKC"],"uri":["http://zotero.org/users/local/JtIXDwNs/items/NIGQGFKC"],"itemData":{"id":182,"type":"article-journal","container-title":"Proceedings of the National Academy of Sciences","DOI":"10.1073/pnas.0809654105","ISSN":"0027-8424, 1091-6490","issue":"46","journalAbbreviation":"Proceedings of the National Academy of Sciences","language":"en","page":"17676-17681","source":"DOI.org (Crossref)","title":"Environmental signatures associated with cholera epidemics","volume":"105","author":[{"family":"Constantin de Magny","given":"G."},{"family":"Murtugudde","given":"R."},{"family":"Sapiano","given":"M. R. P."},{"family":"Nizam","given":"A."},{"family":"Brown","given":"C. W."},{"family":"Busalacchi","given":"A. J."},{"family":"Yunus","given":"M."},{"family":"Nair","given":"G. B."},{"family":"Gil","given":"A. I."},{"family":"Lanata","given":"C. F."},{"family":"Calkins","given":"J."},{"family":"Manna","given":"B."},{"family":"Rajendran","given":"K."},{"family":"Bhattacharya","given":"M. K."},{"family":"Huq","given":"A."},{"family":"Sack","given":"R. B."},{"family":"Colwell","given":"R. R."}],"issued":{"date-parts":[["2008",11,18]]}}},{"id":266,"uris":["http://zotero.org/users/local/JtIXDwNs/items/C97YK4S7"],"uri":["http://zotero.org/users/local/JtIXDwNs/items/C97YK4S7"],"itemData":{"id":266,"type":"article-journal","abstract":"ABSTRACT\n            \n              Vibrio cholerae\n              , a bacterium autochthonous to the aquatic environment, is the causative agent of cholera, a severe watery, life-threatening diarrheal disease occurring predominantly in developing countries.\n              V. cholerae\n              , including both serogroups O1 and O139, is found in association with crustacean zooplankton, mainly copepods, and notably in ponds, rivers, and estuarine systems globally. The incidence of cholera and occurrence of pathogenic\n              V. cholerae\n              strains with zooplankton were studied in two areas of Bangladesh: Bakerganj and Mathbaria. Chitinous zooplankton communities of several bodies of water were analyzed in order to understand the interaction of the zooplankton population composition with the population dynamics of pathogenic\n              V. cholerae\n              and incidence of cholera. Two dominant zooplankton groups were found to be consistently associated with detection of\n              V. cholerae\n              and/or occurrence of cholera cases, namely, rotifers and cladocerans, in addition to copepods. Local differences indicate there are subtle ecological factors that can influence interactions between\n              V. cholerae\n              , its plankton hosts, and the incidence of cholera.","container-title":"Applied and Environmental Microbiology","DOI":"10.1128/AEM.01472-10","ISSN":"0099-2240, 1098-5336","issue":"17","journalAbbreviation":"Appl. Environ. Microbiol.","language":"en","page":"6125-6132","source":"DOI.org (Crossref)","title":"Role of Zooplankton Diversity in Vibrio cholerae Population Dynamics and in the Incidence of Cholera in the Bangladesh Sundarbans","volume":"77","author":[{"family":"Magny","given":"Guillaume Constantin","non-dropping-particle":"de"},{"family":"Mozumder","given":"Pronob K."},{"family":"Grim","given":"Christopher J."},{"family":"Hasan","given":"Nur A."},{"family":"Naser","given":"M. Niamul"},{"family":"Alam","given":"Munirul"},{"family":"Sack","given":"R. Bradley"},{"family":"Huq","given":"Anwar"},{"family":"Colwell","given":"Rita R."}],"issued":{"date-parts":[["2011",9,1]]}}}],"schema":"https://github.com/citation-style-language/schema/raw/master/csl-citation.json"} </w:instrText>
      </w:r>
      <w:r w:rsidRPr="0038682D">
        <w:rPr>
          <w:rFonts w:asciiTheme="majorHAnsi" w:hAnsiTheme="majorHAnsi" w:cstheme="majorHAnsi"/>
        </w:rPr>
        <w:fldChar w:fldCharType="separate"/>
      </w:r>
      <w:r w:rsidRPr="0038682D">
        <w:rPr>
          <w:rFonts w:asciiTheme="majorHAnsi" w:hAnsiTheme="majorHAnsi" w:cstheme="majorHAnsi"/>
          <w:vertAlign w:val="superscript"/>
        </w:rPr>
        <w:t>21,56</w:t>
      </w:r>
      <w:r w:rsidRPr="0038682D">
        <w:rPr>
          <w:rFonts w:asciiTheme="majorHAnsi" w:hAnsiTheme="majorHAnsi" w:cstheme="majorHAnsi"/>
        </w:rPr>
        <w:fldChar w:fldCharType="end"/>
      </w:r>
      <w:r w:rsidRPr="0038682D">
        <w:rPr>
          <w:rFonts w:asciiTheme="majorHAnsi" w:hAnsiTheme="majorHAnsi" w:cstheme="majorHAnsi"/>
        </w:rPr>
        <w:t xml:space="preserve"> have proposed a lag of up to 4 weeks from the occurrence of increased zooplankton abundance and subsequently increased presence of </w:t>
      </w:r>
      <w:r w:rsidRPr="0038682D">
        <w:rPr>
          <w:rFonts w:asciiTheme="majorHAnsi" w:hAnsiTheme="majorHAnsi" w:cstheme="majorHAnsi"/>
          <w:i/>
          <w:iCs/>
        </w:rPr>
        <w:t>V. cholerae</w:t>
      </w:r>
      <w:r w:rsidRPr="0038682D">
        <w:rPr>
          <w:rFonts w:asciiTheme="majorHAnsi" w:hAnsiTheme="majorHAnsi" w:cstheme="majorHAnsi"/>
        </w:rPr>
        <w:t xml:space="preserve">. Hence, temperature, salinity, rainfall, and plankton have proved important in </w:t>
      </w:r>
      <w:r w:rsidRPr="0038682D">
        <w:rPr>
          <w:rFonts w:asciiTheme="majorHAnsi" w:hAnsiTheme="majorHAnsi" w:cstheme="majorHAnsi"/>
          <w:i/>
          <w:iCs/>
        </w:rPr>
        <w:t>V</w:t>
      </w:r>
      <w:r w:rsidRPr="0038682D">
        <w:rPr>
          <w:rFonts w:asciiTheme="majorHAnsi" w:hAnsiTheme="majorHAnsi" w:cstheme="majorHAnsi"/>
        </w:rPr>
        <w:t>.</w:t>
      </w:r>
      <w:r w:rsidRPr="0038682D">
        <w:rPr>
          <w:rFonts w:asciiTheme="majorHAnsi" w:hAnsiTheme="majorHAnsi" w:cstheme="majorHAnsi"/>
          <w:i/>
          <w:iCs/>
        </w:rPr>
        <w:t xml:space="preserve"> cholerae </w:t>
      </w:r>
      <w:r w:rsidRPr="0038682D">
        <w:rPr>
          <w:rFonts w:asciiTheme="majorHAnsi" w:hAnsiTheme="majorHAnsi" w:cstheme="majorHAnsi"/>
        </w:rPr>
        <w:t>ecology. Our previous studies quantified environmental, climatic, and sociological processes influencing cholera outbreak in a population</w:t>
      </w:r>
      <w:r w:rsidRPr="0038682D">
        <w:rPr>
          <w:rFonts w:asciiTheme="majorHAnsi" w:hAnsiTheme="majorHAnsi" w:cstheme="majorHAnsi"/>
        </w:rPr>
        <w:fldChar w:fldCharType="begin"/>
      </w:r>
      <w:r w:rsidRPr="0038682D">
        <w:rPr>
          <w:rFonts w:asciiTheme="majorHAnsi" w:hAnsiTheme="majorHAnsi" w:cstheme="majorHAnsi"/>
        </w:rPr>
        <w:instrText xml:space="preserve"> ADDIN ZOTERO_ITEM CSL_CITATION {"citationID":"MABDh3Ht","properties":{"formattedCitation":"\\super 25\\nosupersub{}","plainCitation":"25","noteIndex":0},"citationItems":[{"id":140,"uris":["http://zotero.org/users/local/JtIXDwNs/items/RR2672H4"],"uri":["http://zotero.org/users/local/JtIXDwNs/items/RR2672H4"],"itemData":{"id":140,"type":"article-journal","abstract":"Cholera outbreak following the earthquake of 2010 in Haiti has reaffirmed that the disease is a major public health threat. Vibrio cholerae is autochthonous to aquatic environment, hence, it cannot be eradicated but hydroclimatology-based prediction and prevention is an achievable goal. Using data from the 1800s, we describe uniqueness in seasonality and mechanism of occurrence of cholera in the epidemic regions of Asia and Latin America. Epidemic regions are located near regional rivers and are characterized by sporadic outbreaks, which are likely to be initiated during episodes of prevailing warm air temperature with low river flows, creating favorable environmental conditions for growth of cholera bacteria. Heavy rainfall, through inundation or breakdown of sanitary infrastructure, accelerates interaction between contaminated water and human activities, resulting in an epidemic. This causal mechanism is markedly different from endemic cholera where tidal intrusion of seawater carrying bacteria from estuary to inland regions, results in outbreaks.","container-title":"The American Journal of Tropical Medicine and Hygiene","DOI":"10.4269/ajtmh.12-0721","ISSN":"0002-9637, 1476-1645","issue":"3","language":"en","note":"number: 3\ncontainer-title: The American Journal of Tropical Medicine and Hygiene","page":"597-607","source":"DOI.org (Crossref)","title":"Environmental Factors Influencing Epidemic Cholera","volume":"89","author":[{"family":"Huq","given":"Anwar"},{"family":"Hasan","given":"Nur"},{"family":"Akanda","given":"Ali"},{"family":"Whitcombe","given":"Elizabeth"},{"family":"Colwell","given":"Rita"},{"family":"Haley","given":"Bradd"},{"family":"Alam","given":"Munir"},{"family":"Jutla","given":"Antarpreet"},{"family":"Sack","given":"R. Bradley"}],"issued":{"date-parts":[["2013",9,4]]}}}],"schema":"https://github.com/citation-style-language/schema/raw/master/csl-citation.json"} </w:instrText>
      </w:r>
      <w:r w:rsidRPr="0038682D">
        <w:rPr>
          <w:rFonts w:asciiTheme="majorHAnsi" w:hAnsiTheme="majorHAnsi" w:cstheme="majorHAnsi"/>
        </w:rPr>
        <w:fldChar w:fldCharType="separate"/>
      </w:r>
      <w:r w:rsidRPr="0038682D">
        <w:rPr>
          <w:rFonts w:asciiTheme="majorHAnsi" w:hAnsiTheme="majorHAnsi" w:cstheme="majorHAnsi"/>
          <w:vertAlign w:val="superscript"/>
        </w:rPr>
        <w:t>25</w:t>
      </w:r>
      <w:r w:rsidRPr="0038682D">
        <w:rPr>
          <w:rFonts w:asciiTheme="majorHAnsi" w:hAnsiTheme="majorHAnsi" w:cstheme="majorHAnsi"/>
        </w:rPr>
        <w:fldChar w:fldCharType="end"/>
      </w:r>
      <w:r w:rsidRPr="0038682D">
        <w:rPr>
          <w:rFonts w:asciiTheme="majorHAnsi" w:hAnsiTheme="majorHAnsi" w:cstheme="majorHAnsi"/>
        </w:rPr>
        <w:t>.</w:t>
      </w:r>
    </w:p>
    <w:p w14:paraId="42792EFD" w14:textId="77777777" w:rsidR="00DD578F" w:rsidRPr="0038682D" w:rsidRDefault="00DD578F">
      <w:pPr>
        <w:rPr>
          <w:rFonts w:asciiTheme="majorHAnsi" w:hAnsiTheme="majorHAnsi" w:cstheme="majorHAnsi"/>
        </w:rPr>
      </w:pPr>
    </w:p>
    <w:p w14:paraId="6983F612" w14:textId="657ADB81" w:rsidR="00DD578F" w:rsidRDefault="00DD578F">
      <w:pPr>
        <w:rPr>
          <w:rFonts w:asciiTheme="majorHAnsi" w:hAnsiTheme="majorHAnsi" w:cstheme="majorHAnsi"/>
        </w:rPr>
      </w:pPr>
    </w:p>
    <w:p w14:paraId="3543D29C" w14:textId="3DC2E868" w:rsidR="00D256C9" w:rsidRDefault="00D256C9">
      <w:pPr>
        <w:rPr>
          <w:rFonts w:asciiTheme="majorHAnsi" w:hAnsiTheme="majorHAnsi" w:cstheme="majorHAnsi"/>
        </w:rPr>
      </w:pPr>
    </w:p>
    <w:p w14:paraId="795AB299" w14:textId="77777777" w:rsidR="00D256C9" w:rsidRPr="0038682D" w:rsidRDefault="00D256C9">
      <w:pPr>
        <w:rPr>
          <w:rFonts w:asciiTheme="majorHAnsi" w:hAnsiTheme="majorHAnsi" w:cstheme="majorHAnsi"/>
        </w:rPr>
      </w:pPr>
    </w:p>
    <w:p w14:paraId="69FF511A" w14:textId="176F6710" w:rsidR="006C64CF" w:rsidRPr="00D256C9" w:rsidRDefault="00766D0C">
      <w:pPr>
        <w:rPr>
          <w:rFonts w:asciiTheme="majorHAnsi" w:hAnsiTheme="majorHAnsi" w:cstheme="majorHAnsi"/>
          <w:b/>
          <w:bCs/>
        </w:rPr>
      </w:pPr>
      <w:r w:rsidRPr="0038682D">
        <w:rPr>
          <w:rFonts w:asciiTheme="majorHAnsi" w:hAnsiTheme="majorHAnsi" w:cstheme="majorHAnsi"/>
          <w:b/>
          <w:bCs/>
        </w:rPr>
        <w:lastRenderedPageBreak/>
        <w:t>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64CF" w14:paraId="1A0C76DD" w14:textId="77777777" w:rsidTr="00D72B0A">
        <w:tc>
          <w:tcPr>
            <w:tcW w:w="9350" w:type="dxa"/>
          </w:tcPr>
          <w:p w14:paraId="30F74B31" w14:textId="54EE9B4E" w:rsidR="006C64CF" w:rsidRDefault="00D256C9" w:rsidP="00D72B0A">
            <w:pPr>
              <w:jc w:val="center"/>
            </w:pPr>
            <w:r>
              <w:rPr>
                <w:noProof/>
              </w:rPr>
              <w:drawing>
                <wp:inline distT="0" distB="0" distL="0" distR="0" wp14:anchorId="3D294146" wp14:editId="4622344E">
                  <wp:extent cx="3148782" cy="2433241"/>
                  <wp:effectExtent l="0" t="0" r="0" b="571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3172090" cy="2451252"/>
                          </a:xfrm>
                          <a:prstGeom prst="rect">
                            <a:avLst/>
                          </a:prstGeom>
                        </pic:spPr>
                      </pic:pic>
                    </a:graphicData>
                  </a:graphic>
                </wp:inline>
              </w:drawing>
            </w:r>
          </w:p>
        </w:tc>
      </w:tr>
      <w:tr w:rsidR="006C64CF" w14:paraId="77F26690" w14:textId="77777777" w:rsidTr="00D72B0A">
        <w:tc>
          <w:tcPr>
            <w:tcW w:w="9350" w:type="dxa"/>
          </w:tcPr>
          <w:p w14:paraId="6B38AA83" w14:textId="3FAEC0E5" w:rsidR="006C64CF" w:rsidRDefault="00D256C9" w:rsidP="00D72B0A">
            <w:pPr>
              <w:jc w:val="center"/>
            </w:pPr>
            <w:r>
              <w:rPr>
                <w:noProof/>
              </w:rPr>
              <w:drawing>
                <wp:inline distT="0" distB="0" distL="0" distR="0" wp14:anchorId="0A5ED64F" wp14:editId="7448029C">
                  <wp:extent cx="3173535" cy="2452370"/>
                  <wp:effectExtent l="0" t="0" r="8255" b="508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00078" cy="2472881"/>
                          </a:xfrm>
                          <a:prstGeom prst="rect">
                            <a:avLst/>
                          </a:prstGeom>
                        </pic:spPr>
                      </pic:pic>
                    </a:graphicData>
                  </a:graphic>
                </wp:inline>
              </w:drawing>
            </w:r>
            <w:r>
              <w:rPr>
                <w:noProof/>
              </w:rPr>
              <w:drawing>
                <wp:inline distT="0" distB="0" distL="0" distR="0" wp14:anchorId="5C42C851" wp14:editId="567756CD">
                  <wp:extent cx="3198186" cy="2471420"/>
                  <wp:effectExtent l="0" t="0" r="2540" b="508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28907" cy="2495160"/>
                          </a:xfrm>
                          <a:prstGeom prst="rect">
                            <a:avLst/>
                          </a:prstGeom>
                        </pic:spPr>
                      </pic:pic>
                    </a:graphicData>
                  </a:graphic>
                </wp:inline>
              </w:drawing>
            </w:r>
          </w:p>
        </w:tc>
      </w:tr>
      <w:tr w:rsidR="006C64CF" w14:paraId="5274144A" w14:textId="77777777" w:rsidTr="00D72B0A">
        <w:tc>
          <w:tcPr>
            <w:tcW w:w="9350" w:type="dxa"/>
          </w:tcPr>
          <w:p w14:paraId="1703B914" w14:textId="79664E38" w:rsidR="006C64CF" w:rsidRPr="00CA5A88" w:rsidRDefault="006C64CF" w:rsidP="006C64CF">
            <w:pPr>
              <w:jc w:val="center"/>
              <w:rPr>
                <w:b/>
                <w:bCs/>
              </w:rPr>
            </w:pPr>
            <w:r w:rsidRPr="00CA5A88">
              <w:rPr>
                <w:b/>
                <w:bCs/>
              </w:rPr>
              <w:t xml:space="preserve">Figure </w:t>
            </w:r>
            <w:r>
              <w:rPr>
                <w:b/>
                <w:bCs/>
              </w:rPr>
              <w:t>S1</w:t>
            </w:r>
            <w:r w:rsidRPr="00CA5A88">
              <w:rPr>
                <w:b/>
                <w:bCs/>
              </w:rPr>
              <w:t xml:space="preserve">: </w:t>
            </w:r>
            <w:r w:rsidRPr="00A72B4C">
              <w:t>Total cholera cases in Yemen in 2017, 2018 and first 28 weeks of 2019</w:t>
            </w:r>
            <w:r w:rsidR="00D160CC">
              <w:t xml:space="preserve"> </w:t>
            </w:r>
            <w:bookmarkStart w:id="1" w:name="_Hlk116978571"/>
            <w:r w:rsidR="00D160CC">
              <w:t>(maps are generated using ESRI’s ArcMap version 10.7</w:t>
            </w:r>
            <w:r w:rsidR="00930303">
              <w:t>:</w:t>
            </w:r>
            <w:r w:rsidR="00D160CC">
              <w:t xml:space="preserve"> </w:t>
            </w:r>
            <w:r w:rsidR="00D160CC" w:rsidRPr="00D160CC">
              <w:t>https://desktop.arcgis.com/en/arcmap/10.7/get-started/setup/arcgis-desktop-quick-start-guide.htm</w:t>
            </w:r>
            <w:r w:rsidR="00D160CC">
              <w:t>).</w:t>
            </w:r>
            <w:bookmarkEnd w:id="1"/>
          </w:p>
          <w:p w14:paraId="3B64616B" w14:textId="77777777" w:rsidR="006C64CF" w:rsidRDefault="006C64CF" w:rsidP="00D72B0A">
            <w:pPr>
              <w:jc w:val="center"/>
            </w:pPr>
          </w:p>
          <w:p w14:paraId="59E1A353" w14:textId="77777777" w:rsidR="00A836A5" w:rsidRDefault="00A836A5" w:rsidP="00D72B0A">
            <w:pPr>
              <w:jc w:val="center"/>
            </w:pPr>
          </w:p>
          <w:p w14:paraId="404383FD" w14:textId="77777777" w:rsidR="00A836A5" w:rsidRDefault="00A836A5" w:rsidP="00A836A5">
            <w:pPr>
              <w:jc w:val="center"/>
            </w:pPr>
            <w:r>
              <w:rPr>
                <w:noProof/>
              </w:rPr>
              <w:drawing>
                <wp:inline distT="0" distB="0" distL="0" distR="0" wp14:anchorId="118BB8C0" wp14:editId="383B56B2">
                  <wp:extent cx="4665558" cy="1781175"/>
                  <wp:effectExtent l="0" t="0" r="1905" b="0"/>
                  <wp:docPr id="1093512270" name="Picture 109351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12270" name="Picture 109351227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65558" cy="1781175"/>
                          </a:xfrm>
                          <a:prstGeom prst="rect">
                            <a:avLst/>
                          </a:prstGeom>
                        </pic:spPr>
                      </pic:pic>
                    </a:graphicData>
                  </a:graphic>
                </wp:inline>
              </w:drawing>
            </w:r>
          </w:p>
          <w:p w14:paraId="792B5CC5" w14:textId="235F04E5" w:rsidR="00A836A5" w:rsidRDefault="00A836A5" w:rsidP="00A836A5">
            <w:pPr>
              <w:jc w:val="center"/>
            </w:pPr>
            <w:r w:rsidRPr="00A72B4C">
              <w:rPr>
                <w:b/>
                <w:bCs/>
              </w:rPr>
              <w:t xml:space="preserve">Figure </w:t>
            </w:r>
            <w:r>
              <w:rPr>
                <w:b/>
                <w:bCs/>
              </w:rPr>
              <w:t>S2</w:t>
            </w:r>
            <w:r>
              <w:t>: Total number of cholera cases from 2017 to 2019 in Yemen</w:t>
            </w:r>
            <w:r w:rsidR="009A2754">
              <w:t>, the first vertical (solid) line and second vertical (dotted) line marks the end of year 2017 and 2018 respectively.</w:t>
            </w:r>
          </w:p>
          <w:p w14:paraId="0F92E5EF" w14:textId="77777777" w:rsidR="00A836A5" w:rsidRDefault="00A836A5" w:rsidP="00A836A5"/>
          <w:p w14:paraId="29558FA2" w14:textId="14FA1AC5" w:rsidR="00A836A5" w:rsidRDefault="00A836A5" w:rsidP="00D72B0A">
            <w:pPr>
              <w:jc w:val="center"/>
            </w:pPr>
          </w:p>
        </w:tc>
      </w:tr>
    </w:tbl>
    <w:p w14:paraId="41EFE4F6" w14:textId="797F455D" w:rsidR="006C64CF" w:rsidRDefault="006C64CF"/>
    <w:p w14:paraId="229507BC" w14:textId="4A567004" w:rsidR="008F0216" w:rsidRDefault="008F0216"/>
    <w:p w14:paraId="7114368C" w14:textId="2F7D84AF" w:rsidR="008F0216" w:rsidRDefault="008F0216"/>
    <w:p w14:paraId="7D57EFBC" w14:textId="3194E80C" w:rsidR="008F0216" w:rsidRDefault="008F0216"/>
    <w:p w14:paraId="3896EBCD" w14:textId="10E0F057" w:rsidR="008F0216" w:rsidRDefault="008F0216"/>
    <w:p w14:paraId="2070FD6B" w14:textId="29B6B41C" w:rsidR="008F0216" w:rsidRDefault="008F0216"/>
    <w:p w14:paraId="61285F86" w14:textId="64E59136" w:rsidR="008F0216" w:rsidRDefault="008F0216"/>
    <w:p w14:paraId="5600B648" w14:textId="745DD70C" w:rsidR="008F0216" w:rsidRDefault="008F0216"/>
    <w:p w14:paraId="4F0FE0F8" w14:textId="2F365C71" w:rsidR="008F0216" w:rsidRDefault="008F0216"/>
    <w:p w14:paraId="5385266E" w14:textId="36201976" w:rsidR="008F0216" w:rsidRDefault="008F0216"/>
    <w:p w14:paraId="087D92FF" w14:textId="547CECEB" w:rsidR="008F0216" w:rsidRDefault="008F0216"/>
    <w:p w14:paraId="5799DA9F" w14:textId="4464EB24" w:rsidR="008F0216" w:rsidRDefault="008F0216"/>
    <w:p w14:paraId="6E9D94B3" w14:textId="2E5E81F4" w:rsidR="008F0216" w:rsidRDefault="008F0216"/>
    <w:p w14:paraId="7AAC28E8" w14:textId="39AA401F" w:rsidR="008F0216" w:rsidRDefault="008F0216"/>
    <w:p w14:paraId="536AB835" w14:textId="4029A604" w:rsidR="008F0216" w:rsidRDefault="008F0216"/>
    <w:p w14:paraId="18D2BC59" w14:textId="67907474" w:rsidR="008F0216" w:rsidRDefault="008F0216"/>
    <w:p w14:paraId="2BD062FA" w14:textId="7471ECAE" w:rsidR="008F0216" w:rsidRDefault="008F0216"/>
    <w:p w14:paraId="5191C393" w14:textId="6008BBB0" w:rsidR="008F0216" w:rsidRDefault="008F0216"/>
    <w:p w14:paraId="4A152E3F" w14:textId="299C0287" w:rsidR="008F0216" w:rsidRDefault="008F0216"/>
    <w:p w14:paraId="6119AE23" w14:textId="313A5E4A" w:rsidR="008F0216" w:rsidRDefault="008F0216"/>
    <w:p w14:paraId="2740141A" w14:textId="604FED67" w:rsidR="008F0216" w:rsidRDefault="008F0216"/>
    <w:p w14:paraId="75537EF4" w14:textId="7CF39346" w:rsidR="008F0216" w:rsidRPr="00766D0C" w:rsidRDefault="008F0216">
      <w:pPr>
        <w:rPr>
          <w:b/>
          <w:bCs/>
        </w:rPr>
      </w:pPr>
      <w:r w:rsidRPr="00766D0C">
        <w:rPr>
          <w:b/>
          <w:bCs/>
        </w:rPr>
        <w:t>Tables</w:t>
      </w:r>
    </w:p>
    <w:p w14:paraId="657D2CED" w14:textId="77777777" w:rsidR="008F0216" w:rsidRDefault="008F0216" w:rsidP="008F0216"/>
    <w:p w14:paraId="0E316BC6" w14:textId="77777777" w:rsidR="008F0216" w:rsidRDefault="008F0216" w:rsidP="008F0216"/>
    <w:p w14:paraId="19003F15" w14:textId="0DD2C5ED" w:rsidR="008F0216" w:rsidRDefault="008F0216" w:rsidP="008F0216">
      <w:pPr>
        <w:jc w:val="center"/>
      </w:pPr>
      <w:r w:rsidRPr="00A72B4C">
        <w:rPr>
          <w:b/>
          <w:bCs/>
        </w:rPr>
        <w:t>Table</w:t>
      </w:r>
      <w:r>
        <w:rPr>
          <w:b/>
          <w:bCs/>
        </w:rPr>
        <w:t xml:space="preserve"> S1</w:t>
      </w:r>
      <w:r>
        <w:t>: Confusion matrix for various governorates in Yemen</w:t>
      </w:r>
      <w:r w:rsidR="001F5EF0">
        <w:t xml:space="preserve">. </w:t>
      </w:r>
      <w:r w:rsidR="00831098">
        <w:t>Here,</w:t>
      </w:r>
      <w:r w:rsidR="001F5EF0">
        <w:t xml:space="preserve"> Fn is false negative, </w:t>
      </w:r>
      <w:r w:rsidR="001F5EF0" w:rsidRPr="001F5EF0">
        <w:t>F</w:t>
      </w:r>
      <w:r w:rsidR="001F5EF0">
        <w:t>p</w:t>
      </w:r>
      <w:r w:rsidR="001F5EF0" w:rsidRPr="001F5EF0">
        <w:t xml:space="preserve"> is false </w:t>
      </w:r>
      <w:r w:rsidR="001F5EF0">
        <w:t xml:space="preserve">positive, Tn </w:t>
      </w:r>
      <w:r w:rsidR="001F5EF0" w:rsidRPr="001F5EF0">
        <w:t xml:space="preserve">is </w:t>
      </w:r>
      <w:r w:rsidR="001F5EF0">
        <w:t xml:space="preserve">true </w:t>
      </w:r>
      <w:r w:rsidR="001F5EF0" w:rsidRPr="001F5EF0">
        <w:t>negative,</w:t>
      </w:r>
      <w:r w:rsidR="001F5EF0">
        <w:t xml:space="preserve"> and</w:t>
      </w:r>
      <w:r w:rsidR="001F5EF0" w:rsidRPr="001F5EF0">
        <w:t xml:space="preserve"> </w:t>
      </w:r>
      <w:r w:rsidR="001F5EF0">
        <w:t>T</w:t>
      </w:r>
      <w:r w:rsidR="001F5EF0" w:rsidRPr="001F5EF0">
        <w:t xml:space="preserve">p is </w:t>
      </w:r>
      <w:r w:rsidR="001F5EF0">
        <w:t>true</w:t>
      </w:r>
      <w:r w:rsidR="001F5EF0" w:rsidRPr="001F5EF0">
        <w:t xml:space="preserve"> positive</w:t>
      </w:r>
      <w:r w:rsidR="001F5EF0">
        <w:t xml:space="preserve">. </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391"/>
        <w:gridCol w:w="979"/>
        <w:gridCol w:w="667"/>
        <w:gridCol w:w="552"/>
        <w:gridCol w:w="992"/>
        <w:gridCol w:w="936"/>
        <w:gridCol w:w="1106"/>
        <w:gridCol w:w="785"/>
        <w:gridCol w:w="770"/>
      </w:tblGrid>
      <w:tr w:rsidR="008F0216" w:rsidRPr="002703CA" w14:paraId="26EBF1DF" w14:textId="77777777" w:rsidTr="00D72B0A">
        <w:trPr>
          <w:trHeight w:val="300"/>
        </w:trPr>
        <w:tc>
          <w:tcPr>
            <w:tcW w:w="1267" w:type="dxa"/>
            <w:tcBorders>
              <w:top w:val="single" w:sz="4" w:space="0" w:color="auto"/>
              <w:bottom w:val="single" w:sz="4" w:space="0" w:color="auto"/>
            </w:tcBorders>
            <w:noWrap/>
            <w:hideMark/>
          </w:tcPr>
          <w:p w14:paraId="3980CC4A" w14:textId="77777777" w:rsidR="008F0216" w:rsidRPr="002703CA" w:rsidRDefault="008F0216" w:rsidP="00D72B0A">
            <w:r w:rsidRPr="002703CA">
              <w:t>Conditions</w:t>
            </w:r>
          </w:p>
        </w:tc>
        <w:tc>
          <w:tcPr>
            <w:tcW w:w="1391" w:type="dxa"/>
            <w:tcBorders>
              <w:top w:val="single" w:sz="4" w:space="0" w:color="auto"/>
              <w:bottom w:val="single" w:sz="4" w:space="0" w:color="auto"/>
            </w:tcBorders>
            <w:noWrap/>
            <w:hideMark/>
          </w:tcPr>
          <w:p w14:paraId="1D2A0D8C" w14:textId="77777777" w:rsidR="008F0216" w:rsidRPr="002703CA" w:rsidRDefault="008F0216" w:rsidP="00D72B0A">
            <w:r w:rsidRPr="002703CA">
              <w:t>Al Hudaydah</w:t>
            </w:r>
          </w:p>
        </w:tc>
        <w:tc>
          <w:tcPr>
            <w:tcW w:w="979" w:type="dxa"/>
            <w:tcBorders>
              <w:top w:val="single" w:sz="4" w:space="0" w:color="auto"/>
              <w:bottom w:val="single" w:sz="4" w:space="0" w:color="auto"/>
            </w:tcBorders>
            <w:noWrap/>
            <w:hideMark/>
          </w:tcPr>
          <w:p w14:paraId="71568574" w14:textId="77777777" w:rsidR="008F0216" w:rsidRPr="002703CA" w:rsidRDefault="008F0216" w:rsidP="00D72B0A">
            <w:r w:rsidRPr="002703CA">
              <w:t>Amanat</w:t>
            </w:r>
          </w:p>
        </w:tc>
        <w:tc>
          <w:tcPr>
            <w:tcW w:w="667" w:type="dxa"/>
            <w:tcBorders>
              <w:top w:val="single" w:sz="4" w:space="0" w:color="auto"/>
              <w:bottom w:val="single" w:sz="4" w:space="0" w:color="auto"/>
            </w:tcBorders>
            <w:noWrap/>
            <w:hideMark/>
          </w:tcPr>
          <w:p w14:paraId="1F4AABED" w14:textId="77777777" w:rsidR="008F0216" w:rsidRPr="002703CA" w:rsidRDefault="008F0216" w:rsidP="00D72B0A">
            <w:r w:rsidRPr="002703CA">
              <w:t>Taizz</w:t>
            </w:r>
          </w:p>
        </w:tc>
        <w:tc>
          <w:tcPr>
            <w:tcW w:w="552" w:type="dxa"/>
            <w:tcBorders>
              <w:top w:val="single" w:sz="4" w:space="0" w:color="auto"/>
              <w:bottom w:val="single" w:sz="4" w:space="0" w:color="auto"/>
            </w:tcBorders>
            <w:noWrap/>
            <w:hideMark/>
          </w:tcPr>
          <w:p w14:paraId="0EB27572" w14:textId="77777777" w:rsidR="008F0216" w:rsidRPr="002703CA" w:rsidRDefault="008F0216" w:rsidP="00D72B0A">
            <w:r w:rsidRPr="002703CA">
              <w:t>Ibb</w:t>
            </w:r>
          </w:p>
        </w:tc>
        <w:tc>
          <w:tcPr>
            <w:tcW w:w="992" w:type="dxa"/>
            <w:tcBorders>
              <w:top w:val="single" w:sz="4" w:space="0" w:color="auto"/>
              <w:bottom w:val="single" w:sz="4" w:space="0" w:color="auto"/>
            </w:tcBorders>
            <w:noWrap/>
            <w:hideMark/>
          </w:tcPr>
          <w:p w14:paraId="6F5061CA" w14:textId="77777777" w:rsidR="008F0216" w:rsidRPr="002703CA" w:rsidRDefault="008F0216" w:rsidP="00D72B0A">
            <w:r w:rsidRPr="002703CA">
              <w:t>Mahwit</w:t>
            </w:r>
          </w:p>
        </w:tc>
        <w:tc>
          <w:tcPr>
            <w:tcW w:w="936" w:type="dxa"/>
            <w:tcBorders>
              <w:top w:val="single" w:sz="4" w:space="0" w:color="auto"/>
              <w:bottom w:val="single" w:sz="4" w:space="0" w:color="auto"/>
            </w:tcBorders>
            <w:noWrap/>
            <w:hideMark/>
          </w:tcPr>
          <w:p w14:paraId="79C4783E" w14:textId="77777777" w:rsidR="008F0216" w:rsidRPr="002703CA" w:rsidRDefault="008F0216" w:rsidP="00D72B0A">
            <w:r w:rsidRPr="002703CA">
              <w:t>Amran</w:t>
            </w:r>
          </w:p>
        </w:tc>
        <w:tc>
          <w:tcPr>
            <w:tcW w:w="1106" w:type="dxa"/>
            <w:tcBorders>
              <w:top w:val="single" w:sz="4" w:space="0" w:color="auto"/>
              <w:bottom w:val="single" w:sz="4" w:space="0" w:color="auto"/>
            </w:tcBorders>
            <w:noWrap/>
            <w:hideMark/>
          </w:tcPr>
          <w:p w14:paraId="0145D817" w14:textId="77777777" w:rsidR="008F0216" w:rsidRPr="002703CA" w:rsidRDefault="008F0216" w:rsidP="00D72B0A">
            <w:r w:rsidRPr="002703CA">
              <w:t>Dhammar</w:t>
            </w:r>
          </w:p>
        </w:tc>
        <w:tc>
          <w:tcPr>
            <w:tcW w:w="785" w:type="dxa"/>
            <w:tcBorders>
              <w:top w:val="single" w:sz="4" w:space="0" w:color="auto"/>
              <w:bottom w:val="single" w:sz="4" w:space="0" w:color="auto"/>
            </w:tcBorders>
            <w:noWrap/>
            <w:hideMark/>
          </w:tcPr>
          <w:p w14:paraId="6F7F9DAE" w14:textId="77777777" w:rsidR="008F0216" w:rsidRPr="002703CA" w:rsidRDefault="008F0216" w:rsidP="00D72B0A">
            <w:r w:rsidRPr="002703CA">
              <w:t>Hajjah</w:t>
            </w:r>
          </w:p>
        </w:tc>
        <w:tc>
          <w:tcPr>
            <w:tcW w:w="770" w:type="dxa"/>
            <w:tcBorders>
              <w:top w:val="single" w:sz="4" w:space="0" w:color="auto"/>
              <w:bottom w:val="single" w:sz="4" w:space="0" w:color="auto"/>
            </w:tcBorders>
            <w:noWrap/>
            <w:hideMark/>
          </w:tcPr>
          <w:p w14:paraId="0DD10650" w14:textId="77777777" w:rsidR="008F0216" w:rsidRPr="002703CA" w:rsidRDefault="008F0216" w:rsidP="00D72B0A">
            <w:r w:rsidRPr="002703CA">
              <w:t>Sana</w:t>
            </w:r>
          </w:p>
        </w:tc>
      </w:tr>
      <w:tr w:rsidR="008F0216" w:rsidRPr="002703CA" w14:paraId="2550556F" w14:textId="77777777" w:rsidTr="00D72B0A">
        <w:trPr>
          <w:trHeight w:val="300"/>
        </w:trPr>
        <w:tc>
          <w:tcPr>
            <w:tcW w:w="1267" w:type="dxa"/>
            <w:tcBorders>
              <w:top w:val="single" w:sz="4" w:space="0" w:color="auto"/>
            </w:tcBorders>
            <w:noWrap/>
            <w:hideMark/>
          </w:tcPr>
          <w:p w14:paraId="44AAC470" w14:textId="77777777" w:rsidR="008F0216" w:rsidRPr="002703CA" w:rsidRDefault="008F0216" w:rsidP="00D72B0A">
            <w:r>
              <w:t>F</w:t>
            </w:r>
            <w:r w:rsidRPr="00D8166B">
              <w:rPr>
                <w:vertAlign w:val="subscript"/>
              </w:rPr>
              <w:t>n</w:t>
            </w:r>
          </w:p>
        </w:tc>
        <w:tc>
          <w:tcPr>
            <w:tcW w:w="1391" w:type="dxa"/>
            <w:tcBorders>
              <w:top w:val="single" w:sz="4" w:space="0" w:color="auto"/>
            </w:tcBorders>
            <w:noWrap/>
            <w:hideMark/>
          </w:tcPr>
          <w:p w14:paraId="663EE104" w14:textId="77777777" w:rsidR="008F0216" w:rsidRPr="002703CA" w:rsidRDefault="008F0216" w:rsidP="00D72B0A">
            <w:r w:rsidRPr="002703CA">
              <w:t>21</w:t>
            </w:r>
          </w:p>
        </w:tc>
        <w:tc>
          <w:tcPr>
            <w:tcW w:w="979" w:type="dxa"/>
            <w:tcBorders>
              <w:top w:val="single" w:sz="4" w:space="0" w:color="auto"/>
            </w:tcBorders>
            <w:noWrap/>
            <w:hideMark/>
          </w:tcPr>
          <w:p w14:paraId="154B389D" w14:textId="77777777" w:rsidR="008F0216" w:rsidRPr="002703CA" w:rsidRDefault="008F0216" w:rsidP="00D72B0A">
            <w:r w:rsidRPr="002703CA">
              <w:t>33</w:t>
            </w:r>
          </w:p>
        </w:tc>
        <w:tc>
          <w:tcPr>
            <w:tcW w:w="667" w:type="dxa"/>
            <w:tcBorders>
              <w:top w:val="single" w:sz="4" w:space="0" w:color="auto"/>
            </w:tcBorders>
            <w:noWrap/>
            <w:hideMark/>
          </w:tcPr>
          <w:p w14:paraId="01C79091" w14:textId="77777777" w:rsidR="008F0216" w:rsidRPr="002703CA" w:rsidRDefault="008F0216" w:rsidP="00D72B0A">
            <w:r w:rsidRPr="002703CA">
              <w:t>21</w:t>
            </w:r>
          </w:p>
        </w:tc>
        <w:tc>
          <w:tcPr>
            <w:tcW w:w="552" w:type="dxa"/>
            <w:tcBorders>
              <w:top w:val="single" w:sz="4" w:space="0" w:color="auto"/>
            </w:tcBorders>
            <w:noWrap/>
            <w:hideMark/>
          </w:tcPr>
          <w:p w14:paraId="6001C09F" w14:textId="77777777" w:rsidR="008F0216" w:rsidRPr="002703CA" w:rsidRDefault="008F0216" w:rsidP="00D72B0A">
            <w:r w:rsidRPr="002703CA">
              <w:t>30</w:t>
            </w:r>
          </w:p>
        </w:tc>
        <w:tc>
          <w:tcPr>
            <w:tcW w:w="992" w:type="dxa"/>
            <w:tcBorders>
              <w:top w:val="single" w:sz="4" w:space="0" w:color="auto"/>
            </w:tcBorders>
            <w:noWrap/>
            <w:hideMark/>
          </w:tcPr>
          <w:p w14:paraId="3E478B93" w14:textId="77777777" w:rsidR="008F0216" w:rsidRPr="002703CA" w:rsidRDefault="008F0216" w:rsidP="00D72B0A">
            <w:r w:rsidRPr="002703CA">
              <w:t>29</w:t>
            </w:r>
          </w:p>
        </w:tc>
        <w:tc>
          <w:tcPr>
            <w:tcW w:w="936" w:type="dxa"/>
            <w:tcBorders>
              <w:top w:val="single" w:sz="4" w:space="0" w:color="auto"/>
            </w:tcBorders>
            <w:noWrap/>
            <w:hideMark/>
          </w:tcPr>
          <w:p w14:paraId="59C261E3" w14:textId="77777777" w:rsidR="008F0216" w:rsidRPr="002703CA" w:rsidRDefault="008F0216" w:rsidP="00D72B0A">
            <w:r w:rsidRPr="002703CA">
              <w:t>24</w:t>
            </w:r>
          </w:p>
        </w:tc>
        <w:tc>
          <w:tcPr>
            <w:tcW w:w="1106" w:type="dxa"/>
            <w:tcBorders>
              <w:top w:val="single" w:sz="4" w:space="0" w:color="auto"/>
            </w:tcBorders>
            <w:noWrap/>
            <w:hideMark/>
          </w:tcPr>
          <w:p w14:paraId="1132395A" w14:textId="77777777" w:rsidR="008F0216" w:rsidRPr="002703CA" w:rsidRDefault="008F0216" w:rsidP="00D72B0A">
            <w:r w:rsidRPr="002703CA">
              <w:t>26</w:t>
            </w:r>
          </w:p>
        </w:tc>
        <w:tc>
          <w:tcPr>
            <w:tcW w:w="785" w:type="dxa"/>
            <w:tcBorders>
              <w:top w:val="single" w:sz="4" w:space="0" w:color="auto"/>
            </w:tcBorders>
            <w:noWrap/>
            <w:hideMark/>
          </w:tcPr>
          <w:p w14:paraId="4ECEFD26" w14:textId="77777777" w:rsidR="008F0216" w:rsidRPr="002703CA" w:rsidRDefault="008F0216" w:rsidP="00D72B0A">
            <w:r w:rsidRPr="002703CA">
              <w:t>25</w:t>
            </w:r>
          </w:p>
        </w:tc>
        <w:tc>
          <w:tcPr>
            <w:tcW w:w="770" w:type="dxa"/>
            <w:tcBorders>
              <w:top w:val="single" w:sz="4" w:space="0" w:color="auto"/>
            </w:tcBorders>
            <w:noWrap/>
            <w:hideMark/>
          </w:tcPr>
          <w:p w14:paraId="75D27145" w14:textId="77777777" w:rsidR="008F0216" w:rsidRPr="002703CA" w:rsidRDefault="008F0216" w:rsidP="00D72B0A">
            <w:r w:rsidRPr="002703CA">
              <w:t>28</w:t>
            </w:r>
          </w:p>
        </w:tc>
      </w:tr>
      <w:tr w:rsidR="008F0216" w:rsidRPr="002703CA" w14:paraId="277B576B" w14:textId="77777777" w:rsidTr="00D72B0A">
        <w:trPr>
          <w:trHeight w:val="300"/>
        </w:trPr>
        <w:tc>
          <w:tcPr>
            <w:tcW w:w="1267" w:type="dxa"/>
            <w:noWrap/>
            <w:hideMark/>
          </w:tcPr>
          <w:p w14:paraId="15EA566C" w14:textId="77777777" w:rsidR="008F0216" w:rsidRPr="002703CA" w:rsidRDefault="008F0216" w:rsidP="00D72B0A">
            <w:r>
              <w:t>F</w:t>
            </w:r>
            <w:r w:rsidRPr="00D8166B">
              <w:rPr>
                <w:vertAlign w:val="subscript"/>
              </w:rPr>
              <w:t>p</w:t>
            </w:r>
          </w:p>
        </w:tc>
        <w:tc>
          <w:tcPr>
            <w:tcW w:w="1391" w:type="dxa"/>
            <w:noWrap/>
            <w:hideMark/>
          </w:tcPr>
          <w:p w14:paraId="5A023191" w14:textId="77777777" w:rsidR="008F0216" w:rsidRPr="002703CA" w:rsidRDefault="008F0216" w:rsidP="00D72B0A">
            <w:r w:rsidRPr="002703CA">
              <w:t>25</w:t>
            </w:r>
          </w:p>
        </w:tc>
        <w:tc>
          <w:tcPr>
            <w:tcW w:w="979" w:type="dxa"/>
            <w:noWrap/>
            <w:hideMark/>
          </w:tcPr>
          <w:p w14:paraId="21347AB1" w14:textId="77777777" w:rsidR="008F0216" w:rsidRPr="002703CA" w:rsidRDefault="008F0216" w:rsidP="00D72B0A">
            <w:r w:rsidRPr="002703CA">
              <w:t>26</w:t>
            </w:r>
          </w:p>
        </w:tc>
        <w:tc>
          <w:tcPr>
            <w:tcW w:w="667" w:type="dxa"/>
            <w:noWrap/>
            <w:hideMark/>
          </w:tcPr>
          <w:p w14:paraId="7553AB2B" w14:textId="77777777" w:rsidR="008F0216" w:rsidRPr="002703CA" w:rsidRDefault="008F0216" w:rsidP="00D72B0A">
            <w:r w:rsidRPr="002703CA">
              <w:t>27</w:t>
            </w:r>
          </w:p>
        </w:tc>
        <w:tc>
          <w:tcPr>
            <w:tcW w:w="552" w:type="dxa"/>
            <w:noWrap/>
            <w:hideMark/>
          </w:tcPr>
          <w:p w14:paraId="25DA8CC7" w14:textId="77777777" w:rsidR="008F0216" w:rsidRPr="002703CA" w:rsidRDefault="008F0216" w:rsidP="00D72B0A">
            <w:r w:rsidRPr="002703CA">
              <w:t>25</w:t>
            </w:r>
          </w:p>
        </w:tc>
        <w:tc>
          <w:tcPr>
            <w:tcW w:w="992" w:type="dxa"/>
            <w:noWrap/>
            <w:hideMark/>
          </w:tcPr>
          <w:p w14:paraId="4C578762" w14:textId="77777777" w:rsidR="008F0216" w:rsidRPr="002703CA" w:rsidRDefault="008F0216" w:rsidP="00D72B0A">
            <w:r w:rsidRPr="002703CA">
              <w:t>27</w:t>
            </w:r>
          </w:p>
        </w:tc>
        <w:tc>
          <w:tcPr>
            <w:tcW w:w="936" w:type="dxa"/>
            <w:noWrap/>
            <w:hideMark/>
          </w:tcPr>
          <w:p w14:paraId="54F19351" w14:textId="77777777" w:rsidR="008F0216" w:rsidRPr="002703CA" w:rsidRDefault="008F0216" w:rsidP="00D72B0A">
            <w:r w:rsidRPr="002703CA">
              <w:t>28</w:t>
            </w:r>
          </w:p>
        </w:tc>
        <w:tc>
          <w:tcPr>
            <w:tcW w:w="1106" w:type="dxa"/>
            <w:noWrap/>
            <w:hideMark/>
          </w:tcPr>
          <w:p w14:paraId="52AD66A9" w14:textId="77777777" w:rsidR="008F0216" w:rsidRPr="002703CA" w:rsidRDefault="008F0216" w:rsidP="00D72B0A">
            <w:r w:rsidRPr="002703CA">
              <w:t>25</w:t>
            </w:r>
          </w:p>
        </w:tc>
        <w:tc>
          <w:tcPr>
            <w:tcW w:w="785" w:type="dxa"/>
            <w:noWrap/>
            <w:hideMark/>
          </w:tcPr>
          <w:p w14:paraId="6148523C" w14:textId="77777777" w:rsidR="008F0216" w:rsidRPr="002703CA" w:rsidRDefault="008F0216" w:rsidP="00D72B0A">
            <w:r w:rsidRPr="002703CA">
              <w:t>18</w:t>
            </w:r>
          </w:p>
        </w:tc>
        <w:tc>
          <w:tcPr>
            <w:tcW w:w="770" w:type="dxa"/>
            <w:noWrap/>
            <w:hideMark/>
          </w:tcPr>
          <w:p w14:paraId="2E87B6C4" w14:textId="77777777" w:rsidR="008F0216" w:rsidRPr="002703CA" w:rsidRDefault="008F0216" w:rsidP="00D72B0A">
            <w:r w:rsidRPr="002703CA">
              <w:t>23</w:t>
            </w:r>
          </w:p>
        </w:tc>
      </w:tr>
      <w:tr w:rsidR="008F0216" w:rsidRPr="002703CA" w14:paraId="5E4D5F86" w14:textId="77777777" w:rsidTr="00D72B0A">
        <w:trPr>
          <w:trHeight w:val="300"/>
        </w:trPr>
        <w:tc>
          <w:tcPr>
            <w:tcW w:w="1267" w:type="dxa"/>
            <w:noWrap/>
            <w:hideMark/>
          </w:tcPr>
          <w:p w14:paraId="41D57206" w14:textId="77777777" w:rsidR="008F0216" w:rsidRPr="002703CA" w:rsidRDefault="008F0216" w:rsidP="00D72B0A">
            <w:r>
              <w:t>T</w:t>
            </w:r>
            <w:r w:rsidRPr="00D8166B">
              <w:rPr>
                <w:vertAlign w:val="subscript"/>
              </w:rPr>
              <w:t>n</w:t>
            </w:r>
          </w:p>
        </w:tc>
        <w:tc>
          <w:tcPr>
            <w:tcW w:w="1391" w:type="dxa"/>
            <w:noWrap/>
            <w:hideMark/>
          </w:tcPr>
          <w:p w14:paraId="348414F7" w14:textId="77777777" w:rsidR="008F0216" w:rsidRPr="002703CA" w:rsidRDefault="008F0216" w:rsidP="00D72B0A">
            <w:r w:rsidRPr="002703CA">
              <w:t>37</w:t>
            </w:r>
          </w:p>
        </w:tc>
        <w:tc>
          <w:tcPr>
            <w:tcW w:w="979" w:type="dxa"/>
            <w:noWrap/>
            <w:hideMark/>
          </w:tcPr>
          <w:p w14:paraId="4A2517D4" w14:textId="77777777" w:rsidR="008F0216" w:rsidRPr="002703CA" w:rsidRDefault="008F0216" w:rsidP="00D72B0A">
            <w:r w:rsidRPr="002703CA">
              <w:t>46</w:t>
            </w:r>
          </w:p>
        </w:tc>
        <w:tc>
          <w:tcPr>
            <w:tcW w:w="667" w:type="dxa"/>
            <w:noWrap/>
            <w:hideMark/>
          </w:tcPr>
          <w:p w14:paraId="0C100087" w14:textId="77777777" w:rsidR="008F0216" w:rsidRPr="002703CA" w:rsidRDefault="008F0216" w:rsidP="00D72B0A">
            <w:r w:rsidRPr="002703CA">
              <w:t>42</w:t>
            </w:r>
          </w:p>
        </w:tc>
        <w:tc>
          <w:tcPr>
            <w:tcW w:w="552" w:type="dxa"/>
            <w:noWrap/>
            <w:hideMark/>
          </w:tcPr>
          <w:p w14:paraId="5CF0ECB8" w14:textId="77777777" w:rsidR="008F0216" w:rsidRPr="002703CA" w:rsidRDefault="008F0216" w:rsidP="00D72B0A">
            <w:r w:rsidRPr="002703CA">
              <w:t>36</w:t>
            </w:r>
          </w:p>
        </w:tc>
        <w:tc>
          <w:tcPr>
            <w:tcW w:w="992" w:type="dxa"/>
            <w:noWrap/>
            <w:hideMark/>
          </w:tcPr>
          <w:p w14:paraId="21B63918" w14:textId="77777777" w:rsidR="008F0216" w:rsidRPr="002703CA" w:rsidRDefault="008F0216" w:rsidP="00D72B0A">
            <w:r w:rsidRPr="002703CA">
              <w:t>38</w:t>
            </w:r>
          </w:p>
        </w:tc>
        <w:tc>
          <w:tcPr>
            <w:tcW w:w="936" w:type="dxa"/>
            <w:noWrap/>
            <w:hideMark/>
          </w:tcPr>
          <w:p w14:paraId="66B916EC" w14:textId="77777777" w:rsidR="008F0216" w:rsidRPr="002703CA" w:rsidRDefault="008F0216" w:rsidP="00D72B0A">
            <w:r w:rsidRPr="002703CA">
              <w:t>37</w:t>
            </w:r>
          </w:p>
        </w:tc>
        <w:tc>
          <w:tcPr>
            <w:tcW w:w="1106" w:type="dxa"/>
            <w:noWrap/>
            <w:hideMark/>
          </w:tcPr>
          <w:p w14:paraId="65B14754" w14:textId="77777777" w:rsidR="008F0216" w:rsidRPr="002703CA" w:rsidRDefault="008F0216" w:rsidP="00D72B0A">
            <w:r w:rsidRPr="002703CA">
              <w:t>43</w:t>
            </w:r>
          </w:p>
        </w:tc>
        <w:tc>
          <w:tcPr>
            <w:tcW w:w="785" w:type="dxa"/>
            <w:noWrap/>
            <w:hideMark/>
          </w:tcPr>
          <w:p w14:paraId="5D0A5B6C" w14:textId="77777777" w:rsidR="008F0216" w:rsidRPr="002703CA" w:rsidRDefault="008F0216" w:rsidP="00D72B0A">
            <w:r w:rsidRPr="002703CA">
              <w:t>36</w:t>
            </w:r>
          </w:p>
        </w:tc>
        <w:tc>
          <w:tcPr>
            <w:tcW w:w="770" w:type="dxa"/>
            <w:noWrap/>
            <w:hideMark/>
          </w:tcPr>
          <w:p w14:paraId="71622C60" w14:textId="77777777" w:rsidR="008F0216" w:rsidRPr="002703CA" w:rsidRDefault="008F0216" w:rsidP="00D72B0A">
            <w:r w:rsidRPr="002703CA">
              <w:t>36</w:t>
            </w:r>
          </w:p>
        </w:tc>
      </w:tr>
      <w:tr w:rsidR="008F0216" w:rsidRPr="002703CA" w14:paraId="673D0E9C" w14:textId="77777777" w:rsidTr="00D72B0A">
        <w:trPr>
          <w:trHeight w:val="300"/>
        </w:trPr>
        <w:tc>
          <w:tcPr>
            <w:tcW w:w="1267" w:type="dxa"/>
            <w:noWrap/>
            <w:hideMark/>
          </w:tcPr>
          <w:p w14:paraId="5956933C" w14:textId="77777777" w:rsidR="008F0216" w:rsidRPr="002703CA" w:rsidRDefault="008F0216" w:rsidP="00D72B0A">
            <w:r>
              <w:t>T</w:t>
            </w:r>
            <w:r w:rsidRPr="00D8166B">
              <w:rPr>
                <w:vertAlign w:val="subscript"/>
              </w:rPr>
              <w:t>p</w:t>
            </w:r>
          </w:p>
        </w:tc>
        <w:tc>
          <w:tcPr>
            <w:tcW w:w="1391" w:type="dxa"/>
            <w:noWrap/>
            <w:hideMark/>
          </w:tcPr>
          <w:p w14:paraId="695B52CA" w14:textId="77777777" w:rsidR="008F0216" w:rsidRPr="002703CA" w:rsidRDefault="008F0216" w:rsidP="00D72B0A">
            <w:r w:rsidRPr="002703CA">
              <w:t>37</w:t>
            </w:r>
          </w:p>
        </w:tc>
        <w:tc>
          <w:tcPr>
            <w:tcW w:w="979" w:type="dxa"/>
            <w:noWrap/>
            <w:hideMark/>
          </w:tcPr>
          <w:p w14:paraId="6F840218" w14:textId="77777777" w:rsidR="008F0216" w:rsidRPr="002703CA" w:rsidRDefault="008F0216" w:rsidP="00D72B0A">
            <w:r w:rsidRPr="002703CA">
              <w:t>46</w:t>
            </w:r>
          </w:p>
        </w:tc>
        <w:tc>
          <w:tcPr>
            <w:tcW w:w="667" w:type="dxa"/>
            <w:noWrap/>
            <w:hideMark/>
          </w:tcPr>
          <w:p w14:paraId="36515672" w14:textId="77777777" w:rsidR="008F0216" w:rsidRPr="002703CA" w:rsidRDefault="008F0216" w:rsidP="00D72B0A">
            <w:r w:rsidRPr="002703CA">
              <w:t>42</w:t>
            </w:r>
          </w:p>
        </w:tc>
        <w:tc>
          <w:tcPr>
            <w:tcW w:w="552" w:type="dxa"/>
            <w:noWrap/>
            <w:hideMark/>
          </w:tcPr>
          <w:p w14:paraId="696E137A" w14:textId="77777777" w:rsidR="008F0216" w:rsidRPr="002703CA" w:rsidRDefault="008F0216" w:rsidP="00D72B0A">
            <w:r w:rsidRPr="002703CA">
              <w:t>36</w:t>
            </w:r>
          </w:p>
        </w:tc>
        <w:tc>
          <w:tcPr>
            <w:tcW w:w="992" w:type="dxa"/>
            <w:noWrap/>
            <w:hideMark/>
          </w:tcPr>
          <w:p w14:paraId="3EEE14C6" w14:textId="77777777" w:rsidR="008F0216" w:rsidRPr="002703CA" w:rsidRDefault="008F0216" w:rsidP="00D72B0A">
            <w:r w:rsidRPr="002703CA">
              <w:t>38</w:t>
            </w:r>
          </w:p>
        </w:tc>
        <w:tc>
          <w:tcPr>
            <w:tcW w:w="936" w:type="dxa"/>
            <w:noWrap/>
            <w:hideMark/>
          </w:tcPr>
          <w:p w14:paraId="4E9FC785" w14:textId="77777777" w:rsidR="008F0216" w:rsidRPr="002703CA" w:rsidRDefault="008F0216" w:rsidP="00D72B0A">
            <w:r w:rsidRPr="002703CA">
              <w:t>37</w:t>
            </w:r>
          </w:p>
        </w:tc>
        <w:tc>
          <w:tcPr>
            <w:tcW w:w="1106" w:type="dxa"/>
            <w:noWrap/>
            <w:hideMark/>
          </w:tcPr>
          <w:p w14:paraId="62B6201E" w14:textId="77777777" w:rsidR="008F0216" w:rsidRPr="002703CA" w:rsidRDefault="008F0216" w:rsidP="00D72B0A">
            <w:r w:rsidRPr="002703CA">
              <w:t>43</w:t>
            </w:r>
          </w:p>
        </w:tc>
        <w:tc>
          <w:tcPr>
            <w:tcW w:w="785" w:type="dxa"/>
            <w:noWrap/>
            <w:hideMark/>
          </w:tcPr>
          <w:p w14:paraId="7FFB00D3" w14:textId="77777777" w:rsidR="008F0216" w:rsidRPr="002703CA" w:rsidRDefault="008F0216" w:rsidP="00D72B0A">
            <w:r w:rsidRPr="002703CA">
              <w:t>36</w:t>
            </w:r>
          </w:p>
        </w:tc>
        <w:tc>
          <w:tcPr>
            <w:tcW w:w="770" w:type="dxa"/>
            <w:noWrap/>
            <w:hideMark/>
          </w:tcPr>
          <w:p w14:paraId="5B5BAE5D" w14:textId="77777777" w:rsidR="008F0216" w:rsidRPr="002703CA" w:rsidRDefault="008F0216" w:rsidP="00D72B0A">
            <w:r w:rsidRPr="002703CA">
              <w:t>36</w:t>
            </w:r>
          </w:p>
        </w:tc>
      </w:tr>
    </w:tbl>
    <w:p w14:paraId="2C6654EF" w14:textId="77777777" w:rsidR="008F0216" w:rsidRDefault="008F0216" w:rsidP="008F0216"/>
    <w:p w14:paraId="6CD51BA1" w14:textId="77777777" w:rsidR="008F0216" w:rsidRDefault="008F0216" w:rsidP="008F0216"/>
    <w:p w14:paraId="4691E247" w14:textId="77777777" w:rsidR="008F0216" w:rsidRDefault="008F0216" w:rsidP="008F0216"/>
    <w:p w14:paraId="65A2A21F" w14:textId="77777777" w:rsidR="008F0216" w:rsidRDefault="008F0216" w:rsidP="008F0216"/>
    <w:p w14:paraId="315C7D01" w14:textId="77777777" w:rsidR="008F0216" w:rsidRDefault="008F0216" w:rsidP="008F0216"/>
    <w:p w14:paraId="44346156" w14:textId="77777777" w:rsidR="008F0216" w:rsidRPr="0038682D" w:rsidRDefault="008F0216" w:rsidP="008F0216">
      <w:pPr>
        <w:spacing w:line="480" w:lineRule="auto"/>
        <w:jc w:val="center"/>
        <w:rPr>
          <w:rFonts w:eastAsia="Times New Roman" w:cstheme="minorHAnsi"/>
        </w:rPr>
      </w:pPr>
      <w:r w:rsidRPr="0038682D">
        <w:rPr>
          <w:rFonts w:eastAsia="Times New Roman" w:cstheme="minorHAnsi"/>
          <w:b/>
          <w:bCs/>
        </w:rPr>
        <w:t>Table S2</w:t>
      </w:r>
      <w:r w:rsidRPr="0038682D">
        <w:rPr>
          <w:rFonts w:eastAsia="Times New Roman" w:cstheme="minorHAnsi"/>
        </w:rPr>
        <w:t>: Evidence of consistency using BHC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377"/>
        <w:gridCol w:w="2147"/>
        <w:gridCol w:w="2422"/>
      </w:tblGrid>
      <w:tr w:rsidR="008F0216" w14:paraId="028A18F9" w14:textId="77777777" w:rsidTr="00D72B0A">
        <w:tc>
          <w:tcPr>
            <w:tcW w:w="2404" w:type="dxa"/>
            <w:tcBorders>
              <w:top w:val="single" w:sz="4" w:space="0" w:color="auto"/>
              <w:bottom w:val="single" w:sz="4" w:space="0" w:color="auto"/>
            </w:tcBorders>
          </w:tcPr>
          <w:p w14:paraId="2886EF25"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Authors</w:t>
            </w:r>
          </w:p>
        </w:tc>
        <w:tc>
          <w:tcPr>
            <w:tcW w:w="2377" w:type="dxa"/>
            <w:tcBorders>
              <w:top w:val="single" w:sz="4" w:space="0" w:color="auto"/>
              <w:bottom w:val="single" w:sz="4" w:space="0" w:color="auto"/>
            </w:tcBorders>
          </w:tcPr>
          <w:p w14:paraId="5B911C2E"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 xml:space="preserve">Region </w:t>
            </w:r>
          </w:p>
        </w:tc>
        <w:tc>
          <w:tcPr>
            <w:tcW w:w="2147" w:type="dxa"/>
            <w:tcBorders>
              <w:top w:val="single" w:sz="4" w:space="0" w:color="auto"/>
              <w:bottom w:val="single" w:sz="4" w:space="0" w:color="auto"/>
            </w:tcBorders>
          </w:tcPr>
          <w:p w14:paraId="68F30453"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Citation score</w:t>
            </w:r>
          </w:p>
        </w:tc>
        <w:tc>
          <w:tcPr>
            <w:tcW w:w="2422" w:type="dxa"/>
            <w:tcBorders>
              <w:top w:val="single" w:sz="4" w:space="0" w:color="auto"/>
              <w:bottom w:val="single" w:sz="4" w:space="0" w:color="auto"/>
            </w:tcBorders>
          </w:tcPr>
          <w:p w14:paraId="4DF9C868"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Climatic variable</w:t>
            </w:r>
          </w:p>
        </w:tc>
      </w:tr>
      <w:tr w:rsidR="008F0216" w14:paraId="557666C4" w14:textId="77777777" w:rsidTr="00D72B0A">
        <w:tc>
          <w:tcPr>
            <w:tcW w:w="2404" w:type="dxa"/>
            <w:tcBorders>
              <w:top w:val="single" w:sz="4" w:space="0" w:color="auto"/>
            </w:tcBorders>
          </w:tcPr>
          <w:p w14:paraId="06ECBE1C"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Pascual et al 2000</w:t>
            </w:r>
          </w:p>
        </w:tc>
        <w:tc>
          <w:tcPr>
            <w:tcW w:w="2377" w:type="dxa"/>
            <w:tcBorders>
              <w:top w:val="single" w:sz="4" w:space="0" w:color="auto"/>
            </w:tcBorders>
          </w:tcPr>
          <w:p w14:paraId="4345EDC0"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Bangladesh</w:t>
            </w:r>
          </w:p>
        </w:tc>
        <w:tc>
          <w:tcPr>
            <w:tcW w:w="2147" w:type="dxa"/>
            <w:tcBorders>
              <w:top w:val="single" w:sz="4" w:space="0" w:color="auto"/>
            </w:tcBorders>
          </w:tcPr>
          <w:p w14:paraId="6CBEA459"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587</w:t>
            </w:r>
          </w:p>
        </w:tc>
        <w:tc>
          <w:tcPr>
            <w:tcW w:w="2422" w:type="dxa"/>
            <w:tcBorders>
              <w:top w:val="single" w:sz="4" w:space="0" w:color="auto"/>
            </w:tcBorders>
          </w:tcPr>
          <w:p w14:paraId="68B3D16E"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Temperature</w:t>
            </w:r>
          </w:p>
        </w:tc>
      </w:tr>
      <w:tr w:rsidR="008F0216" w14:paraId="08F9CBE3" w14:textId="77777777" w:rsidTr="00D72B0A">
        <w:tc>
          <w:tcPr>
            <w:tcW w:w="2404" w:type="dxa"/>
          </w:tcPr>
          <w:p w14:paraId="3A514612"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Lobitz et al 1999</w:t>
            </w:r>
          </w:p>
        </w:tc>
        <w:tc>
          <w:tcPr>
            <w:tcW w:w="2377" w:type="dxa"/>
          </w:tcPr>
          <w:p w14:paraId="5AF9E459"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Bangladesh</w:t>
            </w:r>
          </w:p>
        </w:tc>
        <w:tc>
          <w:tcPr>
            <w:tcW w:w="2147" w:type="dxa"/>
          </w:tcPr>
          <w:p w14:paraId="3FBA12EF"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516</w:t>
            </w:r>
          </w:p>
        </w:tc>
        <w:tc>
          <w:tcPr>
            <w:tcW w:w="2422" w:type="dxa"/>
          </w:tcPr>
          <w:p w14:paraId="6075242D"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Temperature</w:t>
            </w:r>
          </w:p>
        </w:tc>
      </w:tr>
      <w:tr w:rsidR="008F0216" w14:paraId="608C2ADD" w14:textId="77777777" w:rsidTr="00D72B0A">
        <w:tc>
          <w:tcPr>
            <w:tcW w:w="2404" w:type="dxa"/>
          </w:tcPr>
          <w:p w14:paraId="720F6867"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Rose et al 2001</w:t>
            </w:r>
          </w:p>
        </w:tc>
        <w:tc>
          <w:tcPr>
            <w:tcW w:w="2377" w:type="dxa"/>
          </w:tcPr>
          <w:p w14:paraId="54252650"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Bangladesh and Peru</w:t>
            </w:r>
          </w:p>
        </w:tc>
        <w:tc>
          <w:tcPr>
            <w:tcW w:w="2147" w:type="dxa"/>
          </w:tcPr>
          <w:p w14:paraId="303B9E4F"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492</w:t>
            </w:r>
          </w:p>
        </w:tc>
        <w:tc>
          <w:tcPr>
            <w:tcW w:w="2422" w:type="dxa"/>
          </w:tcPr>
          <w:p w14:paraId="7A350EF8"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Temperature</w:t>
            </w:r>
          </w:p>
        </w:tc>
      </w:tr>
      <w:tr w:rsidR="008F0216" w14:paraId="6278435C" w14:textId="77777777" w:rsidTr="00D72B0A">
        <w:tc>
          <w:tcPr>
            <w:tcW w:w="2404" w:type="dxa"/>
          </w:tcPr>
          <w:p w14:paraId="7C555A57"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Huq et al 2005</w:t>
            </w:r>
          </w:p>
        </w:tc>
        <w:tc>
          <w:tcPr>
            <w:tcW w:w="2377" w:type="dxa"/>
          </w:tcPr>
          <w:p w14:paraId="7177B7AF"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Bangladesh</w:t>
            </w:r>
          </w:p>
        </w:tc>
        <w:tc>
          <w:tcPr>
            <w:tcW w:w="2147" w:type="dxa"/>
          </w:tcPr>
          <w:p w14:paraId="18CEACFD"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342</w:t>
            </w:r>
          </w:p>
        </w:tc>
        <w:tc>
          <w:tcPr>
            <w:tcW w:w="2422" w:type="dxa"/>
          </w:tcPr>
          <w:p w14:paraId="4BCF157D"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Temperature, Rainfall</w:t>
            </w:r>
          </w:p>
        </w:tc>
      </w:tr>
      <w:tr w:rsidR="008F0216" w14:paraId="6BE501E2" w14:textId="77777777" w:rsidTr="00D72B0A">
        <w:tc>
          <w:tcPr>
            <w:tcW w:w="2404" w:type="dxa"/>
          </w:tcPr>
          <w:p w14:paraId="3ABD104A"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Griffith et al 2006</w:t>
            </w:r>
          </w:p>
        </w:tc>
        <w:tc>
          <w:tcPr>
            <w:tcW w:w="2377" w:type="dxa"/>
          </w:tcPr>
          <w:p w14:paraId="0226C7FE"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Africa</w:t>
            </w:r>
          </w:p>
        </w:tc>
        <w:tc>
          <w:tcPr>
            <w:tcW w:w="2147" w:type="dxa"/>
          </w:tcPr>
          <w:p w14:paraId="24D31E56"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252</w:t>
            </w:r>
          </w:p>
        </w:tc>
        <w:tc>
          <w:tcPr>
            <w:tcW w:w="2422" w:type="dxa"/>
          </w:tcPr>
          <w:p w14:paraId="523F9286"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Rainfall</w:t>
            </w:r>
          </w:p>
        </w:tc>
      </w:tr>
      <w:tr w:rsidR="008F0216" w14:paraId="737E6F62" w14:textId="77777777" w:rsidTr="00D72B0A">
        <w:tc>
          <w:tcPr>
            <w:tcW w:w="2404" w:type="dxa"/>
          </w:tcPr>
          <w:p w14:paraId="4B8627D2"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Louis et al 2003</w:t>
            </w:r>
          </w:p>
        </w:tc>
        <w:tc>
          <w:tcPr>
            <w:tcW w:w="2377" w:type="dxa"/>
          </w:tcPr>
          <w:p w14:paraId="74B292B4"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USA</w:t>
            </w:r>
          </w:p>
        </w:tc>
        <w:tc>
          <w:tcPr>
            <w:tcW w:w="2147" w:type="dxa"/>
          </w:tcPr>
          <w:p w14:paraId="01B3076B"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214</w:t>
            </w:r>
          </w:p>
        </w:tc>
        <w:tc>
          <w:tcPr>
            <w:tcW w:w="2422" w:type="dxa"/>
          </w:tcPr>
          <w:p w14:paraId="4C304972"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Rainfall, Temperature</w:t>
            </w:r>
          </w:p>
        </w:tc>
      </w:tr>
      <w:tr w:rsidR="008F0216" w14:paraId="3CE69A8B" w14:textId="77777777" w:rsidTr="00D72B0A">
        <w:tc>
          <w:tcPr>
            <w:tcW w:w="2404" w:type="dxa"/>
          </w:tcPr>
          <w:p w14:paraId="5483F2B1"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Rinaldo et al 2012</w:t>
            </w:r>
          </w:p>
        </w:tc>
        <w:tc>
          <w:tcPr>
            <w:tcW w:w="2377" w:type="dxa"/>
          </w:tcPr>
          <w:p w14:paraId="65026650"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Haiti</w:t>
            </w:r>
          </w:p>
        </w:tc>
        <w:tc>
          <w:tcPr>
            <w:tcW w:w="2147" w:type="dxa"/>
          </w:tcPr>
          <w:p w14:paraId="281BE820"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150</w:t>
            </w:r>
          </w:p>
        </w:tc>
        <w:tc>
          <w:tcPr>
            <w:tcW w:w="2422" w:type="dxa"/>
          </w:tcPr>
          <w:p w14:paraId="51A4DE07" w14:textId="77777777" w:rsidR="008F0216" w:rsidRPr="0038682D" w:rsidRDefault="008F0216" w:rsidP="00D72B0A">
            <w:pPr>
              <w:spacing w:line="480" w:lineRule="auto"/>
              <w:jc w:val="both"/>
              <w:rPr>
                <w:rFonts w:eastAsia="Times New Roman" w:cstheme="minorHAnsi"/>
              </w:rPr>
            </w:pPr>
            <w:r w:rsidRPr="0038682D">
              <w:rPr>
                <w:rFonts w:eastAsia="Times New Roman" w:cstheme="minorHAnsi"/>
              </w:rPr>
              <w:t>Rainfall</w:t>
            </w:r>
          </w:p>
        </w:tc>
      </w:tr>
    </w:tbl>
    <w:p w14:paraId="2765CCA8" w14:textId="77777777" w:rsidR="008F0216" w:rsidRDefault="008F0216"/>
    <w:sectPr w:rsidR="008F02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Q3MzQxsATSJobGZko6SsGpxcWZ+XkgBSa1AJ4Z3iIsAAAA"/>
  </w:docVars>
  <w:rsids>
    <w:rsidRoot w:val="006C64CF"/>
    <w:rsid w:val="001D267A"/>
    <w:rsid w:val="001F5EF0"/>
    <w:rsid w:val="002D5736"/>
    <w:rsid w:val="003536AC"/>
    <w:rsid w:val="0038682D"/>
    <w:rsid w:val="003D12B0"/>
    <w:rsid w:val="00696C66"/>
    <w:rsid w:val="006C64CF"/>
    <w:rsid w:val="00766D0C"/>
    <w:rsid w:val="007C5F3F"/>
    <w:rsid w:val="00831098"/>
    <w:rsid w:val="008F0216"/>
    <w:rsid w:val="00930303"/>
    <w:rsid w:val="00950EC9"/>
    <w:rsid w:val="009A2754"/>
    <w:rsid w:val="00A836A5"/>
    <w:rsid w:val="00B2505A"/>
    <w:rsid w:val="00C05A0A"/>
    <w:rsid w:val="00C4504D"/>
    <w:rsid w:val="00D160CC"/>
    <w:rsid w:val="00D256C9"/>
    <w:rsid w:val="00DD578F"/>
    <w:rsid w:val="00F37111"/>
    <w:rsid w:val="00F82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33355"/>
  <w15:chartTrackingRefBased/>
  <w15:docId w15:val="{D05640B8-B0B2-4CAC-A3A8-C7B6EA30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6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27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6564</Words>
  <Characters>37415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Usmani,Moiz</dc:creator>
  <cp:keywords/>
  <dc:description/>
  <cp:lastModifiedBy>Usmani,Moiz</cp:lastModifiedBy>
  <cp:revision>20</cp:revision>
  <dcterms:created xsi:type="dcterms:W3CDTF">2022-03-09T03:23:00Z</dcterms:created>
  <dcterms:modified xsi:type="dcterms:W3CDTF">2023-02-02T15:25:00Z</dcterms:modified>
</cp:coreProperties>
</file>