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5515B" w14:textId="699C48A8" w:rsidR="00740FE1" w:rsidRPr="00762FFB" w:rsidRDefault="00373F2C" w:rsidP="00762FFB">
      <w:pPr>
        <w:spacing w:after="120" w:line="360" w:lineRule="auto"/>
        <w:rPr>
          <w:rFonts w:ascii="Arial" w:hAnsi="Arial" w:cs="Arial"/>
          <w:b/>
          <w:sz w:val="20"/>
          <w:szCs w:val="20"/>
        </w:rPr>
      </w:pPr>
      <w:bookmarkStart w:id="0" w:name="_GoBack"/>
      <w:bookmarkEnd w:id="0"/>
      <w:r w:rsidRPr="00762FFB">
        <w:rPr>
          <w:rFonts w:ascii="Arial" w:hAnsi="Arial" w:cs="Arial"/>
          <w:b/>
          <w:sz w:val="20"/>
          <w:szCs w:val="20"/>
        </w:rPr>
        <w:t>Appendix C</w:t>
      </w:r>
      <w:r w:rsidR="00740FE1" w:rsidRPr="00762FFB">
        <w:rPr>
          <w:rFonts w:ascii="Arial" w:hAnsi="Arial" w:cs="Arial"/>
          <w:b/>
          <w:sz w:val="20"/>
          <w:szCs w:val="20"/>
        </w:rPr>
        <w:t>: Descriptio</w:t>
      </w:r>
      <w:r w:rsidR="00E078DE" w:rsidRPr="00762FFB">
        <w:rPr>
          <w:rFonts w:ascii="Arial" w:hAnsi="Arial" w:cs="Arial"/>
          <w:b/>
          <w:sz w:val="20"/>
          <w:szCs w:val="20"/>
        </w:rPr>
        <w:t>n of all statistical indices,</w:t>
      </w:r>
      <w:r w:rsidR="00740FE1" w:rsidRPr="00762FFB">
        <w:rPr>
          <w:rFonts w:ascii="Arial" w:hAnsi="Arial" w:cs="Arial"/>
          <w:b/>
          <w:sz w:val="20"/>
          <w:szCs w:val="20"/>
        </w:rPr>
        <w:t xml:space="preserve"> tests</w:t>
      </w:r>
      <w:r w:rsidR="00B54A1F" w:rsidRPr="00762FFB">
        <w:rPr>
          <w:rFonts w:ascii="Arial" w:hAnsi="Arial" w:cs="Arial"/>
          <w:b/>
          <w:sz w:val="20"/>
          <w:szCs w:val="20"/>
        </w:rPr>
        <w:t>, and model evaluation</w:t>
      </w:r>
      <w:r w:rsidR="00E078DE" w:rsidRPr="00762FFB">
        <w:rPr>
          <w:rFonts w:ascii="Arial" w:hAnsi="Arial" w:cs="Arial"/>
          <w:b/>
          <w:sz w:val="20"/>
          <w:szCs w:val="20"/>
        </w:rPr>
        <w:t xml:space="preserve"> procedures</w:t>
      </w:r>
      <w:r w:rsidR="00740FE1" w:rsidRPr="00762FFB">
        <w:rPr>
          <w:rFonts w:ascii="Arial" w:hAnsi="Arial" w:cs="Arial"/>
          <w:b/>
          <w:sz w:val="20"/>
          <w:szCs w:val="20"/>
        </w:rPr>
        <w:t xml:space="preserve"> used during questionnaire validation</w:t>
      </w:r>
    </w:p>
    <w:p w14:paraId="371F0732" w14:textId="77777777" w:rsidR="00740FE1" w:rsidRPr="00762FFB" w:rsidRDefault="00740FE1" w:rsidP="00762FFB">
      <w:pPr>
        <w:spacing w:after="120" w:line="360" w:lineRule="auto"/>
        <w:rPr>
          <w:rFonts w:ascii="Arial" w:hAnsi="Arial" w:cs="Arial"/>
          <w:b/>
          <w:sz w:val="20"/>
          <w:szCs w:val="20"/>
        </w:rPr>
      </w:pPr>
      <w:r w:rsidRPr="00762FFB">
        <w:rPr>
          <w:rFonts w:ascii="Arial" w:hAnsi="Arial" w:cs="Arial"/>
          <w:b/>
          <w:sz w:val="20"/>
          <w:szCs w:val="20"/>
        </w:rPr>
        <w:t>Construct validity</w:t>
      </w:r>
    </w:p>
    <w:p w14:paraId="3C63DBCF" w14:textId="0303E1DE" w:rsidR="00740FE1" w:rsidRPr="00762FFB" w:rsidRDefault="000B0CA1" w:rsidP="00762FFB">
      <w:pPr>
        <w:spacing w:after="120" w:line="360" w:lineRule="auto"/>
        <w:rPr>
          <w:rFonts w:ascii="Arial" w:hAnsi="Arial" w:cs="Arial"/>
          <w:sz w:val="20"/>
          <w:szCs w:val="20"/>
        </w:rPr>
      </w:pPr>
      <w:r>
        <w:rPr>
          <w:rFonts w:ascii="Arial" w:hAnsi="Arial" w:cs="Arial"/>
          <w:b/>
          <w:sz w:val="20"/>
          <w:szCs w:val="20"/>
        </w:rPr>
        <w:t>Supplementary Table</w:t>
      </w:r>
      <w:r w:rsidR="005D2F0C" w:rsidRPr="00762FFB">
        <w:rPr>
          <w:rFonts w:ascii="Arial" w:hAnsi="Arial" w:cs="Arial"/>
          <w:b/>
          <w:sz w:val="20"/>
          <w:szCs w:val="20"/>
        </w:rPr>
        <w:t xml:space="preserve"> </w:t>
      </w:r>
      <w:r w:rsidR="00373F2C" w:rsidRPr="00762FFB">
        <w:rPr>
          <w:rFonts w:ascii="Arial" w:hAnsi="Arial" w:cs="Arial"/>
          <w:b/>
          <w:sz w:val="20"/>
          <w:szCs w:val="20"/>
        </w:rPr>
        <w:t>C.</w:t>
      </w:r>
      <w:r w:rsidR="005D2F0C" w:rsidRPr="00762FFB">
        <w:rPr>
          <w:rFonts w:ascii="Arial" w:hAnsi="Arial" w:cs="Arial"/>
          <w:b/>
          <w:sz w:val="20"/>
          <w:szCs w:val="20"/>
        </w:rPr>
        <w:t>1.</w:t>
      </w:r>
      <w:r w:rsidR="005D2F0C" w:rsidRPr="00762FFB">
        <w:rPr>
          <w:rFonts w:ascii="Arial" w:hAnsi="Arial" w:cs="Arial"/>
          <w:sz w:val="20"/>
          <w:szCs w:val="20"/>
        </w:rPr>
        <w:t xml:space="preserve"> </w:t>
      </w:r>
      <w:r w:rsidR="004C7A9B" w:rsidRPr="00762FFB">
        <w:rPr>
          <w:rFonts w:ascii="Arial" w:hAnsi="Arial" w:cs="Arial"/>
          <w:sz w:val="20"/>
          <w:szCs w:val="20"/>
        </w:rPr>
        <w:t>Descriptions of a</w:t>
      </w:r>
      <w:r w:rsidR="00A82517" w:rsidRPr="00762FFB">
        <w:rPr>
          <w:rFonts w:ascii="Arial" w:hAnsi="Arial" w:cs="Arial"/>
          <w:sz w:val="20"/>
          <w:szCs w:val="20"/>
        </w:rPr>
        <w:t xml:space="preserve">ll model fit indices </w:t>
      </w:r>
      <w:r w:rsidR="004C7A9B" w:rsidRPr="00762FFB">
        <w:rPr>
          <w:rFonts w:ascii="Arial" w:hAnsi="Arial" w:cs="Arial"/>
          <w:sz w:val="20"/>
          <w:szCs w:val="20"/>
        </w:rPr>
        <w:t>we used</w:t>
      </w:r>
      <w:r w:rsidR="00740FE1" w:rsidRPr="00762FFB">
        <w:rPr>
          <w:rFonts w:ascii="Arial" w:hAnsi="Arial" w:cs="Arial"/>
          <w:sz w:val="20"/>
          <w:szCs w:val="20"/>
        </w:rPr>
        <w:t xml:space="preserve"> to describe </w:t>
      </w:r>
      <w:r w:rsidR="00D7166E" w:rsidRPr="00762FFB">
        <w:rPr>
          <w:rFonts w:ascii="Arial" w:hAnsi="Arial" w:cs="Arial"/>
          <w:sz w:val="20"/>
          <w:szCs w:val="20"/>
        </w:rPr>
        <w:t>model fit of each structural</w:t>
      </w:r>
      <w:r w:rsidR="00362099" w:rsidRPr="00762FFB">
        <w:rPr>
          <w:rFonts w:ascii="Arial" w:hAnsi="Arial" w:cs="Arial"/>
          <w:sz w:val="20"/>
          <w:szCs w:val="20"/>
        </w:rPr>
        <w:t xml:space="preserve"> model </w:t>
      </w:r>
      <w:r w:rsidR="00D7166E" w:rsidRPr="00762FFB">
        <w:rPr>
          <w:rFonts w:ascii="Arial" w:hAnsi="Arial" w:cs="Arial"/>
          <w:sz w:val="20"/>
          <w:szCs w:val="20"/>
        </w:rPr>
        <w:t>assessed duri</w:t>
      </w:r>
      <w:r w:rsidR="005D2F0C" w:rsidRPr="00762FFB">
        <w:rPr>
          <w:rFonts w:ascii="Arial" w:hAnsi="Arial" w:cs="Arial"/>
          <w:sz w:val="20"/>
          <w:szCs w:val="20"/>
        </w:rPr>
        <w:t>ng confirmatory factor analysis</w:t>
      </w:r>
      <w:r w:rsidR="004C7A9B" w:rsidRPr="00762FFB">
        <w:rPr>
          <w:rFonts w:ascii="Arial" w:hAnsi="Arial" w:cs="Arial"/>
          <w:sz w:val="20"/>
          <w:szCs w:val="20"/>
        </w:rPr>
        <w:t>.</w:t>
      </w:r>
    </w:p>
    <w:tbl>
      <w:tblPr>
        <w:tblStyle w:val="TableGrid"/>
        <w:tblW w:w="0" w:type="auto"/>
        <w:tblLook w:val="04A0" w:firstRow="1" w:lastRow="0" w:firstColumn="1" w:lastColumn="0" w:noHBand="0" w:noVBand="1"/>
      </w:tblPr>
      <w:tblGrid>
        <w:gridCol w:w="1628"/>
        <w:gridCol w:w="1350"/>
        <w:gridCol w:w="3988"/>
        <w:gridCol w:w="2096"/>
      </w:tblGrid>
      <w:tr w:rsidR="00D16AD6" w:rsidRPr="00762FFB" w14:paraId="05DEC1FE" w14:textId="77777777" w:rsidTr="00762FFB">
        <w:tc>
          <w:tcPr>
            <w:tcW w:w="1628" w:type="dxa"/>
          </w:tcPr>
          <w:p w14:paraId="5DF47B73" w14:textId="77777777" w:rsidR="00D16AD6" w:rsidRPr="00762FFB" w:rsidRDefault="00D16AD6" w:rsidP="00762FFB">
            <w:pPr>
              <w:rPr>
                <w:rFonts w:ascii="Arial" w:hAnsi="Arial" w:cs="Arial"/>
                <w:b/>
                <w:sz w:val="20"/>
                <w:szCs w:val="20"/>
              </w:rPr>
            </w:pPr>
            <w:r w:rsidRPr="00762FFB">
              <w:rPr>
                <w:rFonts w:ascii="Arial" w:hAnsi="Arial" w:cs="Arial"/>
                <w:b/>
                <w:sz w:val="20"/>
                <w:szCs w:val="20"/>
              </w:rPr>
              <w:t>Model fit index</w:t>
            </w:r>
          </w:p>
        </w:tc>
        <w:tc>
          <w:tcPr>
            <w:tcW w:w="1344" w:type="dxa"/>
          </w:tcPr>
          <w:p w14:paraId="0730D029" w14:textId="77777777" w:rsidR="00D16AD6" w:rsidRPr="00762FFB" w:rsidRDefault="00D16AD6" w:rsidP="00762FFB">
            <w:pPr>
              <w:rPr>
                <w:rFonts w:ascii="Arial" w:hAnsi="Arial" w:cs="Arial"/>
                <w:b/>
                <w:sz w:val="20"/>
                <w:szCs w:val="20"/>
              </w:rPr>
            </w:pPr>
            <w:r w:rsidRPr="00762FFB">
              <w:rPr>
                <w:rFonts w:ascii="Arial" w:hAnsi="Arial" w:cs="Arial"/>
                <w:b/>
                <w:sz w:val="20"/>
                <w:szCs w:val="20"/>
              </w:rPr>
              <w:t>Category</w:t>
            </w:r>
          </w:p>
        </w:tc>
        <w:tc>
          <w:tcPr>
            <w:tcW w:w="3993" w:type="dxa"/>
          </w:tcPr>
          <w:p w14:paraId="76AE5F27" w14:textId="77777777" w:rsidR="00D16AD6" w:rsidRPr="00762FFB" w:rsidRDefault="00D16AD6" w:rsidP="00762FFB">
            <w:pPr>
              <w:rPr>
                <w:rFonts w:ascii="Arial" w:hAnsi="Arial" w:cs="Arial"/>
                <w:b/>
                <w:sz w:val="20"/>
                <w:szCs w:val="20"/>
              </w:rPr>
            </w:pPr>
            <w:r w:rsidRPr="00762FFB">
              <w:rPr>
                <w:rFonts w:ascii="Arial" w:hAnsi="Arial" w:cs="Arial"/>
                <w:b/>
                <w:sz w:val="20"/>
                <w:szCs w:val="20"/>
              </w:rPr>
              <w:t>Description</w:t>
            </w:r>
          </w:p>
        </w:tc>
        <w:tc>
          <w:tcPr>
            <w:tcW w:w="2097" w:type="dxa"/>
          </w:tcPr>
          <w:p w14:paraId="1A854618" w14:textId="77777777" w:rsidR="00D16AD6" w:rsidRPr="00762FFB" w:rsidRDefault="00D16AD6" w:rsidP="00762FFB">
            <w:pPr>
              <w:rPr>
                <w:rFonts w:ascii="Arial" w:hAnsi="Arial" w:cs="Arial"/>
                <w:b/>
                <w:sz w:val="20"/>
                <w:szCs w:val="20"/>
              </w:rPr>
            </w:pPr>
            <w:r w:rsidRPr="00762FFB">
              <w:rPr>
                <w:rFonts w:ascii="Arial" w:hAnsi="Arial" w:cs="Arial"/>
                <w:b/>
                <w:sz w:val="20"/>
                <w:szCs w:val="20"/>
              </w:rPr>
              <w:t>Interpretation</w:t>
            </w:r>
          </w:p>
        </w:tc>
      </w:tr>
      <w:tr w:rsidR="00B667F5" w:rsidRPr="00762FFB" w14:paraId="06D23B91" w14:textId="77777777" w:rsidTr="00762FFB">
        <w:tc>
          <w:tcPr>
            <w:tcW w:w="1628" w:type="dxa"/>
          </w:tcPr>
          <w:p w14:paraId="4DC4D463" w14:textId="77777777" w:rsidR="00B667F5" w:rsidRPr="00762FFB" w:rsidRDefault="00B667F5" w:rsidP="00762FFB">
            <w:pPr>
              <w:rPr>
                <w:rFonts w:ascii="Arial" w:hAnsi="Arial" w:cs="Arial"/>
                <w:b/>
                <w:sz w:val="20"/>
                <w:szCs w:val="20"/>
              </w:rPr>
            </w:pPr>
            <w:r w:rsidRPr="00762FFB">
              <w:rPr>
                <w:rFonts w:ascii="Arial" w:hAnsi="Arial" w:cs="Arial"/>
                <w:b/>
                <w:sz w:val="20"/>
                <w:szCs w:val="20"/>
              </w:rPr>
              <w:t>Root Mean Square Error of Approximation (RMSEA)</w:t>
            </w:r>
          </w:p>
        </w:tc>
        <w:tc>
          <w:tcPr>
            <w:tcW w:w="1344" w:type="dxa"/>
          </w:tcPr>
          <w:p w14:paraId="1314ACC4" w14:textId="77777777" w:rsidR="00B667F5" w:rsidRPr="00762FFB" w:rsidRDefault="00B667F5" w:rsidP="00762FFB">
            <w:pPr>
              <w:rPr>
                <w:rFonts w:ascii="Arial" w:hAnsi="Arial" w:cs="Arial"/>
                <w:sz w:val="20"/>
                <w:szCs w:val="20"/>
              </w:rPr>
            </w:pPr>
            <w:r w:rsidRPr="00762FFB">
              <w:rPr>
                <w:rFonts w:ascii="Arial" w:hAnsi="Arial" w:cs="Arial"/>
                <w:sz w:val="20"/>
                <w:szCs w:val="20"/>
              </w:rPr>
              <w:t>Parsimony correction index</w:t>
            </w:r>
          </w:p>
        </w:tc>
        <w:tc>
          <w:tcPr>
            <w:tcW w:w="3993" w:type="dxa"/>
          </w:tcPr>
          <w:p w14:paraId="1B3483AB" w14:textId="77777777" w:rsidR="00B667F5" w:rsidRPr="00762FFB" w:rsidRDefault="00B667F5" w:rsidP="00762FFB">
            <w:pPr>
              <w:rPr>
                <w:rFonts w:ascii="Arial" w:hAnsi="Arial" w:cs="Arial"/>
                <w:sz w:val="20"/>
                <w:szCs w:val="20"/>
              </w:rPr>
            </w:pPr>
            <w:r w:rsidRPr="00762FFB">
              <w:rPr>
                <w:rFonts w:ascii="Arial" w:hAnsi="Arial" w:cs="Arial"/>
                <w:sz w:val="20"/>
                <w:szCs w:val="20"/>
              </w:rPr>
              <w:t>Incorporates a penalty function for poor model parsimony (i.e. number of freely estimated parameters as expressed by model</w:t>
            </w:r>
            <w:r w:rsidR="004D369E" w:rsidRPr="00762FFB">
              <w:rPr>
                <w:rFonts w:ascii="Arial" w:hAnsi="Arial" w:cs="Arial"/>
                <w:sz w:val="20"/>
                <w:szCs w:val="20"/>
              </w:rPr>
              <w:t xml:space="preserve"> degrees of freedom</w:t>
            </w:r>
            <w:r w:rsidRPr="00762FFB">
              <w:rPr>
                <w:rFonts w:ascii="Arial" w:hAnsi="Arial" w:cs="Arial"/>
                <w:sz w:val="20"/>
                <w:szCs w:val="20"/>
              </w:rPr>
              <w:t xml:space="preserve"> </w:t>
            </w:r>
            <w:r w:rsidR="004D369E" w:rsidRPr="00762FFB">
              <w:rPr>
                <w:rFonts w:ascii="Arial" w:hAnsi="Arial" w:cs="Arial"/>
                <w:sz w:val="20"/>
                <w:szCs w:val="20"/>
              </w:rPr>
              <w:t>(</w:t>
            </w:r>
            <w:proofErr w:type="spellStart"/>
            <w:r w:rsidRPr="00762FFB">
              <w:rPr>
                <w:rFonts w:ascii="Arial" w:hAnsi="Arial" w:cs="Arial"/>
                <w:i/>
                <w:sz w:val="20"/>
                <w:szCs w:val="20"/>
              </w:rPr>
              <w:t>df</w:t>
            </w:r>
            <w:proofErr w:type="spellEnd"/>
            <w:r w:rsidRPr="00762FFB">
              <w:rPr>
                <w:rFonts w:ascii="Arial" w:hAnsi="Arial" w:cs="Arial"/>
                <w:sz w:val="20"/>
                <w:szCs w:val="20"/>
              </w:rPr>
              <w:t xml:space="preserve">). Also called the </w:t>
            </w:r>
            <w:r w:rsidRPr="00762FFB">
              <w:rPr>
                <w:rFonts w:ascii="Arial" w:hAnsi="Arial" w:cs="Arial"/>
                <w:i/>
                <w:sz w:val="20"/>
                <w:szCs w:val="20"/>
              </w:rPr>
              <w:t>error of approximation index</w:t>
            </w:r>
            <w:r w:rsidRPr="00762FFB">
              <w:rPr>
                <w:rFonts w:ascii="Arial" w:hAnsi="Arial" w:cs="Arial"/>
                <w:sz w:val="20"/>
                <w:szCs w:val="20"/>
              </w:rPr>
              <w:t xml:space="preserve"> because it assesses the extent to which a model fits reasonably well in the population (instead of assessing whether the model holds exactly in the population). Insensitive to sample size, sensitive to the number of model parameters. Range is above 0. Upper range is unbounded, but RMSEA values rarely go above 1.</w:t>
            </w:r>
          </w:p>
        </w:tc>
        <w:tc>
          <w:tcPr>
            <w:tcW w:w="2097" w:type="dxa"/>
          </w:tcPr>
          <w:p w14:paraId="48ABEDE5" w14:textId="77777777" w:rsidR="00B667F5" w:rsidRPr="00762FFB" w:rsidRDefault="00B667F5" w:rsidP="00762FFB">
            <w:pPr>
              <w:rPr>
                <w:rFonts w:ascii="Arial" w:hAnsi="Arial" w:cs="Arial"/>
                <w:sz w:val="20"/>
                <w:szCs w:val="20"/>
              </w:rPr>
            </w:pPr>
            <w:r w:rsidRPr="00762FFB">
              <w:rPr>
                <w:rFonts w:ascii="Arial" w:hAnsi="Arial" w:cs="Arial"/>
                <w:sz w:val="20"/>
                <w:szCs w:val="20"/>
              </w:rPr>
              <w:t>RMSEA values of 0 indicate perfect fit, while values closer to 1 imply good model fit.</w:t>
            </w:r>
            <w:r w:rsidR="00E75512" w:rsidRPr="00762FFB">
              <w:rPr>
                <w:rFonts w:ascii="Arial" w:hAnsi="Arial" w:cs="Arial"/>
                <w:sz w:val="20"/>
                <w:szCs w:val="20"/>
              </w:rPr>
              <w:t xml:space="preserve"> It is recommended to include the 95% confidence interval when reporting and interpreting the RMSEA.</w:t>
            </w:r>
          </w:p>
        </w:tc>
      </w:tr>
      <w:tr w:rsidR="00B667F5" w:rsidRPr="00762FFB" w14:paraId="684747FB" w14:textId="77777777" w:rsidTr="00762FFB">
        <w:tc>
          <w:tcPr>
            <w:tcW w:w="1628" w:type="dxa"/>
          </w:tcPr>
          <w:p w14:paraId="4A43E731" w14:textId="77777777" w:rsidR="00B667F5" w:rsidRPr="00762FFB" w:rsidRDefault="00B667F5" w:rsidP="00762FFB">
            <w:pPr>
              <w:rPr>
                <w:rFonts w:ascii="Arial" w:hAnsi="Arial" w:cs="Arial"/>
                <w:b/>
                <w:sz w:val="20"/>
                <w:szCs w:val="20"/>
              </w:rPr>
            </w:pPr>
            <w:r w:rsidRPr="00762FFB">
              <w:rPr>
                <w:rFonts w:ascii="Arial" w:hAnsi="Arial" w:cs="Arial"/>
                <w:b/>
                <w:sz w:val="20"/>
                <w:szCs w:val="20"/>
              </w:rPr>
              <w:t>Standardized Root Mean Squared Residual (SRMR)</w:t>
            </w:r>
          </w:p>
        </w:tc>
        <w:tc>
          <w:tcPr>
            <w:tcW w:w="1344" w:type="dxa"/>
          </w:tcPr>
          <w:p w14:paraId="2A092183" w14:textId="77777777" w:rsidR="00B667F5" w:rsidRPr="00762FFB" w:rsidRDefault="00B667F5" w:rsidP="00762FFB">
            <w:pPr>
              <w:rPr>
                <w:rFonts w:ascii="Arial" w:hAnsi="Arial" w:cs="Arial"/>
                <w:sz w:val="20"/>
                <w:szCs w:val="20"/>
              </w:rPr>
            </w:pPr>
            <w:r w:rsidRPr="00762FFB">
              <w:rPr>
                <w:rFonts w:ascii="Arial" w:hAnsi="Arial" w:cs="Arial"/>
                <w:sz w:val="20"/>
                <w:szCs w:val="20"/>
              </w:rPr>
              <w:t>Absolute fit index</w:t>
            </w:r>
          </w:p>
        </w:tc>
        <w:tc>
          <w:tcPr>
            <w:tcW w:w="3993" w:type="dxa"/>
          </w:tcPr>
          <w:p w14:paraId="3B5768D8" w14:textId="77777777" w:rsidR="00B667F5" w:rsidRPr="00762FFB" w:rsidRDefault="00B667F5" w:rsidP="00762FFB">
            <w:pPr>
              <w:rPr>
                <w:rFonts w:ascii="Arial" w:hAnsi="Arial" w:cs="Arial"/>
                <w:sz w:val="20"/>
                <w:szCs w:val="20"/>
              </w:rPr>
            </w:pPr>
            <w:r w:rsidRPr="00762FFB">
              <w:rPr>
                <w:rFonts w:ascii="Arial" w:hAnsi="Arial" w:cs="Arial"/>
                <w:sz w:val="20"/>
                <w:szCs w:val="20"/>
              </w:rPr>
              <w:t xml:space="preserve">Evaluates how well the model estimates reproduce sample variances and </w:t>
            </w:r>
            <w:proofErr w:type="spellStart"/>
            <w:r w:rsidRPr="00762FFB">
              <w:rPr>
                <w:rFonts w:ascii="Arial" w:hAnsi="Arial" w:cs="Arial"/>
                <w:sz w:val="20"/>
                <w:szCs w:val="20"/>
              </w:rPr>
              <w:t>covariances</w:t>
            </w:r>
            <w:proofErr w:type="spellEnd"/>
            <w:r w:rsidRPr="00762FFB">
              <w:rPr>
                <w:rFonts w:ascii="Arial" w:hAnsi="Arial" w:cs="Arial"/>
                <w:sz w:val="20"/>
                <w:szCs w:val="20"/>
              </w:rPr>
              <w:t>.</w:t>
            </w:r>
            <w:r w:rsidR="00DA1921" w:rsidRPr="00762FFB">
              <w:rPr>
                <w:rFonts w:ascii="Arial" w:hAnsi="Arial" w:cs="Arial"/>
                <w:sz w:val="20"/>
                <w:szCs w:val="20"/>
              </w:rPr>
              <w:t xml:space="preserve"> Range of values 0-1.</w:t>
            </w:r>
          </w:p>
        </w:tc>
        <w:tc>
          <w:tcPr>
            <w:tcW w:w="2097" w:type="dxa"/>
          </w:tcPr>
          <w:p w14:paraId="235E0089" w14:textId="77777777" w:rsidR="00B667F5" w:rsidRPr="00762FFB" w:rsidRDefault="00DA1921" w:rsidP="00762FFB">
            <w:pPr>
              <w:rPr>
                <w:rFonts w:ascii="Arial" w:hAnsi="Arial" w:cs="Arial"/>
                <w:sz w:val="20"/>
                <w:szCs w:val="20"/>
              </w:rPr>
            </w:pPr>
            <w:r w:rsidRPr="00762FFB">
              <w:rPr>
                <w:rFonts w:ascii="Arial" w:hAnsi="Arial" w:cs="Arial"/>
                <w:sz w:val="20"/>
                <w:szCs w:val="20"/>
              </w:rPr>
              <w:t>Values closer to 0 imply good model fit.</w:t>
            </w:r>
          </w:p>
        </w:tc>
      </w:tr>
      <w:tr w:rsidR="00B667F5" w:rsidRPr="00762FFB" w14:paraId="0E90403E" w14:textId="77777777" w:rsidTr="00762FFB">
        <w:tc>
          <w:tcPr>
            <w:tcW w:w="1628" w:type="dxa"/>
          </w:tcPr>
          <w:p w14:paraId="11A15B94" w14:textId="77777777" w:rsidR="00B667F5" w:rsidRPr="00762FFB" w:rsidRDefault="00B667F5" w:rsidP="00762FFB">
            <w:pPr>
              <w:rPr>
                <w:rFonts w:ascii="Arial" w:hAnsi="Arial" w:cs="Arial"/>
                <w:b/>
                <w:sz w:val="20"/>
                <w:szCs w:val="20"/>
              </w:rPr>
            </w:pPr>
            <w:r w:rsidRPr="00762FFB">
              <w:rPr>
                <w:rFonts w:ascii="Arial" w:hAnsi="Arial" w:cs="Arial"/>
                <w:b/>
                <w:sz w:val="20"/>
                <w:szCs w:val="20"/>
              </w:rPr>
              <w:t>Comparative Fit index (CFI)</w:t>
            </w:r>
          </w:p>
        </w:tc>
        <w:tc>
          <w:tcPr>
            <w:tcW w:w="1344" w:type="dxa"/>
          </w:tcPr>
          <w:p w14:paraId="7642E5C0" w14:textId="77777777" w:rsidR="00B667F5" w:rsidRPr="00762FFB" w:rsidRDefault="00B667F5" w:rsidP="00762FFB">
            <w:pPr>
              <w:rPr>
                <w:rFonts w:ascii="Arial" w:hAnsi="Arial" w:cs="Arial"/>
                <w:sz w:val="20"/>
                <w:szCs w:val="20"/>
              </w:rPr>
            </w:pPr>
            <w:r w:rsidRPr="00762FFB">
              <w:rPr>
                <w:rFonts w:ascii="Arial" w:hAnsi="Arial" w:cs="Arial"/>
                <w:sz w:val="20"/>
                <w:szCs w:val="20"/>
              </w:rPr>
              <w:t>Comparative fit index</w:t>
            </w:r>
          </w:p>
        </w:tc>
        <w:tc>
          <w:tcPr>
            <w:tcW w:w="3993" w:type="dxa"/>
          </w:tcPr>
          <w:p w14:paraId="7F74DE4C" w14:textId="77777777" w:rsidR="00B667F5" w:rsidRPr="00762FFB" w:rsidRDefault="00B667F5" w:rsidP="00762FFB">
            <w:pPr>
              <w:rPr>
                <w:rFonts w:ascii="Arial" w:hAnsi="Arial" w:cs="Arial"/>
                <w:sz w:val="20"/>
                <w:szCs w:val="20"/>
              </w:rPr>
            </w:pPr>
            <w:r w:rsidRPr="00762FFB">
              <w:rPr>
                <w:rFonts w:ascii="Arial" w:hAnsi="Arial" w:cs="Arial"/>
                <w:sz w:val="20"/>
                <w:szCs w:val="20"/>
              </w:rPr>
              <w:t>Evaluates the fit of a user-specified solution in relation to a more restricted, nested baseline model. Range of values 0-1.</w:t>
            </w:r>
          </w:p>
        </w:tc>
        <w:tc>
          <w:tcPr>
            <w:tcW w:w="2097" w:type="dxa"/>
          </w:tcPr>
          <w:p w14:paraId="41810B03" w14:textId="77777777" w:rsidR="00B667F5" w:rsidRPr="00762FFB" w:rsidRDefault="00B667F5" w:rsidP="00762FFB">
            <w:pPr>
              <w:rPr>
                <w:rFonts w:ascii="Arial" w:hAnsi="Arial" w:cs="Arial"/>
                <w:sz w:val="20"/>
                <w:szCs w:val="20"/>
              </w:rPr>
            </w:pPr>
            <w:r w:rsidRPr="00762FFB">
              <w:rPr>
                <w:rFonts w:ascii="Arial" w:hAnsi="Arial" w:cs="Arial"/>
                <w:sz w:val="20"/>
                <w:szCs w:val="20"/>
              </w:rPr>
              <w:t xml:space="preserve">Values closer to 1 imply good model fit. </w:t>
            </w:r>
          </w:p>
        </w:tc>
      </w:tr>
      <w:tr w:rsidR="00B667F5" w:rsidRPr="00762FFB" w14:paraId="3C2842F0" w14:textId="77777777" w:rsidTr="00762FFB">
        <w:tc>
          <w:tcPr>
            <w:tcW w:w="1628" w:type="dxa"/>
          </w:tcPr>
          <w:p w14:paraId="4EFD4F4F" w14:textId="77777777" w:rsidR="00B667F5" w:rsidRPr="00762FFB" w:rsidRDefault="00B667F5" w:rsidP="00762FFB">
            <w:pPr>
              <w:rPr>
                <w:rFonts w:ascii="Arial" w:hAnsi="Arial" w:cs="Arial"/>
                <w:b/>
                <w:sz w:val="20"/>
                <w:szCs w:val="20"/>
              </w:rPr>
            </w:pPr>
            <w:r w:rsidRPr="00762FFB">
              <w:rPr>
                <w:rFonts w:ascii="Arial" w:hAnsi="Arial" w:cs="Arial"/>
                <w:b/>
                <w:sz w:val="20"/>
                <w:szCs w:val="20"/>
              </w:rPr>
              <w:t>Tucker-Lewis Index (TLI)</w:t>
            </w:r>
          </w:p>
        </w:tc>
        <w:tc>
          <w:tcPr>
            <w:tcW w:w="1344" w:type="dxa"/>
          </w:tcPr>
          <w:p w14:paraId="66D859CC" w14:textId="77777777" w:rsidR="00B667F5" w:rsidRPr="00762FFB" w:rsidRDefault="00B667F5" w:rsidP="00762FFB">
            <w:pPr>
              <w:rPr>
                <w:rFonts w:ascii="Arial" w:hAnsi="Arial" w:cs="Arial"/>
                <w:sz w:val="20"/>
                <w:szCs w:val="20"/>
              </w:rPr>
            </w:pPr>
            <w:r w:rsidRPr="00762FFB">
              <w:rPr>
                <w:rFonts w:ascii="Arial" w:hAnsi="Arial" w:cs="Arial"/>
                <w:sz w:val="20"/>
                <w:szCs w:val="20"/>
              </w:rPr>
              <w:t>Comparative fit index</w:t>
            </w:r>
          </w:p>
        </w:tc>
        <w:tc>
          <w:tcPr>
            <w:tcW w:w="3993" w:type="dxa"/>
          </w:tcPr>
          <w:p w14:paraId="14F9C79F" w14:textId="77777777" w:rsidR="00B667F5" w:rsidRPr="00762FFB" w:rsidRDefault="00B667F5" w:rsidP="00762FFB">
            <w:pPr>
              <w:rPr>
                <w:rFonts w:ascii="Arial" w:hAnsi="Arial" w:cs="Arial"/>
                <w:sz w:val="20"/>
                <w:szCs w:val="20"/>
              </w:rPr>
            </w:pPr>
            <w:r w:rsidRPr="00762FFB">
              <w:rPr>
                <w:rFonts w:ascii="Arial" w:hAnsi="Arial" w:cs="Arial"/>
                <w:sz w:val="20"/>
                <w:szCs w:val="20"/>
              </w:rPr>
              <w:t xml:space="preserve">Evaluates the fit of a user-specified solution in relation to a more restricted, nested baseline model. Sometimes referred to as the </w:t>
            </w:r>
            <w:r w:rsidRPr="00762FFB">
              <w:rPr>
                <w:rFonts w:ascii="Arial" w:hAnsi="Arial" w:cs="Arial"/>
                <w:i/>
                <w:sz w:val="20"/>
                <w:szCs w:val="20"/>
              </w:rPr>
              <w:t>non-normed fit index</w:t>
            </w:r>
            <w:r w:rsidRPr="00762FFB">
              <w:rPr>
                <w:rFonts w:ascii="Arial" w:hAnsi="Arial" w:cs="Arial"/>
                <w:sz w:val="20"/>
                <w:szCs w:val="20"/>
              </w:rPr>
              <w:t>, because its values can fall outside the range of 0-1. Includes a penalty function for adding freely estimated parameters that do not markedly improve the fit of the model.</w:t>
            </w:r>
          </w:p>
        </w:tc>
        <w:tc>
          <w:tcPr>
            <w:tcW w:w="2097" w:type="dxa"/>
          </w:tcPr>
          <w:p w14:paraId="4D6BD070" w14:textId="77777777" w:rsidR="00B667F5" w:rsidRPr="00762FFB" w:rsidRDefault="00B667F5" w:rsidP="00762FFB">
            <w:pPr>
              <w:rPr>
                <w:rFonts w:ascii="Arial" w:hAnsi="Arial" w:cs="Arial"/>
                <w:sz w:val="20"/>
                <w:szCs w:val="20"/>
              </w:rPr>
            </w:pPr>
            <w:r w:rsidRPr="00762FFB">
              <w:rPr>
                <w:rFonts w:ascii="Arial" w:hAnsi="Arial" w:cs="Arial"/>
                <w:sz w:val="20"/>
                <w:szCs w:val="20"/>
              </w:rPr>
              <w:t xml:space="preserve">Values closer to 1 imply good model fit. </w:t>
            </w:r>
          </w:p>
        </w:tc>
      </w:tr>
      <w:tr w:rsidR="00B667F5" w:rsidRPr="00762FFB" w14:paraId="21EB1C7F" w14:textId="77777777" w:rsidTr="00762FFB">
        <w:tc>
          <w:tcPr>
            <w:tcW w:w="1628" w:type="dxa"/>
          </w:tcPr>
          <w:p w14:paraId="6F9CBA64" w14:textId="77777777" w:rsidR="00B667F5" w:rsidRPr="00762FFB" w:rsidRDefault="00B667F5" w:rsidP="00762FFB">
            <w:pPr>
              <w:rPr>
                <w:rFonts w:ascii="Arial" w:hAnsi="Arial" w:cs="Arial"/>
                <w:b/>
                <w:sz w:val="20"/>
                <w:szCs w:val="20"/>
              </w:rPr>
            </w:pPr>
            <w:r w:rsidRPr="00762FFB">
              <w:rPr>
                <w:rFonts w:ascii="Arial" w:hAnsi="Arial" w:cs="Arial"/>
                <w:b/>
                <w:sz w:val="20"/>
                <w:szCs w:val="20"/>
              </w:rPr>
              <w:t>Chi-square (χ</w:t>
            </w:r>
            <w:r w:rsidRPr="00762FFB">
              <w:rPr>
                <w:rFonts w:ascii="Arial" w:hAnsi="Arial" w:cs="Arial"/>
                <w:b/>
                <w:sz w:val="20"/>
                <w:szCs w:val="20"/>
                <w:vertAlign w:val="superscript"/>
              </w:rPr>
              <w:t>2</w:t>
            </w:r>
            <w:r w:rsidRPr="00762FFB">
              <w:rPr>
                <w:rFonts w:ascii="Arial" w:hAnsi="Arial" w:cs="Arial"/>
                <w:b/>
                <w:sz w:val="20"/>
                <w:szCs w:val="20"/>
              </w:rPr>
              <w:t>)</w:t>
            </w:r>
          </w:p>
        </w:tc>
        <w:tc>
          <w:tcPr>
            <w:tcW w:w="1344" w:type="dxa"/>
          </w:tcPr>
          <w:p w14:paraId="6AA779EC" w14:textId="77777777" w:rsidR="00B667F5" w:rsidRPr="00762FFB" w:rsidRDefault="00B667F5" w:rsidP="00762FFB">
            <w:pPr>
              <w:rPr>
                <w:rFonts w:ascii="Arial" w:hAnsi="Arial" w:cs="Arial"/>
                <w:sz w:val="20"/>
                <w:szCs w:val="20"/>
              </w:rPr>
            </w:pPr>
            <w:r w:rsidRPr="00762FFB">
              <w:rPr>
                <w:rFonts w:ascii="Arial" w:hAnsi="Arial" w:cs="Arial"/>
                <w:sz w:val="20"/>
                <w:szCs w:val="20"/>
              </w:rPr>
              <w:t>Absolute fit index</w:t>
            </w:r>
          </w:p>
        </w:tc>
        <w:tc>
          <w:tcPr>
            <w:tcW w:w="3993" w:type="dxa"/>
          </w:tcPr>
          <w:p w14:paraId="35FD4CA5" w14:textId="77777777" w:rsidR="00B667F5" w:rsidRPr="00762FFB" w:rsidRDefault="00B667F5" w:rsidP="00762FFB">
            <w:pPr>
              <w:rPr>
                <w:rFonts w:ascii="Arial" w:hAnsi="Arial" w:cs="Arial"/>
                <w:sz w:val="20"/>
                <w:szCs w:val="20"/>
              </w:rPr>
            </w:pPr>
            <w:r w:rsidRPr="00762FFB">
              <w:rPr>
                <w:rFonts w:ascii="Arial" w:hAnsi="Arial" w:cs="Arial"/>
                <w:sz w:val="20"/>
                <w:szCs w:val="20"/>
              </w:rPr>
              <w:t xml:space="preserve">Evaluates how well the model estimates reproduce sample variances and </w:t>
            </w:r>
            <w:proofErr w:type="spellStart"/>
            <w:r w:rsidRPr="00762FFB">
              <w:rPr>
                <w:rFonts w:ascii="Arial" w:hAnsi="Arial" w:cs="Arial"/>
                <w:sz w:val="20"/>
                <w:szCs w:val="20"/>
              </w:rPr>
              <w:t>covariances</w:t>
            </w:r>
            <w:proofErr w:type="spellEnd"/>
            <w:r w:rsidRPr="00762FFB">
              <w:rPr>
                <w:rFonts w:ascii="Arial" w:hAnsi="Arial" w:cs="Arial"/>
                <w:sz w:val="20"/>
                <w:szCs w:val="20"/>
              </w:rPr>
              <w:t xml:space="preserve"> according to a very stringent standard (tests whether the model holds exactly in the population). Large N solutions are often rejected on the basis of the χ</w:t>
            </w:r>
            <w:r w:rsidRPr="00762FFB">
              <w:rPr>
                <w:rFonts w:ascii="Arial" w:hAnsi="Arial" w:cs="Arial"/>
                <w:sz w:val="20"/>
                <w:szCs w:val="20"/>
                <w:vertAlign w:val="superscript"/>
              </w:rPr>
              <w:t>2</w:t>
            </w:r>
            <w:r w:rsidRPr="00762FFB">
              <w:rPr>
                <w:rFonts w:ascii="Arial" w:hAnsi="Arial" w:cs="Arial"/>
                <w:sz w:val="20"/>
                <w:szCs w:val="20"/>
              </w:rPr>
              <w:t xml:space="preserve"> test (a large sample size inflates its values), therefore it is rarely used alone. Often used for nested model comparisons.</w:t>
            </w:r>
            <w:r w:rsidR="002F438B" w:rsidRPr="00762FFB">
              <w:rPr>
                <w:rFonts w:ascii="Arial" w:hAnsi="Arial" w:cs="Arial"/>
                <w:sz w:val="20"/>
                <w:szCs w:val="20"/>
              </w:rPr>
              <w:t xml:space="preserve"> Degrees of freedom (</w:t>
            </w:r>
            <w:proofErr w:type="spellStart"/>
            <w:r w:rsidR="002F438B" w:rsidRPr="00762FFB">
              <w:rPr>
                <w:rFonts w:ascii="Arial" w:hAnsi="Arial" w:cs="Arial"/>
                <w:sz w:val="20"/>
                <w:szCs w:val="20"/>
              </w:rPr>
              <w:t>df</w:t>
            </w:r>
            <w:proofErr w:type="spellEnd"/>
            <w:r w:rsidR="002F438B" w:rsidRPr="00762FFB">
              <w:rPr>
                <w:rFonts w:ascii="Arial" w:hAnsi="Arial" w:cs="Arial"/>
                <w:sz w:val="20"/>
                <w:szCs w:val="20"/>
              </w:rPr>
              <w:t>) are shown in relation to the χ</w:t>
            </w:r>
            <w:r w:rsidR="002F438B" w:rsidRPr="00762FFB">
              <w:rPr>
                <w:rFonts w:ascii="Arial" w:hAnsi="Arial" w:cs="Arial"/>
                <w:sz w:val="20"/>
                <w:szCs w:val="20"/>
                <w:vertAlign w:val="superscript"/>
              </w:rPr>
              <w:t>2</w:t>
            </w:r>
            <w:r w:rsidR="002F438B" w:rsidRPr="00762FFB">
              <w:rPr>
                <w:rFonts w:ascii="Arial" w:hAnsi="Arial" w:cs="Arial"/>
                <w:sz w:val="20"/>
                <w:szCs w:val="20"/>
              </w:rPr>
              <w:t xml:space="preserve"> value</w:t>
            </w:r>
            <w:r w:rsidR="005203C1" w:rsidRPr="00762FFB">
              <w:rPr>
                <w:rFonts w:ascii="Arial" w:hAnsi="Arial" w:cs="Arial"/>
                <w:sz w:val="20"/>
                <w:szCs w:val="20"/>
              </w:rPr>
              <w:t xml:space="preserve"> and refer to the number of values that have the freedom to vary in the data sample.</w:t>
            </w:r>
          </w:p>
        </w:tc>
        <w:tc>
          <w:tcPr>
            <w:tcW w:w="2097" w:type="dxa"/>
          </w:tcPr>
          <w:p w14:paraId="51721DB9" w14:textId="77777777" w:rsidR="00B667F5" w:rsidRPr="00762FFB" w:rsidRDefault="00B667F5" w:rsidP="00762FFB">
            <w:pPr>
              <w:rPr>
                <w:rFonts w:ascii="Arial" w:hAnsi="Arial" w:cs="Arial"/>
                <w:sz w:val="20"/>
                <w:szCs w:val="20"/>
              </w:rPr>
            </w:pPr>
            <w:r w:rsidRPr="00762FFB">
              <w:rPr>
                <w:rFonts w:ascii="Arial" w:hAnsi="Arial" w:cs="Arial"/>
                <w:sz w:val="20"/>
                <w:szCs w:val="20"/>
              </w:rPr>
              <w:t>We used</w:t>
            </w:r>
            <w:r w:rsidR="005D4040" w:rsidRPr="00762FFB">
              <w:rPr>
                <w:rFonts w:ascii="Arial" w:hAnsi="Arial" w:cs="Arial"/>
                <w:sz w:val="20"/>
                <w:szCs w:val="20"/>
              </w:rPr>
              <w:t xml:space="preserve"> χ</w:t>
            </w:r>
            <w:r w:rsidR="005D4040" w:rsidRPr="00762FFB">
              <w:rPr>
                <w:rFonts w:ascii="Arial" w:hAnsi="Arial" w:cs="Arial"/>
                <w:sz w:val="20"/>
                <w:szCs w:val="20"/>
                <w:vertAlign w:val="superscript"/>
              </w:rPr>
              <w:t>2</w:t>
            </w:r>
            <w:r w:rsidR="005D4040" w:rsidRPr="00762FFB">
              <w:rPr>
                <w:rFonts w:ascii="Arial" w:hAnsi="Arial" w:cs="Arial"/>
                <w:sz w:val="20"/>
                <w:szCs w:val="20"/>
              </w:rPr>
              <w:t>/</w:t>
            </w:r>
            <w:proofErr w:type="spellStart"/>
            <w:r w:rsidR="005D4040" w:rsidRPr="00762FFB">
              <w:rPr>
                <w:rFonts w:ascii="Arial" w:hAnsi="Arial" w:cs="Arial"/>
                <w:sz w:val="20"/>
                <w:szCs w:val="20"/>
              </w:rPr>
              <w:t>df</w:t>
            </w:r>
            <w:proofErr w:type="spellEnd"/>
            <w:r w:rsidR="005D4040" w:rsidRPr="00762FFB">
              <w:rPr>
                <w:rFonts w:ascii="Arial" w:hAnsi="Arial" w:cs="Arial"/>
                <w:sz w:val="20"/>
                <w:szCs w:val="20"/>
              </w:rPr>
              <w:t xml:space="preserve"> </w:t>
            </w:r>
            <w:r w:rsidRPr="00762FFB">
              <w:rPr>
                <w:rFonts w:ascii="Arial" w:hAnsi="Arial" w:cs="Arial"/>
                <w:sz w:val="20"/>
                <w:szCs w:val="20"/>
              </w:rPr>
              <w:t>to compare nested models (see</w:t>
            </w:r>
            <w:r w:rsidR="003A0A32" w:rsidRPr="00762FFB">
              <w:rPr>
                <w:rFonts w:ascii="Arial" w:hAnsi="Arial" w:cs="Arial"/>
                <w:sz w:val="20"/>
                <w:szCs w:val="20"/>
              </w:rPr>
              <w:t xml:space="preserve"> </w:t>
            </w:r>
            <w:r w:rsidR="003A0A32" w:rsidRPr="00762FFB">
              <w:rPr>
                <w:rFonts w:ascii="Arial" w:hAnsi="Arial" w:cs="Arial"/>
                <w:i/>
                <w:sz w:val="20"/>
                <w:szCs w:val="20"/>
              </w:rPr>
              <w:t>Model evaluation</w:t>
            </w:r>
            <w:r w:rsidRPr="00762FFB">
              <w:rPr>
                <w:rFonts w:ascii="Arial" w:hAnsi="Arial" w:cs="Arial"/>
                <w:sz w:val="20"/>
                <w:szCs w:val="20"/>
              </w:rPr>
              <w:t xml:space="preserve"> below).</w:t>
            </w:r>
          </w:p>
        </w:tc>
      </w:tr>
    </w:tbl>
    <w:p w14:paraId="1A0563F0" w14:textId="77777777" w:rsidR="00762FFB" w:rsidRDefault="00762FFB" w:rsidP="00762FFB">
      <w:pPr>
        <w:spacing w:after="120" w:line="360" w:lineRule="auto"/>
        <w:rPr>
          <w:rFonts w:ascii="Arial" w:hAnsi="Arial" w:cs="Arial"/>
          <w:sz w:val="20"/>
          <w:szCs w:val="20"/>
        </w:rPr>
      </w:pPr>
    </w:p>
    <w:p w14:paraId="49BCE9A4" w14:textId="37001A80" w:rsidR="00504A5E" w:rsidRPr="00762FFB" w:rsidRDefault="00504A5E" w:rsidP="00762FFB">
      <w:pPr>
        <w:spacing w:after="120" w:line="360" w:lineRule="auto"/>
        <w:rPr>
          <w:rFonts w:ascii="Arial" w:hAnsi="Arial" w:cs="Arial"/>
          <w:sz w:val="20"/>
          <w:szCs w:val="20"/>
        </w:rPr>
      </w:pPr>
      <w:r w:rsidRPr="00762FFB">
        <w:rPr>
          <w:rFonts w:ascii="Arial" w:hAnsi="Arial" w:cs="Arial"/>
          <w:sz w:val="20"/>
          <w:szCs w:val="20"/>
        </w:rPr>
        <w:t xml:space="preserve">There is no clear consensus on which indices should be used to assess goodness of model fit, or which cut-off criteria are most appropriate </w:t>
      </w:r>
      <w:r w:rsidR="00EA26CE" w:rsidRPr="00762FFB">
        <w:rPr>
          <w:rFonts w:ascii="Arial" w:hAnsi="Arial" w:cs="Arial"/>
          <w:sz w:val="20"/>
          <w:szCs w:val="20"/>
        </w:rPr>
        <w:t>in a confirmatory factor analysis</w:t>
      </w:r>
      <w:r w:rsidR="00F60934" w:rsidRPr="00762FFB">
        <w:rPr>
          <w:rFonts w:ascii="Arial" w:hAnsi="Arial" w:cs="Arial"/>
          <w:sz w:val="20"/>
          <w:szCs w:val="20"/>
        </w:rPr>
        <w:t xml:space="preserve"> </w:t>
      </w:r>
      <w:r w:rsidRPr="00762FFB">
        <w:rPr>
          <w:rFonts w:ascii="Arial" w:hAnsi="Arial" w:cs="Arial"/>
          <w:sz w:val="20"/>
          <w:szCs w:val="20"/>
        </w:rPr>
        <w:t>(Brown, 2015).</w:t>
      </w:r>
      <w:r w:rsidR="00E75512" w:rsidRPr="00762FFB">
        <w:rPr>
          <w:rFonts w:ascii="Arial" w:hAnsi="Arial" w:cs="Arial"/>
          <w:sz w:val="20"/>
          <w:szCs w:val="20"/>
        </w:rPr>
        <w:t xml:space="preserve"> According to </w:t>
      </w:r>
      <w:r w:rsidR="008B0393" w:rsidRPr="00762FFB">
        <w:rPr>
          <w:rFonts w:ascii="Arial" w:hAnsi="Arial" w:cs="Arial"/>
          <w:sz w:val="20"/>
          <w:szCs w:val="20"/>
        </w:rPr>
        <w:t xml:space="preserve">what was described </w:t>
      </w:r>
      <w:r w:rsidR="00E75512" w:rsidRPr="00762FFB">
        <w:rPr>
          <w:rFonts w:ascii="Arial" w:hAnsi="Arial" w:cs="Arial"/>
          <w:sz w:val="20"/>
          <w:szCs w:val="20"/>
        </w:rPr>
        <w:t>by Brown et al.</w:t>
      </w:r>
      <w:r w:rsidR="00D43890" w:rsidRPr="00762FFB">
        <w:rPr>
          <w:rFonts w:ascii="Arial" w:hAnsi="Arial" w:cs="Arial"/>
          <w:sz w:val="20"/>
          <w:szCs w:val="20"/>
        </w:rPr>
        <w:t xml:space="preserve"> (Brown, 2015)</w:t>
      </w:r>
      <w:r w:rsidR="00E75512" w:rsidRPr="00762FFB">
        <w:rPr>
          <w:rFonts w:ascii="Arial" w:hAnsi="Arial" w:cs="Arial"/>
          <w:sz w:val="20"/>
          <w:szCs w:val="20"/>
        </w:rPr>
        <w:t xml:space="preserve">, we chose to follow the cut-off criteria </w:t>
      </w:r>
      <w:r w:rsidR="00E75512" w:rsidRPr="00762FFB">
        <w:rPr>
          <w:rFonts w:ascii="Arial" w:hAnsi="Arial" w:cs="Arial"/>
          <w:sz w:val="20"/>
          <w:szCs w:val="20"/>
        </w:rPr>
        <w:lastRenderedPageBreak/>
        <w:t xml:space="preserve">recommended by Hu and </w:t>
      </w:r>
      <w:proofErr w:type="spellStart"/>
      <w:r w:rsidR="00E75512" w:rsidRPr="00762FFB">
        <w:rPr>
          <w:rFonts w:ascii="Arial" w:hAnsi="Arial" w:cs="Arial"/>
          <w:sz w:val="20"/>
          <w:szCs w:val="20"/>
        </w:rPr>
        <w:t>Bentler</w:t>
      </w:r>
      <w:proofErr w:type="spellEnd"/>
      <w:r w:rsidR="00E75512" w:rsidRPr="00762FFB">
        <w:rPr>
          <w:rFonts w:ascii="Arial" w:hAnsi="Arial" w:cs="Arial"/>
          <w:sz w:val="20"/>
          <w:szCs w:val="20"/>
        </w:rPr>
        <w:t xml:space="preserve"> (Hu, 1999)</w:t>
      </w:r>
      <w:r w:rsidR="003F13D9" w:rsidRPr="00762FFB">
        <w:rPr>
          <w:rFonts w:ascii="Arial" w:hAnsi="Arial" w:cs="Arial"/>
          <w:sz w:val="20"/>
          <w:szCs w:val="20"/>
        </w:rPr>
        <w:t>. These are</w:t>
      </w:r>
      <w:r w:rsidR="00E75512" w:rsidRPr="00762FFB">
        <w:rPr>
          <w:rFonts w:ascii="Arial" w:hAnsi="Arial" w:cs="Arial"/>
          <w:sz w:val="20"/>
          <w:szCs w:val="20"/>
        </w:rPr>
        <w:t xml:space="preserve"> described in the </w:t>
      </w:r>
      <w:r w:rsidR="00E75512" w:rsidRPr="00762FFB">
        <w:rPr>
          <w:rFonts w:ascii="Arial" w:hAnsi="Arial" w:cs="Arial"/>
          <w:i/>
          <w:sz w:val="20"/>
          <w:szCs w:val="20"/>
        </w:rPr>
        <w:t>Statistical analysis</w:t>
      </w:r>
      <w:r w:rsidR="00E75512" w:rsidRPr="00762FFB">
        <w:rPr>
          <w:rFonts w:ascii="Arial" w:hAnsi="Arial" w:cs="Arial"/>
          <w:sz w:val="20"/>
          <w:szCs w:val="20"/>
        </w:rPr>
        <w:t xml:space="preserve"> section of our manuscript.</w:t>
      </w:r>
      <w:r w:rsidR="00B37E10" w:rsidRPr="00762FFB">
        <w:rPr>
          <w:rFonts w:ascii="Arial" w:hAnsi="Arial" w:cs="Arial"/>
          <w:sz w:val="20"/>
          <w:szCs w:val="20"/>
        </w:rPr>
        <w:t xml:space="preserve"> </w:t>
      </w:r>
    </w:p>
    <w:p w14:paraId="6F5C090C" w14:textId="77777777" w:rsidR="00E078DE" w:rsidRPr="00762FFB" w:rsidRDefault="00E078DE" w:rsidP="00762FFB">
      <w:pPr>
        <w:spacing w:after="120" w:line="360" w:lineRule="auto"/>
        <w:rPr>
          <w:rFonts w:ascii="Arial" w:hAnsi="Arial" w:cs="Arial"/>
          <w:b/>
          <w:sz w:val="20"/>
          <w:szCs w:val="20"/>
        </w:rPr>
      </w:pPr>
      <w:r w:rsidRPr="00762FFB">
        <w:rPr>
          <w:rFonts w:ascii="Arial" w:hAnsi="Arial" w:cs="Arial"/>
          <w:b/>
          <w:sz w:val="20"/>
          <w:szCs w:val="20"/>
        </w:rPr>
        <w:t>Model evaluation</w:t>
      </w:r>
    </w:p>
    <w:p w14:paraId="5BFF6E79" w14:textId="00959258" w:rsidR="00893986" w:rsidRPr="00762FFB" w:rsidRDefault="00D7166E" w:rsidP="00762FFB">
      <w:pPr>
        <w:spacing w:after="120" w:line="360" w:lineRule="auto"/>
        <w:rPr>
          <w:rFonts w:ascii="Arial" w:hAnsi="Arial" w:cs="Arial"/>
          <w:sz w:val="20"/>
          <w:szCs w:val="20"/>
        </w:rPr>
      </w:pPr>
      <w:r w:rsidRPr="00762FFB">
        <w:rPr>
          <w:rFonts w:ascii="Arial" w:hAnsi="Arial" w:cs="Arial"/>
          <w:sz w:val="20"/>
          <w:szCs w:val="20"/>
        </w:rPr>
        <w:t>We used</w:t>
      </w:r>
      <w:r w:rsidR="00516573" w:rsidRPr="00762FFB">
        <w:rPr>
          <w:rFonts w:ascii="Arial" w:hAnsi="Arial" w:cs="Arial"/>
          <w:sz w:val="20"/>
          <w:szCs w:val="20"/>
        </w:rPr>
        <w:t xml:space="preserve"> the </w:t>
      </w:r>
      <w:r w:rsidR="00893986" w:rsidRPr="00762FFB">
        <w:rPr>
          <w:rFonts w:ascii="Arial" w:hAnsi="Arial" w:cs="Arial"/>
          <w:sz w:val="20"/>
          <w:szCs w:val="20"/>
        </w:rPr>
        <w:t>likelihood ratio</w:t>
      </w:r>
      <w:r w:rsidR="00516573" w:rsidRPr="00762FFB">
        <w:rPr>
          <w:rFonts w:ascii="Arial" w:hAnsi="Arial" w:cs="Arial"/>
          <w:sz w:val="20"/>
          <w:szCs w:val="20"/>
        </w:rPr>
        <w:t xml:space="preserve"> test</w:t>
      </w:r>
      <w:r w:rsidRPr="00762FFB">
        <w:rPr>
          <w:rFonts w:ascii="Arial" w:hAnsi="Arial" w:cs="Arial"/>
          <w:sz w:val="20"/>
          <w:szCs w:val="20"/>
        </w:rPr>
        <w:t xml:space="preserve"> </w:t>
      </w:r>
      <w:r w:rsidR="00516573" w:rsidRPr="00762FFB">
        <w:rPr>
          <w:rFonts w:ascii="Arial" w:hAnsi="Arial" w:cs="Arial"/>
          <w:sz w:val="20"/>
          <w:szCs w:val="20"/>
        </w:rPr>
        <w:t>(</w:t>
      </w:r>
      <w:r w:rsidRPr="00762FFB">
        <w:rPr>
          <w:rFonts w:ascii="Arial" w:hAnsi="Arial" w:cs="Arial"/>
          <w:sz w:val="20"/>
          <w:szCs w:val="20"/>
        </w:rPr>
        <w:t>Δχ</w:t>
      </w:r>
      <w:r w:rsidRPr="00762FFB">
        <w:rPr>
          <w:rFonts w:ascii="Arial" w:hAnsi="Arial" w:cs="Arial"/>
          <w:sz w:val="20"/>
          <w:szCs w:val="20"/>
          <w:vertAlign w:val="superscript"/>
        </w:rPr>
        <w:t>2</w:t>
      </w:r>
      <w:r w:rsidRPr="00762FFB">
        <w:rPr>
          <w:rFonts w:ascii="Arial" w:hAnsi="Arial" w:cs="Arial"/>
          <w:sz w:val="20"/>
          <w:szCs w:val="20"/>
        </w:rPr>
        <w:t>/</w:t>
      </w:r>
      <w:proofErr w:type="spellStart"/>
      <w:r w:rsidRPr="00762FFB">
        <w:rPr>
          <w:rFonts w:ascii="Arial" w:hAnsi="Arial" w:cs="Arial"/>
          <w:sz w:val="20"/>
          <w:szCs w:val="20"/>
        </w:rPr>
        <w:t>Δdf</w:t>
      </w:r>
      <w:proofErr w:type="spellEnd"/>
      <w:r w:rsidR="003174D7" w:rsidRPr="00762FFB">
        <w:rPr>
          <w:rFonts w:ascii="Arial" w:hAnsi="Arial" w:cs="Arial"/>
          <w:sz w:val="20"/>
          <w:szCs w:val="20"/>
        </w:rPr>
        <w:t xml:space="preserve">, also called the </w:t>
      </w:r>
      <w:r w:rsidR="003174D7" w:rsidRPr="00762FFB">
        <w:rPr>
          <w:rFonts w:ascii="Arial" w:hAnsi="Arial" w:cs="Arial"/>
          <w:i/>
          <w:sz w:val="20"/>
          <w:szCs w:val="20"/>
        </w:rPr>
        <w:t>χ</w:t>
      </w:r>
      <w:r w:rsidR="003174D7" w:rsidRPr="00762FFB">
        <w:rPr>
          <w:rFonts w:ascii="Arial" w:hAnsi="Arial" w:cs="Arial"/>
          <w:i/>
          <w:sz w:val="20"/>
          <w:szCs w:val="20"/>
          <w:vertAlign w:val="superscript"/>
        </w:rPr>
        <w:t xml:space="preserve">2 </w:t>
      </w:r>
      <w:r w:rsidR="003174D7" w:rsidRPr="00762FFB">
        <w:rPr>
          <w:rFonts w:ascii="Arial" w:hAnsi="Arial" w:cs="Arial"/>
          <w:i/>
          <w:sz w:val="20"/>
          <w:szCs w:val="20"/>
        </w:rPr>
        <w:t>difference test</w:t>
      </w:r>
      <w:r w:rsidR="00516573" w:rsidRPr="00762FFB">
        <w:rPr>
          <w:rFonts w:ascii="Arial" w:hAnsi="Arial" w:cs="Arial"/>
          <w:sz w:val="20"/>
          <w:szCs w:val="20"/>
        </w:rPr>
        <w:t>)</w:t>
      </w:r>
      <w:r w:rsidRPr="00762FFB">
        <w:rPr>
          <w:rFonts w:ascii="Arial" w:hAnsi="Arial" w:cs="Arial"/>
          <w:sz w:val="20"/>
          <w:szCs w:val="20"/>
        </w:rPr>
        <w:t xml:space="preserve"> as a method of comparing between</w:t>
      </w:r>
      <w:r w:rsidR="006F7389">
        <w:rPr>
          <w:rFonts w:ascii="Arial" w:hAnsi="Arial" w:cs="Arial"/>
          <w:sz w:val="20"/>
          <w:szCs w:val="20"/>
        </w:rPr>
        <w:t xml:space="preserve"> ne</w:t>
      </w:r>
      <w:r w:rsidR="00210392" w:rsidRPr="00762FFB">
        <w:rPr>
          <w:rFonts w:ascii="Arial" w:hAnsi="Arial" w:cs="Arial"/>
          <w:sz w:val="20"/>
          <w:szCs w:val="20"/>
        </w:rPr>
        <w:t>sted</w:t>
      </w:r>
      <w:r w:rsidR="00893986" w:rsidRPr="00762FFB">
        <w:rPr>
          <w:rFonts w:ascii="Arial" w:hAnsi="Arial" w:cs="Arial"/>
          <w:sz w:val="20"/>
          <w:szCs w:val="20"/>
        </w:rPr>
        <w:t xml:space="preserve"> </w:t>
      </w:r>
      <w:r w:rsidRPr="00762FFB">
        <w:rPr>
          <w:rFonts w:ascii="Arial" w:hAnsi="Arial" w:cs="Arial"/>
          <w:sz w:val="20"/>
          <w:szCs w:val="20"/>
        </w:rPr>
        <w:t>models</w:t>
      </w:r>
      <w:r w:rsidR="00694615" w:rsidRPr="00762FFB">
        <w:rPr>
          <w:rFonts w:ascii="Arial" w:hAnsi="Arial" w:cs="Arial"/>
          <w:sz w:val="20"/>
          <w:szCs w:val="20"/>
        </w:rPr>
        <w:t>, meaning those that have the same amount of items and differ in the number of factors i.e. latent variables (Brown, 2015)</w:t>
      </w:r>
      <w:r w:rsidRPr="00762FFB">
        <w:rPr>
          <w:rFonts w:ascii="Arial" w:hAnsi="Arial" w:cs="Arial"/>
          <w:sz w:val="20"/>
          <w:szCs w:val="20"/>
        </w:rPr>
        <w:t>.</w:t>
      </w:r>
      <w:r w:rsidR="00380C88" w:rsidRPr="00762FFB">
        <w:rPr>
          <w:rFonts w:ascii="Arial" w:hAnsi="Arial" w:cs="Arial"/>
          <w:sz w:val="20"/>
          <w:szCs w:val="20"/>
        </w:rPr>
        <w:t xml:space="preserve"> The hypothesized</w:t>
      </w:r>
      <w:r w:rsidR="00893986" w:rsidRPr="00762FFB">
        <w:rPr>
          <w:rFonts w:ascii="Arial" w:hAnsi="Arial" w:cs="Arial"/>
          <w:sz w:val="20"/>
          <w:szCs w:val="20"/>
        </w:rPr>
        <w:t xml:space="preserve"> 4-factor model was the parent model to which all the other nested models were compared.</w:t>
      </w:r>
      <w:r w:rsidRPr="00762FFB">
        <w:rPr>
          <w:rFonts w:ascii="Arial" w:hAnsi="Arial" w:cs="Arial"/>
          <w:sz w:val="20"/>
          <w:szCs w:val="20"/>
        </w:rPr>
        <w:t xml:space="preserve"> </w:t>
      </w:r>
      <w:r w:rsidR="00C66178">
        <w:rPr>
          <w:rFonts w:ascii="Arial" w:hAnsi="Arial" w:cs="Arial"/>
          <w:sz w:val="20"/>
          <w:szCs w:val="20"/>
        </w:rPr>
        <w:t xml:space="preserve">At </w:t>
      </w:r>
      <w:proofErr w:type="spellStart"/>
      <w:r w:rsidR="00C66178">
        <w:rPr>
          <w:rFonts w:ascii="Arial" w:hAnsi="Arial" w:cs="Arial"/>
          <w:sz w:val="20"/>
          <w:szCs w:val="20"/>
        </w:rPr>
        <w:t>df</w:t>
      </w:r>
      <w:proofErr w:type="spellEnd"/>
      <w:r w:rsidR="00C66178">
        <w:rPr>
          <w:rFonts w:ascii="Arial" w:hAnsi="Arial" w:cs="Arial"/>
          <w:sz w:val="20"/>
          <w:szCs w:val="20"/>
        </w:rPr>
        <w:t>=1, the critical v</w:t>
      </w:r>
      <w:r w:rsidR="00FD6C60" w:rsidRPr="00762FFB">
        <w:rPr>
          <w:rFonts w:ascii="Arial" w:hAnsi="Arial" w:cs="Arial"/>
          <w:sz w:val="20"/>
          <w:szCs w:val="20"/>
        </w:rPr>
        <w:t>alue of χ</w:t>
      </w:r>
      <w:r w:rsidR="00FD6C60" w:rsidRPr="00762FFB">
        <w:rPr>
          <w:rFonts w:ascii="Arial" w:hAnsi="Arial" w:cs="Arial"/>
          <w:sz w:val="20"/>
          <w:szCs w:val="20"/>
          <w:vertAlign w:val="superscript"/>
        </w:rPr>
        <w:t>2</w:t>
      </w:r>
      <w:r w:rsidR="00FD6C60" w:rsidRPr="00762FFB">
        <w:rPr>
          <w:rFonts w:ascii="Arial" w:hAnsi="Arial" w:cs="Arial"/>
          <w:sz w:val="20"/>
          <w:szCs w:val="20"/>
        </w:rPr>
        <w:t xml:space="preserve"> is 3.84 (α=.05), so a χ</w:t>
      </w:r>
      <w:r w:rsidR="00FD6C60" w:rsidRPr="00762FFB">
        <w:rPr>
          <w:rFonts w:ascii="Arial" w:hAnsi="Arial" w:cs="Arial"/>
          <w:sz w:val="20"/>
          <w:szCs w:val="20"/>
          <w:vertAlign w:val="superscript"/>
        </w:rPr>
        <w:t>2</w:t>
      </w:r>
      <w:r w:rsidR="00FD6C60" w:rsidRPr="00762FFB">
        <w:rPr>
          <w:rFonts w:ascii="Arial" w:hAnsi="Arial" w:cs="Arial"/>
          <w:sz w:val="20"/>
          <w:szCs w:val="20"/>
        </w:rPr>
        <w:t xml:space="preserve"> difference of </w:t>
      </w:r>
      <w:r w:rsidR="00125030" w:rsidRPr="00762FFB">
        <w:rPr>
          <w:rFonts w:ascii="Arial" w:hAnsi="Arial" w:cs="Arial"/>
          <w:color w:val="4D5156"/>
          <w:sz w:val="20"/>
          <w:szCs w:val="20"/>
          <w:shd w:val="clear" w:color="auto" w:fill="FFFFFF"/>
        </w:rPr>
        <w:t>&gt;</w:t>
      </w:r>
      <w:r w:rsidR="00FD6C60" w:rsidRPr="00762FFB">
        <w:rPr>
          <w:rFonts w:ascii="Arial" w:hAnsi="Arial" w:cs="Arial"/>
          <w:sz w:val="20"/>
          <w:szCs w:val="20"/>
        </w:rPr>
        <w:t>3.84</w:t>
      </w:r>
      <w:r w:rsidR="00210392" w:rsidRPr="00762FFB">
        <w:rPr>
          <w:rFonts w:ascii="Arial" w:hAnsi="Arial" w:cs="Arial"/>
          <w:sz w:val="20"/>
          <w:szCs w:val="20"/>
        </w:rPr>
        <w:t xml:space="preserve"> for a change in 1df from parent to the (compared) nested model indicates that the parent model provides a significantly better fit (Brown, 2015).</w:t>
      </w:r>
    </w:p>
    <w:p w14:paraId="38D414B6" w14:textId="7D57262B" w:rsidR="00740FE1" w:rsidRPr="00762FFB" w:rsidRDefault="00210392" w:rsidP="00762FFB">
      <w:pPr>
        <w:spacing w:after="120" w:line="360" w:lineRule="auto"/>
        <w:rPr>
          <w:rFonts w:ascii="Arial" w:hAnsi="Arial" w:cs="Arial"/>
          <w:sz w:val="20"/>
          <w:szCs w:val="20"/>
        </w:rPr>
      </w:pPr>
      <w:r w:rsidRPr="00762FFB">
        <w:rPr>
          <w:rFonts w:ascii="Arial" w:hAnsi="Arial" w:cs="Arial"/>
          <w:sz w:val="20"/>
          <w:szCs w:val="20"/>
        </w:rPr>
        <w:t>We also calculated</w:t>
      </w:r>
      <w:r w:rsidR="00BA1061" w:rsidRPr="00762FFB">
        <w:rPr>
          <w:rFonts w:ascii="Arial" w:hAnsi="Arial" w:cs="Arial"/>
          <w:sz w:val="20"/>
          <w:szCs w:val="20"/>
        </w:rPr>
        <w:t xml:space="preserve"> changes in RMSEA (ΔRMSEA)</w:t>
      </w:r>
      <w:r w:rsidRPr="00762FFB">
        <w:rPr>
          <w:rFonts w:ascii="Arial" w:hAnsi="Arial" w:cs="Arial"/>
          <w:sz w:val="20"/>
          <w:szCs w:val="20"/>
        </w:rPr>
        <w:t xml:space="preserve"> relative to the parent model</w:t>
      </w:r>
      <w:r w:rsidR="00BA1061" w:rsidRPr="00762FFB">
        <w:rPr>
          <w:rFonts w:ascii="Arial" w:hAnsi="Arial" w:cs="Arial"/>
          <w:sz w:val="20"/>
          <w:szCs w:val="20"/>
        </w:rPr>
        <w:t xml:space="preserve"> to </w:t>
      </w:r>
      <w:r w:rsidRPr="00762FFB">
        <w:rPr>
          <w:rFonts w:ascii="Arial" w:hAnsi="Arial" w:cs="Arial"/>
          <w:sz w:val="20"/>
          <w:szCs w:val="20"/>
        </w:rPr>
        <w:t>compare models more easily.</w:t>
      </w:r>
    </w:p>
    <w:p w14:paraId="074DE638" w14:textId="77777777" w:rsidR="00740FE1" w:rsidRPr="00762FFB" w:rsidRDefault="00740FE1" w:rsidP="00762FFB">
      <w:pPr>
        <w:spacing w:after="120" w:line="360" w:lineRule="auto"/>
        <w:rPr>
          <w:rFonts w:ascii="Arial" w:hAnsi="Arial" w:cs="Arial"/>
          <w:sz w:val="20"/>
          <w:szCs w:val="20"/>
        </w:rPr>
      </w:pPr>
    </w:p>
    <w:p w14:paraId="1DDDC8C2" w14:textId="77777777" w:rsidR="00D7166E" w:rsidRPr="00762FFB" w:rsidRDefault="00D7166E" w:rsidP="00762FFB">
      <w:pPr>
        <w:spacing w:after="120" w:line="360" w:lineRule="auto"/>
        <w:rPr>
          <w:rFonts w:ascii="Arial" w:hAnsi="Arial" w:cs="Arial"/>
          <w:b/>
          <w:sz w:val="20"/>
          <w:szCs w:val="20"/>
        </w:rPr>
      </w:pPr>
      <w:r w:rsidRPr="00762FFB">
        <w:rPr>
          <w:rFonts w:ascii="Arial" w:hAnsi="Arial" w:cs="Arial"/>
          <w:b/>
          <w:sz w:val="20"/>
          <w:szCs w:val="20"/>
        </w:rPr>
        <w:t>References:</w:t>
      </w:r>
    </w:p>
    <w:p w14:paraId="606B88C6" w14:textId="77777777" w:rsidR="00A43283" w:rsidRPr="00762FFB" w:rsidRDefault="00A43283" w:rsidP="00762FFB">
      <w:pPr>
        <w:spacing w:after="120" w:line="360" w:lineRule="auto"/>
        <w:rPr>
          <w:rFonts w:ascii="Arial" w:hAnsi="Arial" w:cs="Arial"/>
          <w:sz w:val="20"/>
          <w:szCs w:val="20"/>
        </w:rPr>
      </w:pPr>
      <w:r w:rsidRPr="00762FFB">
        <w:rPr>
          <w:rFonts w:ascii="Arial" w:hAnsi="Arial" w:cs="Arial"/>
          <w:sz w:val="20"/>
          <w:szCs w:val="20"/>
        </w:rPr>
        <w:t xml:space="preserve">Brown TA. Confirmatory Factor Analysis for Applied Research. 2nd ed. Little TD, editor. New York: </w:t>
      </w:r>
      <w:proofErr w:type="spellStart"/>
      <w:r w:rsidRPr="00762FFB">
        <w:rPr>
          <w:rFonts w:ascii="Arial" w:hAnsi="Arial" w:cs="Arial"/>
          <w:sz w:val="20"/>
          <w:szCs w:val="20"/>
        </w:rPr>
        <w:t>Guildord</w:t>
      </w:r>
      <w:proofErr w:type="spellEnd"/>
      <w:r w:rsidRPr="00762FFB">
        <w:rPr>
          <w:rFonts w:ascii="Arial" w:hAnsi="Arial" w:cs="Arial"/>
          <w:sz w:val="20"/>
          <w:szCs w:val="20"/>
        </w:rPr>
        <w:t xml:space="preserve"> Press; 2015.</w:t>
      </w:r>
    </w:p>
    <w:p w14:paraId="186B0D04" w14:textId="77777777" w:rsidR="00B1320E" w:rsidRPr="00762FFB" w:rsidRDefault="00B1320E" w:rsidP="00762FFB">
      <w:pPr>
        <w:spacing w:after="120" w:line="360" w:lineRule="auto"/>
        <w:rPr>
          <w:rFonts w:ascii="Arial" w:hAnsi="Arial" w:cs="Arial"/>
          <w:sz w:val="20"/>
          <w:szCs w:val="20"/>
        </w:rPr>
      </w:pPr>
      <w:r w:rsidRPr="00762FFB">
        <w:rPr>
          <w:rFonts w:ascii="Arial" w:hAnsi="Arial" w:cs="Arial"/>
          <w:sz w:val="20"/>
          <w:szCs w:val="20"/>
        </w:rPr>
        <w:t xml:space="preserve">Hu L, </w:t>
      </w:r>
      <w:proofErr w:type="spellStart"/>
      <w:r w:rsidRPr="00762FFB">
        <w:rPr>
          <w:rFonts w:ascii="Arial" w:hAnsi="Arial" w:cs="Arial"/>
          <w:sz w:val="20"/>
          <w:szCs w:val="20"/>
        </w:rPr>
        <w:t>Bentler</w:t>
      </w:r>
      <w:proofErr w:type="spellEnd"/>
      <w:r w:rsidRPr="00762FFB">
        <w:rPr>
          <w:rFonts w:ascii="Arial" w:hAnsi="Arial" w:cs="Arial"/>
          <w:sz w:val="20"/>
          <w:szCs w:val="20"/>
        </w:rPr>
        <w:t xml:space="preserve"> PM. </w:t>
      </w:r>
      <w:proofErr w:type="spellStart"/>
      <w:r w:rsidRPr="00762FFB">
        <w:rPr>
          <w:rFonts w:ascii="Arial" w:hAnsi="Arial" w:cs="Arial"/>
          <w:sz w:val="20"/>
          <w:szCs w:val="20"/>
        </w:rPr>
        <w:t>Cutoff</w:t>
      </w:r>
      <w:proofErr w:type="spellEnd"/>
      <w:r w:rsidRPr="00762FFB">
        <w:rPr>
          <w:rFonts w:ascii="Arial" w:hAnsi="Arial" w:cs="Arial"/>
          <w:sz w:val="20"/>
          <w:szCs w:val="20"/>
        </w:rPr>
        <w:t xml:space="preserve"> criteria for fit indexes in covariance structure analysis: Conventional criteria versus new alternatives. Structural Equation </w:t>
      </w:r>
      <w:proofErr w:type="spellStart"/>
      <w:r w:rsidRPr="00762FFB">
        <w:rPr>
          <w:rFonts w:ascii="Arial" w:hAnsi="Arial" w:cs="Arial"/>
          <w:sz w:val="20"/>
          <w:szCs w:val="20"/>
        </w:rPr>
        <w:t>Modeling</w:t>
      </w:r>
      <w:proofErr w:type="spellEnd"/>
      <w:r w:rsidRPr="00762FFB">
        <w:rPr>
          <w:rFonts w:ascii="Arial" w:hAnsi="Arial" w:cs="Arial"/>
          <w:sz w:val="20"/>
          <w:szCs w:val="20"/>
        </w:rPr>
        <w:t>: A Multidisciplinary Journal. 1999;6(1):1-55.</w:t>
      </w:r>
    </w:p>
    <w:p w14:paraId="5DDF1A4F" w14:textId="273B3A8F" w:rsidR="00D7166E" w:rsidRPr="00762FFB" w:rsidRDefault="00D7166E" w:rsidP="00762FFB">
      <w:pPr>
        <w:spacing w:after="120" w:line="360" w:lineRule="auto"/>
        <w:rPr>
          <w:rFonts w:ascii="Arial" w:hAnsi="Arial" w:cs="Arial"/>
          <w:sz w:val="20"/>
          <w:szCs w:val="20"/>
        </w:rPr>
      </w:pPr>
    </w:p>
    <w:sectPr w:rsidR="00D7166E" w:rsidRPr="00762F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C54"/>
    <w:rsid w:val="00001A24"/>
    <w:rsid w:val="000276D9"/>
    <w:rsid w:val="00037BD8"/>
    <w:rsid w:val="0006459F"/>
    <w:rsid w:val="00064D4A"/>
    <w:rsid w:val="000B0CA1"/>
    <w:rsid w:val="000B269B"/>
    <w:rsid w:val="000E1468"/>
    <w:rsid w:val="00105644"/>
    <w:rsid w:val="00125030"/>
    <w:rsid w:val="00210392"/>
    <w:rsid w:val="00211670"/>
    <w:rsid w:val="0024748C"/>
    <w:rsid w:val="002A7F1B"/>
    <w:rsid w:val="002C0CF2"/>
    <w:rsid w:val="002F438B"/>
    <w:rsid w:val="003174D7"/>
    <w:rsid w:val="00362099"/>
    <w:rsid w:val="00372631"/>
    <w:rsid w:val="00373F2C"/>
    <w:rsid w:val="00380C88"/>
    <w:rsid w:val="003A0A32"/>
    <w:rsid w:val="003F0E78"/>
    <w:rsid w:val="003F13D9"/>
    <w:rsid w:val="003F6B4A"/>
    <w:rsid w:val="004A1DF4"/>
    <w:rsid w:val="004B02E9"/>
    <w:rsid w:val="004C3CCE"/>
    <w:rsid w:val="004C7A9B"/>
    <w:rsid w:val="004D369E"/>
    <w:rsid w:val="00504A5E"/>
    <w:rsid w:val="00506D04"/>
    <w:rsid w:val="00516573"/>
    <w:rsid w:val="005203C1"/>
    <w:rsid w:val="00557FF7"/>
    <w:rsid w:val="00576743"/>
    <w:rsid w:val="00593D62"/>
    <w:rsid w:val="005B2DD4"/>
    <w:rsid w:val="005D2F0C"/>
    <w:rsid w:val="005D4040"/>
    <w:rsid w:val="00694615"/>
    <w:rsid w:val="006F7389"/>
    <w:rsid w:val="00740FE1"/>
    <w:rsid w:val="00762FFB"/>
    <w:rsid w:val="007669CF"/>
    <w:rsid w:val="00793AA3"/>
    <w:rsid w:val="007B199A"/>
    <w:rsid w:val="007B5C54"/>
    <w:rsid w:val="007C326B"/>
    <w:rsid w:val="007D03D4"/>
    <w:rsid w:val="007D4BF0"/>
    <w:rsid w:val="00893986"/>
    <w:rsid w:val="008B0393"/>
    <w:rsid w:val="008C771D"/>
    <w:rsid w:val="008F2B50"/>
    <w:rsid w:val="00917F63"/>
    <w:rsid w:val="00937D88"/>
    <w:rsid w:val="00963311"/>
    <w:rsid w:val="00995231"/>
    <w:rsid w:val="009A5507"/>
    <w:rsid w:val="00A43283"/>
    <w:rsid w:val="00A82517"/>
    <w:rsid w:val="00A84584"/>
    <w:rsid w:val="00AD2BC6"/>
    <w:rsid w:val="00AF6FC3"/>
    <w:rsid w:val="00B1320E"/>
    <w:rsid w:val="00B17335"/>
    <w:rsid w:val="00B37E10"/>
    <w:rsid w:val="00B54A1F"/>
    <w:rsid w:val="00B64C1B"/>
    <w:rsid w:val="00B667F5"/>
    <w:rsid w:val="00BA1061"/>
    <w:rsid w:val="00BE39BF"/>
    <w:rsid w:val="00C041AA"/>
    <w:rsid w:val="00C05B36"/>
    <w:rsid w:val="00C16587"/>
    <w:rsid w:val="00C23F22"/>
    <w:rsid w:val="00C66178"/>
    <w:rsid w:val="00C75CE3"/>
    <w:rsid w:val="00C86191"/>
    <w:rsid w:val="00CD3369"/>
    <w:rsid w:val="00CE19D1"/>
    <w:rsid w:val="00CE44FF"/>
    <w:rsid w:val="00D12962"/>
    <w:rsid w:val="00D16AD6"/>
    <w:rsid w:val="00D16C53"/>
    <w:rsid w:val="00D17166"/>
    <w:rsid w:val="00D43890"/>
    <w:rsid w:val="00D7166E"/>
    <w:rsid w:val="00DA1921"/>
    <w:rsid w:val="00E078DE"/>
    <w:rsid w:val="00E134D7"/>
    <w:rsid w:val="00E33438"/>
    <w:rsid w:val="00E75512"/>
    <w:rsid w:val="00EA26CE"/>
    <w:rsid w:val="00EB3AA4"/>
    <w:rsid w:val="00EC6227"/>
    <w:rsid w:val="00F02AA7"/>
    <w:rsid w:val="00F27B1E"/>
    <w:rsid w:val="00F4093A"/>
    <w:rsid w:val="00F5636A"/>
    <w:rsid w:val="00F60934"/>
    <w:rsid w:val="00FD54E2"/>
    <w:rsid w:val="00FD6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10660"/>
  <w15:chartTrackingRefBased/>
  <w15:docId w15:val="{1E5419A1-686F-4632-AB66-82089FEA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1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39BF"/>
    <w:rPr>
      <w:sz w:val="16"/>
      <w:szCs w:val="16"/>
    </w:rPr>
  </w:style>
  <w:style w:type="paragraph" w:styleId="CommentText">
    <w:name w:val="annotation text"/>
    <w:basedOn w:val="Normal"/>
    <w:link w:val="CommentTextChar"/>
    <w:uiPriority w:val="99"/>
    <w:semiHidden/>
    <w:unhideWhenUsed/>
    <w:rsid w:val="00BE39BF"/>
    <w:pPr>
      <w:spacing w:line="240" w:lineRule="auto"/>
    </w:pPr>
    <w:rPr>
      <w:sz w:val="20"/>
      <w:szCs w:val="20"/>
    </w:rPr>
  </w:style>
  <w:style w:type="character" w:customStyle="1" w:styleId="CommentTextChar">
    <w:name w:val="Comment Text Char"/>
    <w:basedOn w:val="DefaultParagraphFont"/>
    <w:link w:val="CommentText"/>
    <w:uiPriority w:val="99"/>
    <w:semiHidden/>
    <w:rsid w:val="00BE39BF"/>
    <w:rPr>
      <w:sz w:val="20"/>
      <w:szCs w:val="20"/>
    </w:rPr>
  </w:style>
  <w:style w:type="paragraph" w:styleId="CommentSubject">
    <w:name w:val="annotation subject"/>
    <w:basedOn w:val="CommentText"/>
    <w:next w:val="CommentText"/>
    <w:link w:val="CommentSubjectChar"/>
    <w:uiPriority w:val="99"/>
    <w:semiHidden/>
    <w:unhideWhenUsed/>
    <w:rsid w:val="00BE39BF"/>
    <w:rPr>
      <w:b/>
      <w:bCs/>
    </w:rPr>
  </w:style>
  <w:style w:type="character" w:customStyle="1" w:styleId="CommentSubjectChar">
    <w:name w:val="Comment Subject Char"/>
    <w:basedOn w:val="CommentTextChar"/>
    <w:link w:val="CommentSubject"/>
    <w:uiPriority w:val="99"/>
    <w:semiHidden/>
    <w:rsid w:val="00BE39BF"/>
    <w:rPr>
      <w:b/>
      <w:bCs/>
      <w:sz w:val="20"/>
      <w:szCs w:val="20"/>
    </w:rPr>
  </w:style>
  <w:style w:type="paragraph" w:styleId="BalloonText">
    <w:name w:val="Balloon Text"/>
    <w:basedOn w:val="Normal"/>
    <w:link w:val="BalloonTextChar"/>
    <w:uiPriority w:val="99"/>
    <w:semiHidden/>
    <w:unhideWhenUsed/>
    <w:rsid w:val="00BE3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9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Franka Marušić</dc:creator>
  <cp:keywords/>
  <dc:description/>
  <cp:lastModifiedBy>Marija Franka Žuljević</cp:lastModifiedBy>
  <cp:revision>7</cp:revision>
  <dcterms:created xsi:type="dcterms:W3CDTF">2022-02-15T10:05:00Z</dcterms:created>
  <dcterms:modified xsi:type="dcterms:W3CDTF">2022-02-15T10:19:00Z</dcterms:modified>
</cp:coreProperties>
</file>