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54"/>
        <w:tblW w:w="9075" w:type="dxa"/>
        <w:tblLayout w:type="fixed"/>
        <w:tblCellMar>
          <w:left w:w="0" w:type="dxa"/>
          <w:right w:w="0" w:type="dxa"/>
        </w:tblCellMar>
        <w:tblLook w:val="04A0" w:firstRow="1" w:lastRow="0" w:firstColumn="1" w:lastColumn="0" w:noHBand="0" w:noVBand="1"/>
      </w:tblPr>
      <w:tblGrid>
        <w:gridCol w:w="709"/>
        <w:gridCol w:w="1559"/>
        <w:gridCol w:w="567"/>
        <w:gridCol w:w="1560"/>
        <w:gridCol w:w="1701"/>
        <w:gridCol w:w="993"/>
        <w:gridCol w:w="851"/>
        <w:gridCol w:w="1135"/>
      </w:tblGrid>
      <w:tr w:rsidR="0014780C" w14:paraId="000B3AEA" w14:textId="77777777" w:rsidTr="0014780C">
        <w:trPr>
          <w:cantSplit/>
        </w:trPr>
        <w:tc>
          <w:tcPr>
            <w:tcW w:w="709" w:type="dxa"/>
            <w:tcBorders>
              <w:top w:val="nil"/>
              <w:left w:val="nil"/>
              <w:bottom w:val="single" w:sz="8" w:space="0" w:color="152935"/>
              <w:right w:val="nil"/>
            </w:tcBorders>
            <w:shd w:val="clear" w:color="auto" w:fill="FFFFFF"/>
          </w:tcPr>
          <w:p w14:paraId="347FEB62" w14:textId="77777777" w:rsidR="0014780C" w:rsidRDefault="0014780C" w:rsidP="0014780C">
            <w:pPr>
              <w:autoSpaceDE w:val="0"/>
              <w:autoSpaceDN w:val="0"/>
              <w:adjustRightInd w:val="0"/>
              <w:spacing w:after="0" w:line="240" w:lineRule="auto"/>
              <w:rPr>
                <w:rFonts w:ascii="Arial" w:hAnsi="Arial" w:cs="Arial"/>
                <w:color w:val="264A60"/>
                <w:sz w:val="14"/>
                <w:szCs w:val="14"/>
              </w:rPr>
            </w:pPr>
          </w:p>
        </w:tc>
        <w:tc>
          <w:tcPr>
            <w:tcW w:w="1559" w:type="dxa"/>
            <w:tcBorders>
              <w:top w:val="nil"/>
              <w:left w:val="nil"/>
              <w:bottom w:val="single" w:sz="8" w:space="0" w:color="152935"/>
              <w:right w:val="single" w:sz="4" w:space="0" w:color="E7E6E6" w:themeColor="background2"/>
            </w:tcBorders>
            <w:vAlign w:val="center"/>
            <w:hideMark/>
          </w:tcPr>
          <w:p w14:paraId="2A75CD65" w14:textId="77777777" w:rsidR="0014780C" w:rsidRDefault="0014780C" w:rsidP="0014780C">
            <w:pPr>
              <w:rPr>
                <w:rFonts w:ascii="Arial" w:hAnsi="Arial" w:cs="Arial"/>
                <w:color w:val="264A60"/>
                <w:sz w:val="14"/>
                <w:szCs w:val="14"/>
              </w:rPr>
            </w:pPr>
          </w:p>
        </w:tc>
        <w:tc>
          <w:tcPr>
            <w:tcW w:w="567" w:type="dxa"/>
            <w:tcBorders>
              <w:top w:val="nil"/>
              <w:left w:val="nil"/>
              <w:bottom w:val="single" w:sz="4" w:space="0" w:color="auto"/>
              <w:right w:val="single" w:sz="4" w:space="0" w:color="E7E6E6" w:themeColor="background2"/>
            </w:tcBorders>
            <w:vAlign w:val="center"/>
            <w:hideMark/>
          </w:tcPr>
          <w:p w14:paraId="0455576A" w14:textId="77777777" w:rsidR="0014780C" w:rsidRDefault="0014780C" w:rsidP="0014780C">
            <w:pPr>
              <w:spacing w:after="0" w:line="256" w:lineRule="auto"/>
              <w:rPr>
                <w:rFonts w:eastAsiaTheme="minorEastAsia"/>
                <w:sz w:val="20"/>
                <w:szCs w:val="20"/>
                <w:lang w:eastAsia="en-GB"/>
              </w:rPr>
            </w:pPr>
          </w:p>
        </w:tc>
        <w:tc>
          <w:tcPr>
            <w:tcW w:w="1560" w:type="dxa"/>
            <w:tcBorders>
              <w:top w:val="nil"/>
              <w:left w:val="single" w:sz="4" w:space="0" w:color="E7E6E6" w:themeColor="background2"/>
              <w:bottom w:val="single" w:sz="4" w:space="0" w:color="auto"/>
              <w:right w:val="single" w:sz="4" w:space="0" w:color="E7E6E6" w:themeColor="background2"/>
            </w:tcBorders>
            <w:shd w:val="clear" w:color="auto" w:fill="FFFFFF"/>
          </w:tcPr>
          <w:p w14:paraId="59072811" w14:textId="77777777" w:rsidR="0014780C" w:rsidRDefault="0014780C" w:rsidP="0014780C">
            <w:pPr>
              <w:autoSpaceDE w:val="0"/>
              <w:autoSpaceDN w:val="0"/>
              <w:adjustRightInd w:val="0"/>
              <w:spacing w:after="0" w:line="240" w:lineRule="auto"/>
              <w:rPr>
                <w:rFonts w:ascii="Arial" w:hAnsi="Arial" w:cs="Arial"/>
                <w:color w:val="264A60"/>
                <w:sz w:val="18"/>
                <w:szCs w:val="18"/>
              </w:rPr>
            </w:pPr>
          </w:p>
          <w:p w14:paraId="0298F49D" w14:textId="77777777" w:rsidR="0014780C" w:rsidRDefault="0014780C" w:rsidP="0014780C">
            <w:pPr>
              <w:autoSpaceDE w:val="0"/>
              <w:autoSpaceDN w:val="0"/>
              <w:adjustRightInd w:val="0"/>
              <w:spacing w:after="0" w:line="240" w:lineRule="auto"/>
              <w:jc w:val="center"/>
              <w:rPr>
                <w:rFonts w:ascii="Arial" w:hAnsi="Arial" w:cs="Arial"/>
                <w:color w:val="264A60"/>
                <w:sz w:val="18"/>
                <w:szCs w:val="18"/>
              </w:rPr>
            </w:pPr>
            <w:r>
              <w:rPr>
                <w:rFonts w:ascii="Arial" w:hAnsi="Arial" w:cs="Arial"/>
                <w:color w:val="264A60"/>
                <w:sz w:val="18"/>
                <w:szCs w:val="18"/>
              </w:rPr>
              <w:t xml:space="preserve">Mean </w:t>
            </w:r>
            <w:r>
              <w:rPr>
                <w:rFonts w:ascii="Arial" w:hAnsi="Arial" w:cs="Arial"/>
                <w:color w:val="264A60"/>
                <w:sz w:val="18"/>
                <w:szCs w:val="18"/>
                <w:u w:val="single"/>
              </w:rPr>
              <w:t>+</w:t>
            </w:r>
            <w:r>
              <w:rPr>
                <w:rFonts w:ascii="Arial" w:hAnsi="Arial" w:cs="Arial"/>
                <w:color w:val="264A60"/>
                <w:sz w:val="18"/>
                <w:szCs w:val="18"/>
              </w:rPr>
              <w:t xml:space="preserve"> SD</w:t>
            </w:r>
          </w:p>
        </w:tc>
        <w:tc>
          <w:tcPr>
            <w:tcW w:w="1701" w:type="dxa"/>
            <w:tcBorders>
              <w:top w:val="nil"/>
              <w:left w:val="single" w:sz="4" w:space="0" w:color="E7E6E6" w:themeColor="background2"/>
              <w:bottom w:val="single" w:sz="4" w:space="0" w:color="auto"/>
              <w:right w:val="single" w:sz="8" w:space="0" w:color="E0E0E0"/>
            </w:tcBorders>
            <w:vAlign w:val="center"/>
            <w:hideMark/>
          </w:tcPr>
          <w:p w14:paraId="40ECD5BF" w14:textId="77777777" w:rsidR="0014780C" w:rsidRDefault="0014780C" w:rsidP="0014780C">
            <w:pPr>
              <w:rPr>
                <w:rFonts w:ascii="Arial" w:hAnsi="Arial" w:cs="Arial"/>
                <w:color w:val="264A60"/>
                <w:sz w:val="18"/>
                <w:szCs w:val="18"/>
              </w:rPr>
            </w:pPr>
          </w:p>
        </w:tc>
        <w:tc>
          <w:tcPr>
            <w:tcW w:w="993" w:type="dxa"/>
            <w:tcBorders>
              <w:top w:val="nil"/>
              <w:left w:val="single" w:sz="8" w:space="0" w:color="E0E0E0"/>
              <w:bottom w:val="single" w:sz="4" w:space="0" w:color="auto"/>
              <w:right w:val="single" w:sz="8" w:space="0" w:color="E0E0E0"/>
            </w:tcBorders>
            <w:shd w:val="clear" w:color="auto" w:fill="FFFFFF"/>
            <w:vAlign w:val="bottom"/>
            <w:hideMark/>
          </w:tcPr>
          <w:p w14:paraId="58D0C865" w14:textId="77777777" w:rsidR="0014780C" w:rsidRDefault="0014780C" w:rsidP="0014780C">
            <w:pPr>
              <w:autoSpaceDE w:val="0"/>
              <w:autoSpaceDN w:val="0"/>
              <w:adjustRightInd w:val="0"/>
              <w:spacing w:after="0" w:line="320" w:lineRule="atLeast"/>
              <w:ind w:left="60" w:right="60"/>
              <w:jc w:val="center"/>
              <w:rPr>
                <w:rFonts w:ascii="Arial" w:hAnsi="Arial" w:cs="Arial"/>
                <w:color w:val="264A60"/>
                <w:sz w:val="18"/>
                <w:szCs w:val="18"/>
              </w:rPr>
            </w:pPr>
            <w:r>
              <w:rPr>
                <w:rFonts w:ascii="Arial" w:hAnsi="Arial" w:cs="Arial"/>
                <w:color w:val="264A60"/>
                <w:sz w:val="18"/>
                <w:szCs w:val="18"/>
              </w:rPr>
              <w:t>Lower</w:t>
            </w:r>
          </w:p>
        </w:tc>
        <w:tc>
          <w:tcPr>
            <w:tcW w:w="851" w:type="dxa"/>
            <w:tcBorders>
              <w:top w:val="nil"/>
              <w:left w:val="single" w:sz="8" w:space="0" w:color="E0E0E0"/>
              <w:bottom w:val="single" w:sz="4" w:space="0" w:color="auto"/>
              <w:right w:val="single" w:sz="8" w:space="0" w:color="E0E0E0"/>
            </w:tcBorders>
            <w:shd w:val="clear" w:color="auto" w:fill="FFFFFF"/>
            <w:vAlign w:val="bottom"/>
            <w:hideMark/>
          </w:tcPr>
          <w:p w14:paraId="5CA4AA86" w14:textId="77777777" w:rsidR="0014780C" w:rsidRDefault="0014780C" w:rsidP="0014780C">
            <w:pPr>
              <w:autoSpaceDE w:val="0"/>
              <w:autoSpaceDN w:val="0"/>
              <w:adjustRightInd w:val="0"/>
              <w:spacing w:after="0" w:line="320" w:lineRule="atLeast"/>
              <w:ind w:left="60" w:right="60"/>
              <w:jc w:val="center"/>
              <w:rPr>
                <w:rFonts w:ascii="Arial" w:hAnsi="Arial" w:cs="Arial"/>
                <w:color w:val="264A60"/>
                <w:sz w:val="18"/>
                <w:szCs w:val="18"/>
              </w:rPr>
            </w:pPr>
            <w:r>
              <w:rPr>
                <w:rFonts w:ascii="Arial" w:hAnsi="Arial" w:cs="Arial"/>
                <w:color w:val="264A60"/>
                <w:sz w:val="18"/>
                <w:szCs w:val="18"/>
              </w:rPr>
              <w:t>Upper</w:t>
            </w:r>
          </w:p>
        </w:tc>
        <w:tc>
          <w:tcPr>
            <w:tcW w:w="1135" w:type="dxa"/>
            <w:tcBorders>
              <w:top w:val="nil"/>
              <w:left w:val="single" w:sz="8" w:space="0" w:color="E0E0E0"/>
              <w:bottom w:val="single" w:sz="4" w:space="0" w:color="auto"/>
              <w:right w:val="nil"/>
            </w:tcBorders>
            <w:vAlign w:val="center"/>
            <w:hideMark/>
          </w:tcPr>
          <w:p w14:paraId="342EBCBC" w14:textId="77777777" w:rsidR="0014780C" w:rsidRDefault="0014780C" w:rsidP="0014780C">
            <w:pPr>
              <w:rPr>
                <w:rFonts w:ascii="Arial" w:hAnsi="Arial" w:cs="Arial"/>
                <w:color w:val="264A60"/>
                <w:sz w:val="18"/>
                <w:szCs w:val="18"/>
              </w:rPr>
            </w:pPr>
          </w:p>
        </w:tc>
      </w:tr>
      <w:tr w:rsidR="0014780C" w14:paraId="6DC2387F" w14:textId="77777777" w:rsidTr="0014780C">
        <w:trPr>
          <w:cantSplit/>
        </w:trPr>
        <w:tc>
          <w:tcPr>
            <w:tcW w:w="709" w:type="dxa"/>
            <w:vMerge w:val="restart"/>
            <w:tcBorders>
              <w:top w:val="nil"/>
              <w:left w:val="nil"/>
              <w:bottom w:val="single" w:sz="8" w:space="0" w:color="152935"/>
              <w:right w:val="single" w:sz="4" w:space="0" w:color="auto"/>
            </w:tcBorders>
            <w:shd w:val="clear" w:color="auto" w:fill="E7E6E6" w:themeFill="background2"/>
            <w:hideMark/>
          </w:tcPr>
          <w:p w14:paraId="49DFC27A" w14:textId="77777777" w:rsidR="0014780C" w:rsidRDefault="0014780C" w:rsidP="0014780C">
            <w:pPr>
              <w:autoSpaceDE w:val="0"/>
              <w:autoSpaceDN w:val="0"/>
              <w:adjustRightInd w:val="0"/>
              <w:spacing w:after="0" w:line="240" w:lineRule="auto"/>
              <w:rPr>
                <w:rFonts w:ascii="Arial" w:hAnsi="Arial" w:cs="Arial"/>
                <w:color w:val="264A60"/>
                <w:sz w:val="18"/>
                <w:szCs w:val="18"/>
              </w:rPr>
            </w:pPr>
            <w:r>
              <w:rPr>
                <w:rFonts w:ascii="Arial" w:hAnsi="Arial" w:cs="Arial"/>
                <w:color w:val="264A60"/>
                <w:sz w:val="18"/>
                <w:szCs w:val="18"/>
              </w:rPr>
              <w:t>All</w:t>
            </w:r>
          </w:p>
        </w:tc>
        <w:tc>
          <w:tcPr>
            <w:tcW w:w="1559" w:type="dxa"/>
            <w:tcBorders>
              <w:top w:val="single" w:sz="8" w:space="0" w:color="152935"/>
              <w:left w:val="single" w:sz="4" w:space="0" w:color="auto"/>
              <w:bottom w:val="single" w:sz="8" w:space="0" w:color="152935"/>
              <w:right w:val="nil"/>
            </w:tcBorders>
            <w:shd w:val="clear" w:color="auto" w:fill="E7E6E6" w:themeFill="background2"/>
            <w:vAlign w:val="center"/>
            <w:hideMark/>
          </w:tcPr>
          <w:p w14:paraId="2834A740" w14:textId="77777777" w:rsidR="0014780C" w:rsidRDefault="0014780C" w:rsidP="0014780C">
            <w:pPr>
              <w:spacing w:after="0"/>
              <w:rPr>
                <w:rFonts w:ascii="Arial" w:hAnsi="Arial" w:cs="Arial"/>
                <w:color w:val="264A60"/>
                <w:sz w:val="18"/>
                <w:szCs w:val="18"/>
              </w:rPr>
            </w:pPr>
            <w:r>
              <w:rPr>
                <w:rFonts w:ascii="Arial" w:hAnsi="Arial" w:cs="Arial"/>
                <w:color w:val="264A60"/>
                <w:sz w:val="18"/>
                <w:szCs w:val="18"/>
              </w:rPr>
              <w:t>Native T1 (</w:t>
            </w:r>
            <w:proofErr w:type="spellStart"/>
            <w:r>
              <w:rPr>
                <w:rFonts w:ascii="Arial" w:hAnsi="Arial" w:cs="Arial"/>
                <w:color w:val="264A60"/>
                <w:sz w:val="18"/>
                <w:szCs w:val="18"/>
              </w:rPr>
              <w:t>ms</w:t>
            </w:r>
            <w:proofErr w:type="spellEnd"/>
            <w:r>
              <w:rPr>
                <w:rFonts w:ascii="Arial" w:hAnsi="Arial" w:cs="Arial"/>
                <w:color w:val="264A60"/>
                <w:sz w:val="18"/>
                <w:szCs w:val="18"/>
              </w:rPr>
              <w:t>)</w:t>
            </w:r>
          </w:p>
        </w:tc>
        <w:tc>
          <w:tcPr>
            <w:tcW w:w="567" w:type="dxa"/>
            <w:tcBorders>
              <w:top w:val="single" w:sz="4" w:space="0" w:color="auto"/>
              <w:left w:val="nil"/>
              <w:bottom w:val="nil"/>
              <w:right w:val="nil"/>
            </w:tcBorders>
            <w:vAlign w:val="center"/>
            <w:hideMark/>
          </w:tcPr>
          <w:p w14:paraId="07011D11" w14:textId="77777777" w:rsidR="0014780C" w:rsidRDefault="0014780C" w:rsidP="0014780C">
            <w:pPr>
              <w:spacing w:after="0"/>
              <w:jc w:val="center"/>
              <w:rPr>
                <w:rFonts w:ascii="Arial" w:hAnsi="Arial" w:cs="Arial"/>
                <w:sz w:val="18"/>
                <w:szCs w:val="18"/>
              </w:rPr>
            </w:pPr>
            <w:r>
              <w:rPr>
                <w:rFonts w:ascii="Arial" w:hAnsi="Arial" w:cs="Arial"/>
                <w:sz w:val="18"/>
                <w:szCs w:val="18"/>
              </w:rPr>
              <w:t>103</w:t>
            </w:r>
          </w:p>
        </w:tc>
        <w:tc>
          <w:tcPr>
            <w:tcW w:w="1560" w:type="dxa"/>
            <w:tcBorders>
              <w:top w:val="single" w:sz="4" w:space="0" w:color="auto"/>
              <w:left w:val="nil"/>
              <w:bottom w:val="nil"/>
              <w:right w:val="nil"/>
            </w:tcBorders>
            <w:shd w:val="clear" w:color="auto" w:fill="FFFFFF"/>
            <w:hideMark/>
          </w:tcPr>
          <w:p w14:paraId="50C4CE58" w14:textId="77777777" w:rsidR="0014780C" w:rsidRDefault="0014780C" w:rsidP="0014780C">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978 ± 34</w:t>
            </w:r>
          </w:p>
        </w:tc>
        <w:tc>
          <w:tcPr>
            <w:tcW w:w="1701" w:type="dxa"/>
            <w:tcBorders>
              <w:top w:val="single" w:sz="4" w:space="0" w:color="auto"/>
              <w:left w:val="nil"/>
              <w:bottom w:val="nil"/>
              <w:right w:val="nil"/>
            </w:tcBorders>
            <w:vAlign w:val="center"/>
            <w:hideMark/>
          </w:tcPr>
          <w:p w14:paraId="292CF683" w14:textId="77777777" w:rsidR="0014780C" w:rsidRDefault="0014780C" w:rsidP="0014780C">
            <w:pPr>
              <w:spacing w:after="0"/>
              <w:jc w:val="center"/>
              <w:rPr>
                <w:rFonts w:ascii="Arial" w:hAnsi="Arial" w:cs="Arial"/>
                <w:sz w:val="18"/>
                <w:szCs w:val="18"/>
              </w:rPr>
            </w:pPr>
            <w:r>
              <w:rPr>
                <w:rFonts w:ascii="Arial" w:hAnsi="Arial" w:cs="Arial"/>
                <w:sz w:val="18"/>
                <w:szCs w:val="18"/>
              </w:rPr>
              <w:t>975 ± 28</w:t>
            </w:r>
          </w:p>
        </w:tc>
        <w:tc>
          <w:tcPr>
            <w:tcW w:w="993" w:type="dxa"/>
            <w:tcBorders>
              <w:top w:val="single" w:sz="4" w:space="0" w:color="auto"/>
              <w:left w:val="nil"/>
              <w:bottom w:val="nil"/>
              <w:right w:val="nil"/>
            </w:tcBorders>
            <w:shd w:val="clear" w:color="auto" w:fill="FFFFFF"/>
            <w:vAlign w:val="bottom"/>
            <w:hideMark/>
          </w:tcPr>
          <w:p w14:paraId="3CF9D2B0"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-1.56</w:t>
            </w:r>
          </w:p>
        </w:tc>
        <w:tc>
          <w:tcPr>
            <w:tcW w:w="851" w:type="dxa"/>
            <w:tcBorders>
              <w:top w:val="single" w:sz="4" w:space="0" w:color="auto"/>
              <w:left w:val="nil"/>
              <w:bottom w:val="nil"/>
              <w:right w:val="nil"/>
            </w:tcBorders>
            <w:shd w:val="clear" w:color="auto" w:fill="FFFFFF"/>
            <w:vAlign w:val="bottom"/>
            <w:hideMark/>
          </w:tcPr>
          <w:p w14:paraId="57146E45"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7.64</w:t>
            </w:r>
          </w:p>
        </w:tc>
        <w:tc>
          <w:tcPr>
            <w:tcW w:w="1135" w:type="dxa"/>
            <w:tcBorders>
              <w:top w:val="single" w:sz="4" w:space="0" w:color="auto"/>
              <w:left w:val="nil"/>
              <w:bottom w:val="nil"/>
              <w:right w:val="nil"/>
            </w:tcBorders>
            <w:vAlign w:val="center"/>
            <w:hideMark/>
          </w:tcPr>
          <w:p w14:paraId="45D74015" w14:textId="77777777" w:rsidR="0014780C" w:rsidRDefault="0014780C" w:rsidP="0014780C">
            <w:pPr>
              <w:spacing w:after="0"/>
              <w:jc w:val="center"/>
              <w:rPr>
                <w:rFonts w:ascii="Arial" w:hAnsi="Arial" w:cs="Arial"/>
                <w:sz w:val="18"/>
                <w:szCs w:val="18"/>
              </w:rPr>
            </w:pPr>
            <w:r>
              <w:rPr>
                <w:rFonts w:ascii="Arial" w:hAnsi="Arial" w:cs="Arial"/>
                <w:sz w:val="18"/>
                <w:szCs w:val="18"/>
              </w:rPr>
              <w:t>0.193</w:t>
            </w:r>
          </w:p>
        </w:tc>
      </w:tr>
      <w:tr w:rsidR="0014780C" w14:paraId="4F32A221" w14:textId="77777777" w:rsidTr="0014780C">
        <w:trPr>
          <w:cantSplit/>
        </w:trPr>
        <w:tc>
          <w:tcPr>
            <w:tcW w:w="709" w:type="dxa"/>
            <w:vMerge/>
            <w:tcBorders>
              <w:top w:val="nil"/>
              <w:left w:val="nil"/>
              <w:bottom w:val="single" w:sz="8" w:space="0" w:color="152935"/>
              <w:right w:val="single" w:sz="4" w:space="0" w:color="auto"/>
            </w:tcBorders>
            <w:vAlign w:val="center"/>
            <w:hideMark/>
          </w:tcPr>
          <w:p w14:paraId="4EFE5C4B" w14:textId="77777777" w:rsidR="0014780C" w:rsidRDefault="0014780C" w:rsidP="0014780C">
            <w:pPr>
              <w:spacing w:after="0" w:line="256" w:lineRule="auto"/>
              <w:rPr>
                <w:rFonts w:ascii="Arial" w:hAnsi="Arial" w:cs="Arial"/>
                <w:color w:val="264A60"/>
                <w:sz w:val="18"/>
                <w:szCs w:val="18"/>
              </w:rPr>
            </w:pPr>
          </w:p>
        </w:tc>
        <w:tc>
          <w:tcPr>
            <w:tcW w:w="1559" w:type="dxa"/>
            <w:tcBorders>
              <w:top w:val="single" w:sz="8" w:space="0" w:color="152935"/>
              <w:left w:val="single" w:sz="4" w:space="0" w:color="auto"/>
              <w:bottom w:val="single" w:sz="8" w:space="0" w:color="152935"/>
              <w:right w:val="nil"/>
            </w:tcBorders>
            <w:shd w:val="clear" w:color="auto" w:fill="E7E6E6" w:themeFill="background2"/>
            <w:vAlign w:val="center"/>
            <w:hideMark/>
          </w:tcPr>
          <w:p w14:paraId="0F278257" w14:textId="77777777" w:rsidR="0014780C" w:rsidRDefault="0014780C" w:rsidP="0014780C">
            <w:pPr>
              <w:spacing w:after="0"/>
              <w:rPr>
                <w:rFonts w:ascii="Arial" w:hAnsi="Arial" w:cs="Arial"/>
                <w:color w:val="264A60"/>
                <w:sz w:val="18"/>
                <w:szCs w:val="18"/>
              </w:rPr>
            </w:pPr>
            <w:r>
              <w:rPr>
                <w:rFonts w:ascii="Arial" w:hAnsi="Arial" w:cs="Arial"/>
                <w:color w:val="264A60"/>
                <w:sz w:val="18"/>
                <w:szCs w:val="18"/>
              </w:rPr>
              <w:t>Post-contrast T1 (</w:t>
            </w:r>
            <w:proofErr w:type="spellStart"/>
            <w:r>
              <w:rPr>
                <w:rFonts w:ascii="Arial" w:hAnsi="Arial" w:cs="Arial"/>
                <w:color w:val="264A60"/>
                <w:sz w:val="18"/>
                <w:szCs w:val="18"/>
              </w:rPr>
              <w:t>ms</w:t>
            </w:r>
            <w:proofErr w:type="spellEnd"/>
            <w:r>
              <w:rPr>
                <w:rFonts w:ascii="Arial" w:hAnsi="Arial" w:cs="Arial"/>
                <w:color w:val="264A60"/>
                <w:sz w:val="18"/>
                <w:szCs w:val="18"/>
              </w:rPr>
              <w:t>)</w:t>
            </w:r>
          </w:p>
        </w:tc>
        <w:tc>
          <w:tcPr>
            <w:tcW w:w="567" w:type="dxa"/>
            <w:vAlign w:val="center"/>
            <w:hideMark/>
          </w:tcPr>
          <w:p w14:paraId="79BFF5F4" w14:textId="77777777" w:rsidR="0014780C" w:rsidRDefault="0014780C" w:rsidP="0014780C">
            <w:pPr>
              <w:spacing w:after="0"/>
              <w:jc w:val="center"/>
              <w:rPr>
                <w:rFonts w:ascii="Arial" w:hAnsi="Arial" w:cs="Arial"/>
                <w:sz w:val="18"/>
                <w:szCs w:val="18"/>
              </w:rPr>
            </w:pPr>
            <w:r>
              <w:rPr>
                <w:rFonts w:ascii="Arial" w:hAnsi="Arial" w:cs="Arial"/>
                <w:sz w:val="18"/>
                <w:szCs w:val="18"/>
              </w:rPr>
              <w:t>100</w:t>
            </w:r>
          </w:p>
        </w:tc>
        <w:tc>
          <w:tcPr>
            <w:tcW w:w="1560" w:type="dxa"/>
            <w:shd w:val="clear" w:color="auto" w:fill="FFFFFF"/>
            <w:hideMark/>
          </w:tcPr>
          <w:p w14:paraId="544B943D" w14:textId="77777777" w:rsidR="0014780C" w:rsidRDefault="0014780C" w:rsidP="0014780C">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468 ± 36</w:t>
            </w:r>
          </w:p>
        </w:tc>
        <w:tc>
          <w:tcPr>
            <w:tcW w:w="1701" w:type="dxa"/>
            <w:vAlign w:val="center"/>
            <w:hideMark/>
          </w:tcPr>
          <w:p w14:paraId="7282D913" w14:textId="77777777" w:rsidR="0014780C" w:rsidRDefault="0014780C" w:rsidP="0014780C">
            <w:pPr>
              <w:spacing w:after="0"/>
              <w:jc w:val="center"/>
              <w:rPr>
                <w:rFonts w:ascii="Arial" w:hAnsi="Arial" w:cs="Arial"/>
                <w:sz w:val="18"/>
                <w:szCs w:val="18"/>
              </w:rPr>
            </w:pPr>
            <w:r>
              <w:rPr>
                <w:rFonts w:ascii="Arial" w:hAnsi="Arial" w:cs="Arial"/>
                <w:sz w:val="18"/>
                <w:szCs w:val="18"/>
              </w:rPr>
              <w:t>471 ± 33</w:t>
            </w:r>
          </w:p>
        </w:tc>
        <w:tc>
          <w:tcPr>
            <w:tcW w:w="993" w:type="dxa"/>
            <w:shd w:val="clear" w:color="auto" w:fill="FFFFFF"/>
            <w:vAlign w:val="bottom"/>
            <w:hideMark/>
          </w:tcPr>
          <w:p w14:paraId="20CEA3D7"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-7.42</w:t>
            </w:r>
          </w:p>
        </w:tc>
        <w:tc>
          <w:tcPr>
            <w:tcW w:w="851" w:type="dxa"/>
            <w:shd w:val="clear" w:color="auto" w:fill="FFFFFF"/>
            <w:vAlign w:val="bottom"/>
            <w:hideMark/>
          </w:tcPr>
          <w:p w14:paraId="32704559"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0.63</w:t>
            </w:r>
          </w:p>
        </w:tc>
        <w:tc>
          <w:tcPr>
            <w:tcW w:w="1135" w:type="dxa"/>
            <w:vAlign w:val="center"/>
            <w:hideMark/>
          </w:tcPr>
          <w:p w14:paraId="182143CC" w14:textId="77777777" w:rsidR="0014780C" w:rsidRDefault="0014780C" w:rsidP="0014780C">
            <w:pPr>
              <w:spacing w:after="0"/>
              <w:jc w:val="center"/>
              <w:rPr>
                <w:rFonts w:ascii="Arial" w:hAnsi="Arial" w:cs="Arial"/>
                <w:sz w:val="18"/>
                <w:szCs w:val="18"/>
              </w:rPr>
            </w:pPr>
            <w:r>
              <w:rPr>
                <w:rFonts w:ascii="Arial" w:hAnsi="Arial" w:cs="Arial"/>
                <w:sz w:val="18"/>
                <w:szCs w:val="18"/>
              </w:rPr>
              <w:t>0.097</w:t>
            </w:r>
          </w:p>
        </w:tc>
      </w:tr>
      <w:tr w:rsidR="0014780C" w14:paraId="5F361CAB" w14:textId="77777777" w:rsidTr="0014780C">
        <w:trPr>
          <w:cantSplit/>
        </w:trPr>
        <w:tc>
          <w:tcPr>
            <w:tcW w:w="709" w:type="dxa"/>
            <w:vMerge/>
            <w:tcBorders>
              <w:top w:val="nil"/>
              <w:left w:val="nil"/>
              <w:bottom w:val="single" w:sz="8" w:space="0" w:color="152935"/>
              <w:right w:val="single" w:sz="4" w:space="0" w:color="auto"/>
            </w:tcBorders>
            <w:vAlign w:val="center"/>
            <w:hideMark/>
          </w:tcPr>
          <w:p w14:paraId="6482AE98" w14:textId="77777777" w:rsidR="0014780C" w:rsidRDefault="0014780C" w:rsidP="0014780C">
            <w:pPr>
              <w:spacing w:after="0" w:line="256" w:lineRule="auto"/>
              <w:rPr>
                <w:rFonts w:ascii="Arial" w:hAnsi="Arial" w:cs="Arial"/>
                <w:color w:val="264A60"/>
                <w:sz w:val="18"/>
                <w:szCs w:val="18"/>
              </w:rPr>
            </w:pPr>
          </w:p>
        </w:tc>
        <w:tc>
          <w:tcPr>
            <w:tcW w:w="1559" w:type="dxa"/>
            <w:tcBorders>
              <w:top w:val="single" w:sz="8" w:space="0" w:color="152935"/>
              <w:left w:val="single" w:sz="4" w:space="0" w:color="auto"/>
              <w:bottom w:val="single" w:sz="8" w:space="0" w:color="152935"/>
              <w:right w:val="nil"/>
            </w:tcBorders>
            <w:shd w:val="clear" w:color="auto" w:fill="E7E6E6" w:themeFill="background2"/>
            <w:vAlign w:val="center"/>
            <w:hideMark/>
          </w:tcPr>
          <w:p w14:paraId="0470D88F" w14:textId="77777777" w:rsidR="0014780C" w:rsidRDefault="0014780C" w:rsidP="0014780C">
            <w:pPr>
              <w:spacing w:after="0"/>
              <w:rPr>
                <w:rFonts w:ascii="Arial" w:hAnsi="Arial" w:cs="Arial"/>
                <w:color w:val="264A60"/>
                <w:sz w:val="18"/>
                <w:szCs w:val="18"/>
              </w:rPr>
            </w:pPr>
            <w:r>
              <w:rPr>
                <w:rFonts w:ascii="Arial" w:hAnsi="Arial" w:cs="Arial"/>
                <w:color w:val="264A60"/>
                <w:sz w:val="18"/>
                <w:szCs w:val="18"/>
              </w:rPr>
              <w:t>ECV (%)</w:t>
            </w:r>
          </w:p>
        </w:tc>
        <w:tc>
          <w:tcPr>
            <w:tcW w:w="567" w:type="dxa"/>
            <w:vAlign w:val="center"/>
            <w:hideMark/>
          </w:tcPr>
          <w:p w14:paraId="7830A988" w14:textId="77777777" w:rsidR="0014780C" w:rsidRDefault="0014780C" w:rsidP="0014780C">
            <w:pPr>
              <w:spacing w:after="0"/>
              <w:jc w:val="center"/>
              <w:rPr>
                <w:rFonts w:ascii="Arial" w:hAnsi="Arial" w:cs="Arial"/>
                <w:sz w:val="18"/>
                <w:szCs w:val="18"/>
              </w:rPr>
            </w:pPr>
            <w:r>
              <w:rPr>
                <w:rFonts w:ascii="Arial" w:hAnsi="Arial" w:cs="Arial"/>
                <w:sz w:val="18"/>
                <w:szCs w:val="18"/>
              </w:rPr>
              <w:t>98</w:t>
            </w:r>
          </w:p>
        </w:tc>
        <w:tc>
          <w:tcPr>
            <w:tcW w:w="1560" w:type="dxa"/>
            <w:shd w:val="clear" w:color="auto" w:fill="FFFFFF"/>
            <w:hideMark/>
          </w:tcPr>
          <w:p w14:paraId="7DE4C076" w14:textId="77777777" w:rsidR="0014780C" w:rsidRDefault="0014780C" w:rsidP="0014780C">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25.9 ± 3.4</w:t>
            </w:r>
          </w:p>
        </w:tc>
        <w:tc>
          <w:tcPr>
            <w:tcW w:w="1701" w:type="dxa"/>
            <w:vAlign w:val="center"/>
            <w:hideMark/>
          </w:tcPr>
          <w:p w14:paraId="4BB86B06" w14:textId="77777777" w:rsidR="0014780C" w:rsidRDefault="0014780C" w:rsidP="0014780C">
            <w:pPr>
              <w:spacing w:after="0"/>
              <w:jc w:val="center"/>
              <w:rPr>
                <w:rFonts w:ascii="Arial" w:hAnsi="Arial" w:cs="Arial"/>
                <w:sz w:val="18"/>
                <w:szCs w:val="18"/>
              </w:rPr>
            </w:pPr>
            <w:r>
              <w:rPr>
                <w:rFonts w:ascii="Arial" w:hAnsi="Arial" w:cs="Arial"/>
                <w:sz w:val="18"/>
                <w:szCs w:val="18"/>
              </w:rPr>
              <w:t>25.8 ± 2.5</w:t>
            </w:r>
          </w:p>
        </w:tc>
        <w:tc>
          <w:tcPr>
            <w:tcW w:w="993" w:type="dxa"/>
            <w:shd w:val="clear" w:color="auto" w:fill="FFFFFF"/>
            <w:vAlign w:val="bottom"/>
            <w:hideMark/>
          </w:tcPr>
          <w:p w14:paraId="7CEE9E44"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-0.01</w:t>
            </w:r>
          </w:p>
        </w:tc>
        <w:tc>
          <w:tcPr>
            <w:tcW w:w="851" w:type="dxa"/>
            <w:shd w:val="clear" w:color="auto" w:fill="FFFFFF"/>
            <w:vAlign w:val="bottom"/>
            <w:hideMark/>
          </w:tcPr>
          <w:p w14:paraId="693A95C8"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0.01</w:t>
            </w:r>
          </w:p>
        </w:tc>
        <w:tc>
          <w:tcPr>
            <w:tcW w:w="1135" w:type="dxa"/>
            <w:vAlign w:val="center"/>
            <w:hideMark/>
          </w:tcPr>
          <w:p w14:paraId="0790F5E6" w14:textId="77777777" w:rsidR="0014780C" w:rsidRDefault="0014780C" w:rsidP="0014780C">
            <w:pPr>
              <w:spacing w:after="0"/>
              <w:jc w:val="center"/>
              <w:rPr>
                <w:rFonts w:ascii="Arial" w:hAnsi="Arial" w:cs="Arial"/>
                <w:sz w:val="18"/>
                <w:szCs w:val="18"/>
              </w:rPr>
            </w:pPr>
            <w:r>
              <w:rPr>
                <w:rFonts w:ascii="Arial" w:hAnsi="Arial" w:cs="Arial"/>
                <w:sz w:val="18"/>
                <w:szCs w:val="18"/>
              </w:rPr>
              <w:t>0.737</w:t>
            </w:r>
          </w:p>
        </w:tc>
      </w:tr>
      <w:tr w:rsidR="0014780C" w14:paraId="510BD71F" w14:textId="77777777" w:rsidTr="0014780C">
        <w:trPr>
          <w:cantSplit/>
        </w:trPr>
        <w:tc>
          <w:tcPr>
            <w:tcW w:w="709" w:type="dxa"/>
            <w:vMerge/>
            <w:tcBorders>
              <w:top w:val="nil"/>
              <w:left w:val="nil"/>
              <w:bottom w:val="single" w:sz="8" w:space="0" w:color="152935"/>
              <w:right w:val="single" w:sz="4" w:space="0" w:color="auto"/>
            </w:tcBorders>
            <w:vAlign w:val="center"/>
            <w:hideMark/>
          </w:tcPr>
          <w:p w14:paraId="39F6BB17" w14:textId="77777777" w:rsidR="0014780C" w:rsidRDefault="0014780C" w:rsidP="0014780C">
            <w:pPr>
              <w:spacing w:after="0" w:line="256" w:lineRule="auto"/>
              <w:rPr>
                <w:rFonts w:ascii="Arial" w:hAnsi="Arial" w:cs="Arial"/>
                <w:color w:val="264A60"/>
                <w:sz w:val="18"/>
                <w:szCs w:val="18"/>
              </w:rPr>
            </w:pPr>
          </w:p>
        </w:tc>
        <w:tc>
          <w:tcPr>
            <w:tcW w:w="1559" w:type="dxa"/>
            <w:tcBorders>
              <w:top w:val="single" w:sz="8" w:space="0" w:color="152935"/>
              <w:left w:val="single" w:sz="4" w:space="0" w:color="auto"/>
              <w:bottom w:val="single" w:sz="8" w:space="0" w:color="152935"/>
              <w:right w:val="nil"/>
            </w:tcBorders>
            <w:shd w:val="clear" w:color="auto" w:fill="E7E6E6" w:themeFill="background2"/>
            <w:vAlign w:val="center"/>
            <w:hideMark/>
          </w:tcPr>
          <w:p w14:paraId="49743B92" w14:textId="77777777" w:rsidR="0014780C" w:rsidRDefault="0014780C" w:rsidP="0014780C">
            <w:pPr>
              <w:spacing w:after="0"/>
              <w:rPr>
                <w:rFonts w:ascii="Arial" w:hAnsi="Arial" w:cs="Arial"/>
                <w:color w:val="264A60"/>
                <w:sz w:val="18"/>
                <w:szCs w:val="18"/>
              </w:rPr>
            </w:pPr>
            <w:r>
              <w:rPr>
                <w:rFonts w:ascii="Arial" w:hAnsi="Arial" w:cs="Arial"/>
                <w:color w:val="264A60"/>
                <w:sz w:val="18"/>
                <w:szCs w:val="18"/>
              </w:rPr>
              <w:t>R</w:t>
            </w:r>
            <w:r>
              <w:rPr>
                <w:rFonts w:ascii="Arial" w:hAnsi="Arial" w:cs="Arial"/>
                <w:color w:val="264A60"/>
                <w:sz w:val="18"/>
                <w:szCs w:val="18"/>
                <w:vertAlign w:val="superscript"/>
              </w:rPr>
              <w:t>2</w:t>
            </w:r>
          </w:p>
        </w:tc>
        <w:tc>
          <w:tcPr>
            <w:tcW w:w="567" w:type="dxa"/>
            <w:tcBorders>
              <w:top w:val="nil"/>
              <w:left w:val="nil"/>
              <w:bottom w:val="single" w:sz="4" w:space="0" w:color="auto"/>
              <w:right w:val="nil"/>
            </w:tcBorders>
            <w:vAlign w:val="center"/>
            <w:hideMark/>
          </w:tcPr>
          <w:p w14:paraId="0B1E1E31" w14:textId="77777777" w:rsidR="0014780C" w:rsidRDefault="0014780C" w:rsidP="0014780C">
            <w:pPr>
              <w:spacing w:after="0"/>
              <w:jc w:val="center"/>
              <w:rPr>
                <w:rFonts w:ascii="Arial" w:hAnsi="Arial" w:cs="Arial"/>
                <w:sz w:val="18"/>
                <w:szCs w:val="18"/>
              </w:rPr>
            </w:pPr>
            <w:r>
              <w:rPr>
                <w:rFonts w:ascii="Arial" w:hAnsi="Arial" w:cs="Arial"/>
                <w:sz w:val="18"/>
                <w:szCs w:val="18"/>
              </w:rPr>
              <w:t>206</w:t>
            </w:r>
          </w:p>
        </w:tc>
        <w:tc>
          <w:tcPr>
            <w:tcW w:w="1560" w:type="dxa"/>
            <w:tcBorders>
              <w:top w:val="nil"/>
              <w:left w:val="nil"/>
              <w:bottom w:val="single" w:sz="4" w:space="0" w:color="auto"/>
              <w:right w:val="nil"/>
            </w:tcBorders>
            <w:shd w:val="clear" w:color="auto" w:fill="FFFFFF"/>
            <w:hideMark/>
          </w:tcPr>
          <w:p w14:paraId="1D790296" w14:textId="77777777" w:rsidR="0014780C" w:rsidRDefault="0014780C" w:rsidP="0014780C">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96.1 ± 1.4</w:t>
            </w:r>
          </w:p>
        </w:tc>
        <w:tc>
          <w:tcPr>
            <w:tcW w:w="1701" w:type="dxa"/>
            <w:tcBorders>
              <w:top w:val="nil"/>
              <w:left w:val="nil"/>
              <w:bottom w:val="single" w:sz="4" w:space="0" w:color="auto"/>
              <w:right w:val="nil"/>
            </w:tcBorders>
            <w:vAlign w:val="center"/>
            <w:hideMark/>
          </w:tcPr>
          <w:p w14:paraId="46650497" w14:textId="77777777" w:rsidR="0014780C" w:rsidRDefault="0014780C" w:rsidP="0014780C">
            <w:pPr>
              <w:spacing w:after="0"/>
              <w:jc w:val="center"/>
              <w:rPr>
                <w:rFonts w:ascii="Arial" w:hAnsi="Arial" w:cs="Arial"/>
                <w:sz w:val="18"/>
                <w:szCs w:val="18"/>
              </w:rPr>
            </w:pPr>
            <w:r>
              <w:rPr>
                <w:rFonts w:ascii="Arial" w:hAnsi="Arial" w:cs="Arial"/>
                <w:sz w:val="18"/>
                <w:szCs w:val="18"/>
              </w:rPr>
              <w:t>96.3 ± 1.4</w:t>
            </w:r>
          </w:p>
        </w:tc>
        <w:tc>
          <w:tcPr>
            <w:tcW w:w="993" w:type="dxa"/>
            <w:tcBorders>
              <w:top w:val="nil"/>
              <w:left w:val="nil"/>
              <w:bottom w:val="single" w:sz="4" w:space="0" w:color="auto"/>
              <w:right w:val="nil"/>
            </w:tcBorders>
            <w:shd w:val="clear" w:color="auto" w:fill="FFFFFF"/>
            <w:vAlign w:val="bottom"/>
            <w:hideMark/>
          </w:tcPr>
          <w:p w14:paraId="2C6DF55D"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-0.36</w:t>
            </w:r>
          </w:p>
        </w:tc>
        <w:tc>
          <w:tcPr>
            <w:tcW w:w="851" w:type="dxa"/>
            <w:tcBorders>
              <w:top w:val="nil"/>
              <w:left w:val="nil"/>
              <w:bottom w:val="single" w:sz="4" w:space="0" w:color="auto"/>
              <w:right w:val="nil"/>
            </w:tcBorders>
            <w:shd w:val="clear" w:color="auto" w:fill="FFFFFF"/>
            <w:vAlign w:val="bottom"/>
            <w:hideMark/>
          </w:tcPr>
          <w:p w14:paraId="116AC8D4"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-0.13</w:t>
            </w:r>
          </w:p>
        </w:tc>
        <w:tc>
          <w:tcPr>
            <w:tcW w:w="1135" w:type="dxa"/>
            <w:tcBorders>
              <w:top w:val="nil"/>
              <w:left w:val="nil"/>
              <w:bottom w:val="single" w:sz="4" w:space="0" w:color="auto"/>
              <w:right w:val="nil"/>
            </w:tcBorders>
            <w:vAlign w:val="center"/>
            <w:hideMark/>
          </w:tcPr>
          <w:p w14:paraId="48A730E7" w14:textId="77777777" w:rsidR="0014780C" w:rsidRDefault="0014780C" w:rsidP="0014780C">
            <w:pPr>
              <w:spacing w:after="0"/>
              <w:jc w:val="center"/>
              <w:rPr>
                <w:rFonts w:ascii="Arial" w:hAnsi="Arial" w:cs="Arial"/>
                <w:sz w:val="18"/>
                <w:szCs w:val="18"/>
              </w:rPr>
            </w:pPr>
            <w:r>
              <w:rPr>
                <w:rFonts w:ascii="Arial" w:hAnsi="Arial" w:cs="Arial"/>
                <w:sz w:val="18"/>
                <w:szCs w:val="18"/>
              </w:rPr>
              <w:t>&lt;0.001 *</w:t>
            </w:r>
          </w:p>
        </w:tc>
      </w:tr>
      <w:tr w:rsidR="0014780C" w14:paraId="39653461" w14:textId="77777777" w:rsidTr="0014780C">
        <w:trPr>
          <w:cantSplit/>
        </w:trPr>
        <w:tc>
          <w:tcPr>
            <w:tcW w:w="709" w:type="dxa"/>
            <w:vMerge w:val="restart"/>
            <w:tcBorders>
              <w:top w:val="single" w:sz="8" w:space="0" w:color="152935"/>
              <w:left w:val="nil"/>
              <w:bottom w:val="nil"/>
              <w:right w:val="single" w:sz="4" w:space="0" w:color="auto"/>
            </w:tcBorders>
            <w:shd w:val="clear" w:color="auto" w:fill="E7E6E6" w:themeFill="background2"/>
            <w:hideMark/>
          </w:tcPr>
          <w:p w14:paraId="4E48ABDC"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r>
              <w:rPr>
                <w:rFonts w:ascii="Arial" w:hAnsi="Arial" w:cs="Arial"/>
                <w:color w:val="264A60"/>
                <w:sz w:val="18"/>
                <w:szCs w:val="18"/>
              </w:rPr>
              <w:t>SR</w:t>
            </w:r>
          </w:p>
        </w:tc>
        <w:tc>
          <w:tcPr>
            <w:tcW w:w="1559" w:type="dxa"/>
            <w:tcBorders>
              <w:top w:val="single" w:sz="8" w:space="0" w:color="152935"/>
              <w:left w:val="nil"/>
              <w:bottom w:val="single" w:sz="4" w:space="0" w:color="auto"/>
              <w:right w:val="nil"/>
            </w:tcBorders>
            <w:shd w:val="clear" w:color="auto" w:fill="E7E6E6" w:themeFill="background2"/>
            <w:hideMark/>
          </w:tcPr>
          <w:p w14:paraId="54F5EA77"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r>
              <w:rPr>
                <w:rFonts w:ascii="Arial" w:hAnsi="Arial" w:cs="Arial"/>
                <w:color w:val="264A60"/>
                <w:sz w:val="18"/>
                <w:szCs w:val="18"/>
              </w:rPr>
              <w:t>ECV fraction (%)</w:t>
            </w:r>
          </w:p>
        </w:tc>
        <w:tc>
          <w:tcPr>
            <w:tcW w:w="567" w:type="dxa"/>
            <w:tcBorders>
              <w:top w:val="single" w:sz="4" w:space="0" w:color="auto"/>
              <w:left w:val="nil"/>
              <w:bottom w:val="nil"/>
              <w:right w:val="nil"/>
            </w:tcBorders>
            <w:hideMark/>
          </w:tcPr>
          <w:p w14:paraId="7930C55F"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79</w:t>
            </w:r>
          </w:p>
        </w:tc>
        <w:tc>
          <w:tcPr>
            <w:tcW w:w="1560" w:type="dxa"/>
            <w:tcBorders>
              <w:top w:val="single" w:sz="4" w:space="0" w:color="auto"/>
              <w:left w:val="nil"/>
              <w:bottom w:val="nil"/>
              <w:right w:val="nil"/>
            </w:tcBorders>
            <w:hideMark/>
          </w:tcPr>
          <w:p w14:paraId="5F10CE29"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25.6 ± 3.6</w:t>
            </w:r>
          </w:p>
        </w:tc>
        <w:tc>
          <w:tcPr>
            <w:tcW w:w="1701" w:type="dxa"/>
            <w:tcBorders>
              <w:top w:val="single" w:sz="4" w:space="0" w:color="auto"/>
              <w:left w:val="nil"/>
              <w:bottom w:val="nil"/>
              <w:right w:val="nil"/>
            </w:tcBorders>
            <w:hideMark/>
          </w:tcPr>
          <w:p w14:paraId="22C1F674"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25.5 ± 2.5</w:t>
            </w:r>
          </w:p>
        </w:tc>
        <w:tc>
          <w:tcPr>
            <w:tcW w:w="993" w:type="dxa"/>
            <w:tcBorders>
              <w:top w:val="single" w:sz="4" w:space="0" w:color="auto"/>
              <w:left w:val="nil"/>
              <w:bottom w:val="nil"/>
              <w:right w:val="nil"/>
            </w:tcBorders>
            <w:hideMark/>
          </w:tcPr>
          <w:p w14:paraId="061887C7"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-0.01</w:t>
            </w:r>
          </w:p>
        </w:tc>
        <w:tc>
          <w:tcPr>
            <w:tcW w:w="851" w:type="dxa"/>
            <w:tcBorders>
              <w:top w:val="single" w:sz="4" w:space="0" w:color="auto"/>
              <w:left w:val="nil"/>
              <w:bottom w:val="nil"/>
              <w:right w:val="nil"/>
            </w:tcBorders>
            <w:hideMark/>
          </w:tcPr>
          <w:p w14:paraId="761D8347"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0.01</w:t>
            </w:r>
          </w:p>
        </w:tc>
        <w:tc>
          <w:tcPr>
            <w:tcW w:w="1135" w:type="dxa"/>
            <w:tcBorders>
              <w:top w:val="single" w:sz="4" w:space="0" w:color="auto"/>
              <w:left w:val="nil"/>
              <w:bottom w:val="nil"/>
              <w:right w:val="nil"/>
            </w:tcBorders>
            <w:hideMark/>
          </w:tcPr>
          <w:p w14:paraId="65423E84" w14:textId="77777777" w:rsidR="0014780C" w:rsidRDefault="0014780C" w:rsidP="0014780C">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0.788</w:t>
            </w:r>
          </w:p>
        </w:tc>
      </w:tr>
      <w:tr w:rsidR="0014780C" w14:paraId="0BBB8B1A" w14:textId="77777777" w:rsidTr="0014780C">
        <w:trPr>
          <w:cantSplit/>
        </w:trPr>
        <w:tc>
          <w:tcPr>
            <w:tcW w:w="709" w:type="dxa"/>
            <w:vMerge/>
            <w:tcBorders>
              <w:top w:val="single" w:sz="8" w:space="0" w:color="152935"/>
              <w:left w:val="nil"/>
              <w:bottom w:val="nil"/>
              <w:right w:val="single" w:sz="4" w:space="0" w:color="auto"/>
            </w:tcBorders>
            <w:vAlign w:val="center"/>
            <w:hideMark/>
          </w:tcPr>
          <w:p w14:paraId="7A9752B0" w14:textId="77777777" w:rsidR="0014780C" w:rsidRDefault="0014780C" w:rsidP="0014780C">
            <w:pPr>
              <w:spacing w:after="0" w:line="256" w:lineRule="auto"/>
              <w:rPr>
                <w:rFonts w:ascii="Arial" w:hAnsi="Arial" w:cs="Arial"/>
                <w:color w:val="264A60"/>
                <w:sz w:val="18"/>
                <w:szCs w:val="18"/>
              </w:rPr>
            </w:pPr>
          </w:p>
        </w:tc>
        <w:tc>
          <w:tcPr>
            <w:tcW w:w="1559" w:type="dxa"/>
            <w:tcBorders>
              <w:top w:val="single" w:sz="4" w:space="0" w:color="auto"/>
              <w:left w:val="nil"/>
              <w:bottom w:val="single" w:sz="4" w:space="0" w:color="auto"/>
              <w:right w:val="nil"/>
            </w:tcBorders>
            <w:shd w:val="clear" w:color="auto" w:fill="E7E6E6" w:themeFill="background2"/>
            <w:hideMark/>
          </w:tcPr>
          <w:p w14:paraId="1A4C27E5"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r>
              <w:rPr>
                <w:rFonts w:ascii="Arial" w:hAnsi="Arial" w:cs="Arial"/>
                <w:color w:val="264A60"/>
                <w:sz w:val="18"/>
                <w:szCs w:val="18"/>
              </w:rPr>
              <w:t>Native T1 (</w:t>
            </w:r>
            <w:proofErr w:type="spellStart"/>
            <w:r>
              <w:rPr>
                <w:rFonts w:ascii="Arial" w:hAnsi="Arial" w:cs="Arial"/>
                <w:color w:val="264A60"/>
                <w:sz w:val="18"/>
                <w:szCs w:val="18"/>
              </w:rPr>
              <w:t>ms</w:t>
            </w:r>
            <w:proofErr w:type="spellEnd"/>
            <w:r>
              <w:rPr>
                <w:rFonts w:ascii="Arial" w:hAnsi="Arial" w:cs="Arial"/>
                <w:color w:val="264A60"/>
                <w:sz w:val="18"/>
                <w:szCs w:val="18"/>
              </w:rPr>
              <w:t>)</w:t>
            </w:r>
          </w:p>
        </w:tc>
        <w:tc>
          <w:tcPr>
            <w:tcW w:w="567" w:type="dxa"/>
            <w:hideMark/>
          </w:tcPr>
          <w:p w14:paraId="76A33CB4"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83</w:t>
            </w:r>
          </w:p>
        </w:tc>
        <w:tc>
          <w:tcPr>
            <w:tcW w:w="1560" w:type="dxa"/>
            <w:hideMark/>
          </w:tcPr>
          <w:p w14:paraId="6F5CAE4A"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974 ± 33</w:t>
            </w:r>
          </w:p>
        </w:tc>
        <w:tc>
          <w:tcPr>
            <w:tcW w:w="1701" w:type="dxa"/>
            <w:hideMark/>
          </w:tcPr>
          <w:p w14:paraId="5197321C"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974 ± 28</w:t>
            </w:r>
          </w:p>
        </w:tc>
        <w:tc>
          <w:tcPr>
            <w:tcW w:w="993" w:type="dxa"/>
            <w:hideMark/>
          </w:tcPr>
          <w:p w14:paraId="306A454C"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-4.63</w:t>
            </w:r>
          </w:p>
        </w:tc>
        <w:tc>
          <w:tcPr>
            <w:tcW w:w="851" w:type="dxa"/>
            <w:hideMark/>
          </w:tcPr>
          <w:p w14:paraId="77F14860"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4.83</w:t>
            </w:r>
          </w:p>
        </w:tc>
        <w:tc>
          <w:tcPr>
            <w:tcW w:w="1135" w:type="dxa"/>
            <w:hideMark/>
          </w:tcPr>
          <w:p w14:paraId="7E728DEC"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0.966</w:t>
            </w:r>
          </w:p>
        </w:tc>
      </w:tr>
      <w:tr w:rsidR="0014780C" w14:paraId="64A68ABF" w14:textId="77777777" w:rsidTr="0014780C">
        <w:trPr>
          <w:cantSplit/>
        </w:trPr>
        <w:tc>
          <w:tcPr>
            <w:tcW w:w="709" w:type="dxa"/>
            <w:tcBorders>
              <w:top w:val="nil"/>
              <w:left w:val="nil"/>
              <w:bottom w:val="nil"/>
              <w:right w:val="single" w:sz="4" w:space="0" w:color="auto"/>
            </w:tcBorders>
            <w:shd w:val="clear" w:color="auto" w:fill="E7E6E6" w:themeFill="background2"/>
          </w:tcPr>
          <w:p w14:paraId="34D41B5E"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p>
        </w:tc>
        <w:tc>
          <w:tcPr>
            <w:tcW w:w="1559" w:type="dxa"/>
            <w:tcBorders>
              <w:top w:val="single" w:sz="4" w:space="0" w:color="auto"/>
              <w:left w:val="nil"/>
              <w:bottom w:val="single" w:sz="4" w:space="0" w:color="auto"/>
              <w:right w:val="nil"/>
            </w:tcBorders>
            <w:shd w:val="clear" w:color="auto" w:fill="E7E6E6" w:themeFill="background2"/>
            <w:hideMark/>
          </w:tcPr>
          <w:p w14:paraId="482AC475"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r>
              <w:rPr>
                <w:rFonts w:ascii="Arial" w:hAnsi="Arial" w:cs="Arial"/>
                <w:color w:val="264A60"/>
                <w:sz w:val="18"/>
                <w:szCs w:val="18"/>
              </w:rPr>
              <w:t>Post-contrast (</w:t>
            </w:r>
            <w:proofErr w:type="spellStart"/>
            <w:r>
              <w:rPr>
                <w:rFonts w:ascii="Arial" w:hAnsi="Arial" w:cs="Arial"/>
                <w:color w:val="264A60"/>
                <w:sz w:val="18"/>
                <w:szCs w:val="18"/>
              </w:rPr>
              <w:t>ms</w:t>
            </w:r>
            <w:proofErr w:type="spellEnd"/>
            <w:r>
              <w:rPr>
                <w:rFonts w:ascii="Arial" w:hAnsi="Arial" w:cs="Arial"/>
                <w:color w:val="264A60"/>
                <w:sz w:val="18"/>
                <w:szCs w:val="18"/>
              </w:rPr>
              <w:t>)</w:t>
            </w:r>
          </w:p>
        </w:tc>
        <w:tc>
          <w:tcPr>
            <w:tcW w:w="567" w:type="dxa"/>
            <w:hideMark/>
          </w:tcPr>
          <w:p w14:paraId="2BBF9825"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81</w:t>
            </w:r>
          </w:p>
        </w:tc>
        <w:tc>
          <w:tcPr>
            <w:tcW w:w="1560" w:type="dxa"/>
            <w:hideMark/>
          </w:tcPr>
          <w:p w14:paraId="703C7C89" w14:textId="77777777" w:rsidR="0014780C" w:rsidRDefault="0014780C" w:rsidP="0014780C">
            <w:pPr>
              <w:autoSpaceDE w:val="0"/>
              <w:autoSpaceDN w:val="0"/>
              <w:adjustRightInd w:val="0"/>
              <w:spacing w:after="0" w:line="320" w:lineRule="atLeast"/>
              <w:ind w:left="60" w:right="60"/>
              <w:jc w:val="center"/>
            </w:pPr>
            <w:r>
              <w:rPr>
                <w:rFonts w:ascii="Arial" w:hAnsi="Arial" w:cs="Arial"/>
                <w:color w:val="010205"/>
                <w:sz w:val="18"/>
                <w:szCs w:val="18"/>
              </w:rPr>
              <w:t xml:space="preserve">469 ± </w:t>
            </w:r>
            <w:r>
              <w:t>35</w:t>
            </w:r>
          </w:p>
        </w:tc>
        <w:tc>
          <w:tcPr>
            <w:tcW w:w="1701" w:type="dxa"/>
            <w:hideMark/>
          </w:tcPr>
          <w:p w14:paraId="5B827D58"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472 ± 31</w:t>
            </w:r>
          </w:p>
        </w:tc>
        <w:tc>
          <w:tcPr>
            <w:tcW w:w="993" w:type="dxa"/>
            <w:hideMark/>
          </w:tcPr>
          <w:p w14:paraId="380F7043"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-6.42</w:t>
            </w:r>
          </w:p>
        </w:tc>
        <w:tc>
          <w:tcPr>
            <w:tcW w:w="851" w:type="dxa"/>
            <w:hideMark/>
          </w:tcPr>
          <w:p w14:paraId="43528545"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1.32</w:t>
            </w:r>
          </w:p>
        </w:tc>
        <w:tc>
          <w:tcPr>
            <w:tcW w:w="1135" w:type="dxa"/>
            <w:hideMark/>
          </w:tcPr>
          <w:p w14:paraId="4FCF741E"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0.194</w:t>
            </w:r>
          </w:p>
        </w:tc>
      </w:tr>
      <w:tr w:rsidR="0014780C" w14:paraId="47B55462" w14:textId="77777777" w:rsidTr="0014780C">
        <w:trPr>
          <w:cantSplit/>
        </w:trPr>
        <w:tc>
          <w:tcPr>
            <w:tcW w:w="709" w:type="dxa"/>
            <w:tcBorders>
              <w:top w:val="nil"/>
              <w:left w:val="nil"/>
              <w:bottom w:val="nil"/>
              <w:right w:val="single" w:sz="4" w:space="0" w:color="auto"/>
            </w:tcBorders>
            <w:shd w:val="clear" w:color="auto" w:fill="E7E6E6" w:themeFill="background2"/>
          </w:tcPr>
          <w:p w14:paraId="6425B825"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p>
        </w:tc>
        <w:tc>
          <w:tcPr>
            <w:tcW w:w="1559" w:type="dxa"/>
            <w:tcBorders>
              <w:top w:val="single" w:sz="4" w:space="0" w:color="auto"/>
              <w:left w:val="nil"/>
              <w:bottom w:val="single" w:sz="4" w:space="0" w:color="auto"/>
              <w:right w:val="nil"/>
            </w:tcBorders>
            <w:shd w:val="clear" w:color="auto" w:fill="E7E6E6" w:themeFill="background2"/>
            <w:hideMark/>
          </w:tcPr>
          <w:p w14:paraId="16165FD3"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r>
              <w:rPr>
                <w:rFonts w:ascii="Arial" w:hAnsi="Arial" w:cs="Arial"/>
                <w:color w:val="264A60"/>
                <w:sz w:val="18"/>
                <w:szCs w:val="18"/>
              </w:rPr>
              <w:t>R</w:t>
            </w:r>
            <w:r>
              <w:rPr>
                <w:rFonts w:ascii="Arial" w:hAnsi="Arial" w:cs="Arial"/>
                <w:color w:val="264A60"/>
                <w:sz w:val="18"/>
                <w:szCs w:val="18"/>
                <w:vertAlign w:val="superscript"/>
              </w:rPr>
              <w:t>2</w:t>
            </w:r>
          </w:p>
        </w:tc>
        <w:tc>
          <w:tcPr>
            <w:tcW w:w="567" w:type="dxa"/>
            <w:tcBorders>
              <w:top w:val="nil"/>
              <w:left w:val="nil"/>
              <w:bottom w:val="single" w:sz="4" w:space="0" w:color="auto"/>
              <w:right w:val="nil"/>
            </w:tcBorders>
            <w:hideMark/>
          </w:tcPr>
          <w:p w14:paraId="7366E935"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164</w:t>
            </w:r>
          </w:p>
        </w:tc>
        <w:tc>
          <w:tcPr>
            <w:tcW w:w="1560" w:type="dxa"/>
            <w:tcBorders>
              <w:top w:val="nil"/>
              <w:left w:val="nil"/>
              <w:bottom w:val="single" w:sz="4" w:space="0" w:color="auto"/>
              <w:right w:val="nil"/>
            </w:tcBorders>
            <w:hideMark/>
          </w:tcPr>
          <w:p w14:paraId="4E0D8200"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96.1 ± 1.4</w:t>
            </w:r>
          </w:p>
        </w:tc>
        <w:tc>
          <w:tcPr>
            <w:tcW w:w="1701" w:type="dxa"/>
            <w:tcBorders>
              <w:top w:val="nil"/>
              <w:left w:val="nil"/>
              <w:bottom w:val="single" w:sz="4" w:space="0" w:color="auto"/>
              <w:right w:val="nil"/>
            </w:tcBorders>
            <w:hideMark/>
          </w:tcPr>
          <w:p w14:paraId="77411BA1"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96.4 ± 1.4</w:t>
            </w:r>
          </w:p>
        </w:tc>
        <w:tc>
          <w:tcPr>
            <w:tcW w:w="993" w:type="dxa"/>
            <w:tcBorders>
              <w:top w:val="nil"/>
              <w:left w:val="nil"/>
              <w:bottom w:val="single" w:sz="4" w:space="0" w:color="auto"/>
              <w:right w:val="nil"/>
            </w:tcBorders>
            <w:hideMark/>
          </w:tcPr>
          <w:p w14:paraId="17CDE355"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-0.33</w:t>
            </w:r>
          </w:p>
        </w:tc>
        <w:tc>
          <w:tcPr>
            <w:tcW w:w="851" w:type="dxa"/>
            <w:tcBorders>
              <w:top w:val="nil"/>
              <w:left w:val="nil"/>
              <w:bottom w:val="single" w:sz="4" w:space="0" w:color="auto"/>
              <w:right w:val="nil"/>
            </w:tcBorders>
            <w:hideMark/>
          </w:tcPr>
          <w:p w14:paraId="5096E076"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-0.07</w:t>
            </w:r>
          </w:p>
        </w:tc>
        <w:tc>
          <w:tcPr>
            <w:tcW w:w="1135" w:type="dxa"/>
            <w:tcBorders>
              <w:top w:val="nil"/>
              <w:left w:val="nil"/>
              <w:bottom w:val="single" w:sz="4" w:space="0" w:color="auto"/>
              <w:right w:val="nil"/>
            </w:tcBorders>
            <w:hideMark/>
          </w:tcPr>
          <w:p w14:paraId="472DEBA1"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0.003 *</w:t>
            </w:r>
          </w:p>
        </w:tc>
      </w:tr>
      <w:tr w:rsidR="0014780C" w14:paraId="29A61B64" w14:textId="77777777" w:rsidTr="0014780C">
        <w:trPr>
          <w:cantSplit/>
        </w:trPr>
        <w:tc>
          <w:tcPr>
            <w:tcW w:w="709" w:type="dxa"/>
            <w:vMerge w:val="restart"/>
            <w:tcBorders>
              <w:top w:val="single" w:sz="4" w:space="0" w:color="auto"/>
              <w:left w:val="nil"/>
              <w:bottom w:val="nil"/>
              <w:right w:val="single" w:sz="4" w:space="0" w:color="auto"/>
            </w:tcBorders>
            <w:shd w:val="clear" w:color="auto" w:fill="E7E6E6" w:themeFill="background2"/>
            <w:hideMark/>
          </w:tcPr>
          <w:p w14:paraId="127305BA"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r>
              <w:rPr>
                <w:rFonts w:ascii="Arial" w:hAnsi="Arial" w:cs="Arial"/>
                <w:color w:val="264A60"/>
                <w:sz w:val="18"/>
                <w:szCs w:val="18"/>
              </w:rPr>
              <w:t>AF</w:t>
            </w:r>
          </w:p>
        </w:tc>
        <w:tc>
          <w:tcPr>
            <w:tcW w:w="1559" w:type="dxa"/>
            <w:tcBorders>
              <w:top w:val="single" w:sz="4" w:space="0" w:color="auto"/>
              <w:left w:val="nil"/>
              <w:bottom w:val="single" w:sz="4" w:space="0" w:color="auto"/>
              <w:right w:val="nil"/>
            </w:tcBorders>
            <w:shd w:val="clear" w:color="auto" w:fill="E7E6E6" w:themeFill="background2"/>
            <w:hideMark/>
          </w:tcPr>
          <w:p w14:paraId="61AF670B"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r>
              <w:rPr>
                <w:rFonts w:ascii="Arial" w:hAnsi="Arial" w:cs="Arial"/>
                <w:color w:val="264A60"/>
                <w:sz w:val="18"/>
                <w:szCs w:val="18"/>
              </w:rPr>
              <w:t>ECV fraction (%)</w:t>
            </w:r>
          </w:p>
        </w:tc>
        <w:tc>
          <w:tcPr>
            <w:tcW w:w="567" w:type="dxa"/>
            <w:tcBorders>
              <w:top w:val="single" w:sz="4" w:space="0" w:color="auto"/>
              <w:left w:val="nil"/>
              <w:bottom w:val="nil"/>
              <w:right w:val="nil"/>
            </w:tcBorders>
            <w:hideMark/>
          </w:tcPr>
          <w:p w14:paraId="2110ECDC"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19</w:t>
            </w:r>
          </w:p>
        </w:tc>
        <w:tc>
          <w:tcPr>
            <w:tcW w:w="1560" w:type="dxa"/>
            <w:tcBorders>
              <w:top w:val="single" w:sz="4" w:space="0" w:color="auto"/>
              <w:left w:val="nil"/>
              <w:bottom w:val="nil"/>
              <w:right w:val="nil"/>
            </w:tcBorders>
            <w:hideMark/>
          </w:tcPr>
          <w:p w14:paraId="215B81ED"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27.2 ±</w:t>
            </w:r>
            <w:r>
              <w:rPr>
                <w:rFonts w:ascii="Arial" w:hAnsi="Arial" w:cs="Arial"/>
                <w:color w:val="010205"/>
                <w:sz w:val="18"/>
                <w:szCs w:val="18"/>
                <w:u w:val="single"/>
              </w:rPr>
              <w:t xml:space="preserve"> 2.6</w:t>
            </w:r>
          </w:p>
        </w:tc>
        <w:tc>
          <w:tcPr>
            <w:tcW w:w="1701" w:type="dxa"/>
            <w:tcBorders>
              <w:top w:val="single" w:sz="4" w:space="0" w:color="auto"/>
              <w:left w:val="nil"/>
              <w:bottom w:val="nil"/>
              <w:right w:val="nil"/>
            </w:tcBorders>
            <w:hideMark/>
          </w:tcPr>
          <w:p w14:paraId="4E9417F2"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27.1 ±</w:t>
            </w:r>
            <w:r>
              <w:rPr>
                <w:rFonts w:ascii="Arial" w:hAnsi="Arial" w:cs="Arial"/>
                <w:color w:val="010205"/>
                <w:sz w:val="18"/>
                <w:szCs w:val="18"/>
                <w:u w:val="single"/>
              </w:rPr>
              <w:t xml:space="preserve"> 2.0</w:t>
            </w:r>
          </w:p>
        </w:tc>
        <w:tc>
          <w:tcPr>
            <w:tcW w:w="993" w:type="dxa"/>
            <w:tcBorders>
              <w:top w:val="single" w:sz="4" w:space="0" w:color="auto"/>
              <w:left w:val="nil"/>
              <w:bottom w:val="nil"/>
              <w:right w:val="nil"/>
            </w:tcBorders>
            <w:hideMark/>
          </w:tcPr>
          <w:p w14:paraId="22677742"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-0.01</w:t>
            </w:r>
          </w:p>
        </w:tc>
        <w:tc>
          <w:tcPr>
            <w:tcW w:w="851" w:type="dxa"/>
            <w:tcBorders>
              <w:top w:val="single" w:sz="4" w:space="0" w:color="auto"/>
              <w:left w:val="nil"/>
              <w:bottom w:val="nil"/>
              <w:right w:val="nil"/>
            </w:tcBorders>
            <w:hideMark/>
          </w:tcPr>
          <w:p w14:paraId="7656D85E"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0.01</w:t>
            </w:r>
          </w:p>
        </w:tc>
        <w:tc>
          <w:tcPr>
            <w:tcW w:w="1135" w:type="dxa"/>
            <w:tcBorders>
              <w:top w:val="single" w:sz="4" w:space="0" w:color="auto"/>
              <w:left w:val="nil"/>
              <w:bottom w:val="nil"/>
              <w:right w:val="nil"/>
            </w:tcBorders>
            <w:hideMark/>
          </w:tcPr>
          <w:p w14:paraId="7CB79398"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0.829</w:t>
            </w:r>
          </w:p>
        </w:tc>
      </w:tr>
      <w:tr w:rsidR="0014780C" w14:paraId="1D00D332" w14:textId="77777777" w:rsidTr="0014780C">
        <w:trPr>
          <w:cantSplit/>
        </w:trPr>
        <w:tc>
          <w:tcPr>
            <w:tcW w:w="709" w:type="dxa"/>
            <w:vMerge/>
            <w:tcBorders>
              <w:top w:val="single" w:sz="4" w:space="0" w:color="auto"/>
              <w:left w:val="nil"/>
              <w:bottom w:val="nil"/>
              <w:right w:val="single" w:sz="4" w:space="0" w:color="auto"/>
            </w:tcBorders>
            <w:vAlign w:val="center"/>
            <w:hideMark/>
          </w:tcPr>
          <w:p w14:paraId="647597D4" w14:textId="77777777" w:rsidR="0014780C" w:rsidRDefault="0014780C" w:rsidP="0014780C">
            <w:pPr>
              <w:spacing w:after="0" w:line="256" w:lineRule="auto"/>
              <w:rPr>
                <w:rFonts w:ascii="Arial" w:hAnsi="Arial" w:cs="Arial"/>
                <w:color w:val="264A60"/>
                <w:sz w:val="18"/>
                <w:szCs w:val="18"/>
              </w:rPr>
            </w:pPr>
          </w:p>
        </w:tc>
        <w:tc>
          <w:tcPr>
            <w:tcW w:w="1559" w:type="dxa"/>
            <w:tcBorders>
              <w:top w:val="single" w:sz="4" w:space="0" w:color="auto"/>
              <w:left w:val="nil"/>
              <w:bottom w:val="single" w:sz="4" w:space="0" w:color="auto"/>
              <w:right w:val="nil"/>
            </w:tcBorders>
            <w:shd w:val="clear" w:color="auto" w:fill="E7E6E6" w:themeFill="background2"/>
            <w:hideMark/>
          </w:tcPr>
          <w:p w14:paraId="0E4E8B51"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r>
              <w:rPr>
                <w:rFonts w:ascii="Arial" w:hAnsi="Arial" w:cs="Arial"/>
                <w:color w:val="264A60"/>
                <w:sz w:val="18"/>
                <w:szCs w:val="18"/>
              </w:rPr>
              <w:t>Native T1 (</w:t>
            </w:r>
            <w:proofErr w:type="spellStart"/>
            <w:r>
              <w:rPr>
                <w:rFonts w:ascii="Arial" w:hAnsi="Arial" w:cs="Arial"/>
                <w:color w:val="264A60"/>
                <w:sz w:val="18"/>
                <w:szCs w:val="18"/>
              </w:rPr>
              <w:t>ms</w:t>
            </w:r>
            <w:proofErr w:type="spellEnd"/>
            <w:r>
              <w:rPr>
                <w:rFonts w:ascii="Arial" w:hAnsi="Arial" w:cs="Arial"/>
                <w:color w:val="264A60"/>
                <w:sz w:val="18"/>
                <w:szCs w:val="18"/>
              </w:rPr>
              <w:t>)</w:t>
            </w:r>
          </w:p>
        </w:tc>
        <w:tc>
          <w:tcPr>
            <w:tcW w:w="567" w:type="dxa"/>
            <w:hideMark/>
          </w:tcPr>
          <w:p w14:paraId="76435A18"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20</w:t>
            </w:r>
          </w:p>
        </w:tc>
        <w:tc>
          <w:tcPr>
            <w:tcW w:w="1560" w:type="dxa"/>
            <w:hideMark/>
          </w:tcPr>
          <w:p w14:paraId="10E4495A"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996 ± 35</w:t>
            </w:r>
          </w:p>
        </w:tc>
        <w:tc>
          <w:tcPr>
            <w:tcW w:w="1701" w:type="dxa"/>
            <w:hideMark/>
          </w:tcPr>
          <w:p w14:paraId="20DEB446"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980 ± 27</w:t>
            </w:r>
          </w:p>
        </w:tc>
        <w:tc>
          <w:tcPr>
            <w:tcW w:w="993" w:type="dxa"/>
            <w:hideMark/>
          </w:tcPr>
          <w:p w14:paraId="1AB6AC36"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2.36</w:t>
            </w:r>
          </w:p>
        </w:tc>
        <w:tc>
          <w:tcPr>
            <w:tcW w:w="851" w:type="dxa"/>
            <w:hideMark/>
          </w:tcPr>
          <w:p w14:paraId="6CF951BB"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28.08</w:t>
            </w:r>
          </w:p>
        </w:tc>
        <w:tc>
          <w:tcPr>
            <w:tcW w:w="1135" w:type="dxa"/>
            <w:hideMark/>
          </w:tcPr>
          <w:p w14:paraId="33C16307"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0.023</w:t>
            </w:r>
          </w:p>
        </w:tc>
      </w:tr>
      <w:tr w:rsidR="0014780C" w14:paraId="2CEDFCE0" w14:textId="77777777" w:rsidTr="0014780C">
        <w:trPr>
          <w:cantSplit/>
        </w:trPr>
        <w:tc>
          <w:tcPr>
            <w:tcW w:w="709" w:type="dxa"/>
            <w:tcBorders>
              <w:top w:val="nil"/>
              <w:left w:val="nil"/>
              <w:bottom w:val="nil"/>
              <w:right w:val="single" w:sz="4" w:space="0" w:color="auto"/>
            </w:tcBorders>
            <w:shd w:val="clear" w:color="auto" w:fill="E7E6E6" w:themeFill="background2"/>
          </w:tcPr>
          <w:p w14:paraId="43B2DBDD"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p>
        </w:tc>
        <w:tc>
          <w:tcPr>
            <w:tcW w:w="1559" w:type="dxa"/>
            <w:tcBorders>
              <w:top w:val="single" w:sz="4" w:space="0" w:color="auto"/>
              <w:left w:val="nil"/>
              <w:bottom w:val="single" w:sz="4" w:space="0" w:color="auto"/>
              <w:right w:val="nil"/>
            </w:tcBorders>
            <w:shd w:val="clear" w:color="auto" w:fill="E7E6E6" w:themeFill="background2"/>
            <w:hideMark/>
          </w:tcPr>
          <w:p w14:paraId="3FA977B0"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r>
              <w:rPr>
                <w:rFonts w:ascii="Arial" w:hAnsi="Arial" w:cs="Arial"/>
                <w:color w:val="264A60"/>
                <w:sz w:val="18"/>
                <w:szCs w:val="18"/>
              </w:rPr>
              <w:t>Post-contrast (</w:t>
            </w:r>
            <w:proofErr w:type="spellStart"/>
            <w:r>
              <w:rPr>
                <w:rFonts w:ascii="Arial" w:hAnsi="Arial" w:cs="Arial"/>
                <w:color w:val="264A60"/>
                <w:sz w:val="18"/>
                <w:szCs w:val="18"/>
              </w:rPr>
              <w:t>ms</w:t>
            </w:r>
            <w:proofErr w:type="spellEnd"/>
            <w:r>
              <w:rPr>
                <w:rFonts w:ascii="Arial" w:hAnsi="Arial" w:cs="Arial"/>
                <w:color w:val="264A60"/>
                <w:sz w:val="18"/>
                <w:szCs w:val="18"/>
              </w:rPr>
              <w:t>)</w:t>
            </w:r>
          </w:p>
        </w:tc>
        <w:tc>
          <w:tcPr>
            <w:tcW w:w="567" w:type="dxa"/>
            <w:hideMark/>
          </w:tcPr>
          <w:p w14:paraId="636182F0"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19</w:t>
            </w:r>
          </w:p>
        </w:tc>
        <w:tc>
          <w:tcPr>
            <w:tcW w:w="1560" w:type="dxa"/>
            <w:hideMark/>
          </w:tcPr>
          <w:p w14:paraId="2EE90F86"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461 ± 41</w:t>
            </w:r>
          </w:p>
        </w:tc>
        <w:tc>
          <w:tcPr>
            <w:tcW w:w="1701" w:type="dxa"/>
            <w:hideMark/>
          </w:tcPr>
          <w:p w14:paraId="3E055575"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468 ± 44</w:t>
            </w:r>
          </w:p>
        </w:tc>
        <w:tc>
          <w:tcPr>
            <w:tcW w:w="993" w:type="dxa"/>
            <w:hideMark/>
          </w:tcPr>
          <w:p w14:paraId="6DAC31CF"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-21.32</w:t>
            </w:r>
          </w:p>
        </w:tc>
        <w:tc>
          <w:tcPr>
            <w:tcW w:w="851" w:type="dxa"/>
            <w:hideMark/>
          </w:tcPr>
          <w:p w14:paraId="01FFB6E8"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7.30</w:t>
            </w:r>
          </w:p>
        </w:tc>
        <w:tc>
          <w:tcPr>
            <w:tcW w:w="1135" w:type="dxa"/>
            <w:hideMark/>
          </w:tcPr>
          <w:p w14:paraId="4A189A8D"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0.317</w:t>
            </w:r>
          </w:p>
        </w:tc>
      </w:tr>
      <w:tr w:rsidR="0014780C" w14:paraId="22941BA0" w14:textId="77777777" w:rsidTr="0014780C">
        <w:trPr>
          <w:cantSplit/>
        </w:trPr>
        <w:tc>
          <w:tcPr>
            <w:tcW w:w="709" w:type="dxa"/>
            <w:tcBorders>
              <w:top w:val="nil"/>
              <w:left w:val="nil"/>
              <w:bottom w:val="nil"/>
              <w:right w:val="single" w:sz="4" w:space="0" w:color="auto"/>
            </w:tcBorders>
            <w:shd w:val="clear" w:color="auto" w:fill="E7E6E6" w:themeFill="background2"/>
          </w:tcPr>
          <w:p w14:paraId="410AEC33"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p>
        </w:tc>
        <w:tc>
          <w:tcPr>
            <w:tcW w:w="1559" w:type="dxa"/>
            <w:tcBorders>
              <w:top w:val="single" w:sz="4" w:space="0" w:color="auto"/>
              <w:left w:val="nil"/>
              <w:bottom w:val="single" w:sz="4" w:space="0" w:color="auto"/>
              <w:right w:val="nil"/>
            </w:tcBorders>
            <w:shd w:val="clear" w:color="auto" w:fill="E7E6E6" w:themeFill="background2"/>
            <w:hideMark/>
          </w:tcPr>
          <w:p w14:paraId="5B143DA9" w14:textId="77777777" w:rsidR="0014780C" w:rsidRDefault="0014780C" w:rsidP="0014780C">
            <w:pPr>
              <w:autoSpaceDE w:val="0"/>
              <w:autoSpaceDN w:val="0"/>
              <w:adjustRightInd w:val="0"/>
              <w:spacing w:after="0" w:line="320" w:lineRule="atLeast"/>
              <w:ind w:right="60"/>
              <w:rPr>
                <w:rFonts w:ascii="Arial" w:hAnsi="Arial" w:cs="Arial"/>
                <w:color w:val="264A60"/>
                <w:sz w:val="18"/>
                <w:szCs w:val="18"/>
              </w:rPr>
            </w:pPr>
            <w:r>
              <w:rPr>
                <w:rFonts w:ascii="Arial" w:hAnsi="Arial" w:cs="Arial"/>
                <w:color w:val="264A60"/>
                <w:sz w:val="18"/>
                <w:szCs w:val="18"/>
              </w:rPr>
              <w:t>R</w:t>
            </w:r>
            <w:r>
              <w:rPr>
                <w:rFonts w:ascii="Arial" w:hAnsi="Arial" w:cs="Arial"/>
                <w:color w:val="264A60"/>
                <w:sz w:val="18"/>
                <w:szCs w:val="18"/>
                <w:vertAlign w:val="superscript"/>
              </w:rPr>
              <w:t>2</w:t>
            </w:r>
          </w:p>
        </w:tc>
        <w:tc>
          <w:tcPr>
            <w:tcW w:w="567" w:type="dxa"/>
            <w:tcBorders>
              <w:top w:val="nil"/>
              <w:left w:val="nil"/>
              <w:bottom w:val="single" w:sz="4" w:space="0" w:color="auto"/>
              <w:right w:val="nil"/>
            </w:tcBorders>
            <w:hideMark/>
          </w:tcPr>
          <w:p w14:paraId="328E7422"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40</w:t>
            </w:r>
          </w:p>
        </w:tc>
        <w:tc>
          <w:tcPr>
            <w:tcW w:w="1560" w:type="dxa"/>
            <w:tcBorders>
              <w:top w:val="nil"/>
              <w:left w:val="nil"/>
              <w:bottom w:val="single" w:sz="4" w:space="0" w:color="auto"/>
              <w:right w:val="nil"/>
            </w:tcBorders>
            <w:hideMark/>
          </w:tcPr>
          <w:p w14:paraId="1E09F9DF" w14:textId="77777777" w:rsidR="0014780C" w:rsidRDefault="0014780C" w:rsidP="0014780C">
            <w:pPr>
              <w:autoSpaceDE w:val="0"/>
              <w:autoSpaceDN w:val="0"/>
              <w:adjustRightInd w:val="0"/>
              <w:spacing w:after="0" w:line="320" w:lineRule="atLeast"/>
              <w:ind w:left="60" w:right="60"/>
              <w:jc w:val="center"/>
            </w:pPr>
            <w:r>
              <w:rPr>
                <w:rFonts w:ascii="Arial" w:hAnsi="Arial" w:cs="Arial"/>
                <w:color w:val="010205"/>
                <w:sz w:val="18"/>
                <w:szCs w:val="18"/>
              </w:rPr>
              <w:t xml:space="preserve">95.6 ± </w:t>
            </w:r>
            <w:r>
              <w:t>1.3</w:t>
            </w:r>
          </w:p>
        </w:tc>
        <w:tc>
          <w:tcPr>
            <w:tcW w:w="1701" w:type="dxa"/>
            <w:tcBorders>
              <w:top w:val="nil"/>
              <w:left w:val="nil"/>
              <w:bottom w:val="single" w:sz="4" w:space="0" w:color="auto"/>
              <w:right w:val="nil"/>
            </w:tcBorders>
            <w:hideMark/>
          </w:tcPr>
          <w:p w14:paraId="7FC3985B"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96.0 ± 1.2</w:t>
            </w:r>
          </w:p>
        </w:tc>
        <w:tc>
          <w:tcPr>
            <w:tcW w:w="993" w:type="dxa"/>
            <w:tcBorders>
              <w:top w:val="nil"/>
              <w:left w:val="nil"/>
              <w:bottom w:val="single" w:sz="4" w:space="0" w:color="auto"/>
              <w:right w:val="nil"/>
            </w:tcBorders>
            <w:hideMark/>
          </w:tcPr>
          <w:p w14:paraId="0DB8CBAE"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-0.64</w:t>
            </w:r>
          </w:p>
        </w:tc>
        <w:tc>
          <w:tcPr>
            <w:tcW w:w="851" w:type="dxa"/>
            <w:tcBorders>
              <w:top w:val="nil"/>
              <w:left w:val="nil"/>
              <w:bottom w:val="single" w:sz="4" w:space="0" w:color="auto"/>
              <w:right w:val="nil"/>
            </w:tcBorders>
            <w:hideMark/>
          </w:tcPr>
          <w:p w14:paraId="056A85FE"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-0.11</w:t>
            </w:r>
          </w:p>
        </w:tc>
        <w:tc>
          <w:tcPr>
            <w:tcW w:w="1135" w:type="dxa"/>
            <w:tcBorders>
              <w:top w:val="nil"/>
              <w:left w:val="nil"/>
              <w:bottom w:val="single" w:sz="4" w:space="0" w:color="auto"/>
              <w:right w:val="nil"/>
            </w:tcBorders>
            <w:hideMark/>
          </w:tcPr>
          <w:p w14:paraId="62A30217" w14:textId="77777777" w:rsidR="0014780C" w:rsidRDefault="0014780C" w:rsidP="0014780C">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0.007 *</w:t>
            </w:r>
          </w:p>
        </w:tc>
      </w:tr>
    </w:tbl>
    <w:p w14:paraId="1098A0DD" w14:textId="609C170D" w:rsidR="0014780C" w:rsidRPr="00CE1478" w:rsidRDefault="0014780C" w:rsidP="0014780C">
      <w:pPr>
        <w:pStyle w:val="PlainText"/>
        <w:jc w:val="center"/>
        <w:rPr>
          <w:b/>
          <w:bCs/>
        </w:rPr>
      </w:pPr>
      <w:r>
        <w:rPr>
          <w:b/>
          <w:bCs/>
        </w:rPr>
        <w:t xml:space="preserve">Supplementary Table </w:t>
      </w:r>
      <w:r>
        <w:rPr>
          <w:b/>
          <w:bCs/>
        </w:rPr>
        <w:t>1</w:t>
      </w:r>
      <w:r>
        <w:rPr>
          <w:b/>
          <w:bCs/>
        </w:rPr>
        <w:t>: Mid-septal region-of-interest T1 mapping in AF and sinus rhythm: differences between diastole and systole. P values with a * denotes statistical significance</w:t>
      </w:r>
    </w:p>
    <w:p w14:paraId="56790811" w14:textId="54814D84" w:rsidR="007104E3" w:rsidRDefault="007104E3">
      <w:pPr>
        <w:rPr>
          <w:b/>
          <w:bCs/>
        </w:rPr>
      </w:pPr>
    </w:p>
    <w:p w14:paraId="7F87940C" w14:textId="0F477B10" w:rsidR="0014780C" w:rsidRDefault="0014780C">
      <w:pPr>
        <w:rPr>
          <w:b/>
          <w:bCs/>
        </w:rPr>
      </w:pPr>
    </w:p>
    <w:p w14:paraId="4448BB1A" w14:textId="353EA751" w:rsidR="0014780C" w:rsidRDefault="0014780C">
      <w:pPr>
        <w:rPr>
          <w:b/>
          <w:bCs/>
        </w:rPr>
      </w:pPr>
    </w:p>
    <w:p w14:paraId="3FA5A438" w14:textId="77777777" w:rsidR="0014780C" w:rsidRDefault="0014780C">
      <w:pPr>
        <w:rPr>
          <w:b/>
          <w:bCs/>
        </w:rPr>
      </w:pPr>
    </w:p>
    <w:tbl>
      <w:tblPr>
        <w:tblpPr w:leftFromText="180" w:rightFromText="180" w:vertAnchor="text" w:horzAnchor="margin" w:tblpYSpec="bottom"/>
        <w:tblW w:w="0" w:type="auto"/>
        <w:tblCellMar>
          <w:left w:w="0" w:type="dxa"/>
          <w:right w:w="0" w:type="dxa"/>
        </w:tblCellMar>
        <w:tblLook w:val="04A0" w:firstRow="1" w:lastRow="0" w:firstColumn="1" w:lastColumn="0" w:noHBand="0" w:noVBand="1"/>
      </w:tblPr>
      <w:tblGrid>
        <w:gridCol w:w="2557"/>
        <w:gridCol w:w="2264"/>
        <w:gridCol w:w="2227"/>
        <w:gridCol w:w="1958"/>
      </w:tblGrid>
      <w:tr w:rsidR="00AC64E6" w:rsidRPr="00065771" w14:paraId="2FD5EFB6" w14:textId="77777777" w:rsidTr="00AC64E6">
        <w:tc>
          <w:tcPr>
            <w:tcW w:w="2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7E6ED2" w14:textId="77777777" w:rsidR="00AC64E6" w:rsidRDefault="00AC64E6" w:rsidP="00AC64E6">
            <w:pPr>
              <w:spacing w:after="0" w:line="240" w:lineRule="auto"/>
              <w:rPr>
                <w:b/>
                <w:bCs/>
              </w:rPr>
            </w:pPr>
            <w:r>
              <w:rPr>
                <w:b/>
                <w:bCs/>
              </w:rPr>
              <w:t xml:space="preserve">Mean absolute bias </w:t>
            </w:r>
          </w:p>
          <w:p w14:paraId="696E2F2D" w14:textId="77777777" w:rsidR="00AC64E6" w:rsidRDefault="00AC64E6" w:rsidP="00AC64E6">
            <w:pPr>
              <w:spacing w:after="0" w:line="240" w:lineRule="auto"/>
              <w:rPr>
                <w:b/>
                <w:bCs/>
              </w:rPr>
            </w:pPr>
            <w:r>
              <w:rPr>
                <w:b/>
                <w:bCs/>
              </w:rPr>
              <w:t>(n=20 T1 maps)</w:t>
            </w:r>
          </w:p>
          <w:p w14:paraId="4314B6BA" w14:textId="77777777" w:rsidR="00AC64E6" w:rsidRDefault="00AC64E6" w:rsidP="00AC64E6">
            <w:pPr>
              <w:spacing w:after="0" w:line="240" w:lineRule="auto"/>
              <w:rPr>
                <w:b/>
                <w:bCs/>
              </w:rPr>
            </w:pPr>
          </w:p>
        </w:tc>
        <w:tc>
          <w:tcPr>
            <w:tcW w:w="22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B2CE32" w14:textId="77777777" w:rsidR="00AC64E6" w:rsidRPr="00065771" w:rsidRDefault="00AC64E6" w:rsidP="00AC64E6">
            <w:pPr>
              <w:spacing w:after="100" w:afterAutospacing="1" w:line="240" w:lineRule="auto"/>
              <w:jc w:val="center"/>
              <w:rPr>
                <w:b/>
                <w:bCs/>
              </w:rPr>
            </w:pPr>
            <w:r w:rsidRPr="00065771">
              <w:rPr>
                <w:b/>
                <w:bCs/>
              </w:rPr>
              <w:t>Diastol</w:t>
            </w:r>
            <w:r>
              <w:rPr>
                <w:b/>
                <w:bCs/>
              </w:rPr>
              <w:t>e (</w:t>
            </w:r>
            <w:proofErr w:type="spellStart"/>
            <w:r>
              <w:rPr>
                <w:b/>
                <w:bCs/>
              </w:rPr>
              <w:t>ms</w:t>
            </w:r>
            <w:proofErr w:type="spellEnd"/>
            <w:r>
              <w:rPr>
                <w:b/>
                <w:bCs/>
              </w:rPr>
              <w:t>)</w:t>
            </w: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9D18B9" w14:textId="77777777" w:rsidR="00AC64E6" w:rsidRPr="00065771" w:rsidRDefault="00AC64E6" w:rsidP="00AC64E6">
            <w:pPr>
              <w:spacing w:after="100" w:afterAutospacing="1" w:line="240" w:lineRule="auto"/>
              <w:jc w:val="center"/>
              <w:rPr>
                <w:b/>
                <w:bCs/>
              </w:rPr>
            </w:pPr>
            <w:r w:rsidRPr="00065771">
              <w:rPr>
                <w:b/>
                <w:bCs/>
              </w:rPr>
              <w:t>Systol</w:t>
            </w:r>
            <w:r>
              <w:rPr>
                <w:b/>
                <w:bCs/>
              </w:rPr>
              <w:t>e (</w:t>
            </w:r>
            <w:proofErr w:type="spellStart"/>
            <w:r>
              <w:rPr>
                <w:b/>
                <w:bCs/>
              </w:rPr>
              <w:t>ms</w:t>
            </w:r>
            <w:proofErr w:type="spellEnd"/>
            <w:r>
              <w:rPr>
                <w:b/>
                <w:bCs/>
              </w:rPr>
              <w:t>)</w:t>
            </w:r>
          </w:p>
        </w:tc>
        <w:tc>
          <w:tcPr>
            <w:tcW w:w="1958" w:type="dxa"/>
            <w:tcBorders>
              <w:top w:val="single" w:sz="8" w:space="0" w:color="auto"/>
              <w:left w:val="nil"/>
              <w:bottom w:val="single" w:sz="8" w:space="0" w:color="auto"/>
              <w:right w:val="single" w:sz="8" w:space="0" w:color="auto"/>
            </w:tcBorders>
          </w:tcPr>
          <w:p w14:paraId="1FCA52C4" w14:textId="77777777" w:rsidR="00AC64E6" w:rsidRPr="00065771" w:rsidRDefault="00AC64E6" w:rsidP="00AC64E6">
            <w:pPr>
              <w:spacing w:after="100" w:afterAutospacing="1" w:line="240" w:lineRule="auto"/>
              <w:jc w:val="center"/>
              <w:rPr>
                <w:b/>
                <w:bCs/>
              </w:rPr>
            </w:pPr>
            <w:r>
              <w:rPr>
                <w:b/>
                <w:bCs/>
              </w:rPr>
              <w:t>P value</w:t>
            </w:r>
          </w:p>
        </w:tc>
      </w:tr>
      <w:tr w:rsidR="00AC64E6" w14:paraId="36236C54" w14:textId="77777777" w:rsidTr="00AC64E6">
        <w:tc>
          <w:tcPr>
            <w:tcW w:w="2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59F009" w14:textId="77777777" w:rsidR="00AC64E6" w:rsidRDefault="00AC64E6" w:rsidP="00AC64E6">
            <w:r>
              <w:t>Intra-observer</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14:paraId="3E5A57B8" w14:textId="77777777" w:rsidR="00AC64E6" w:rsidRPr="00AB6017" w:rsidRDefault="00AC64E6" w:rsidP="00AC64E6">
            <w:pPr>
              <w:jc w:val="center"/>
            </w:pPr>
            <w:r>
              <w:t xml:space="preserve">10.9 </w:t>
            </w:r>
            <w:r w:rsidRPr="00AB6017">
              <w:rPr>
                <w:u w:val="single"/>
              </w:rPr>
              <w:t>+</w:t>
            </w:r>
            <w:r>
              <w:t xml:space="preserve"> 8.4</w:t>
            </w:r>
          </w:p>
        </w:tc>
        <w:tc>
          <w:tcPr>
            <w:tcW w:w="2227" w:type="dxa"/>
            <w:tcBorders>
              <w:top w:val="nil"/>
              <w:left w:val="nil"/>
              <w:bottom w:val="single" w:sz="8" w:space="0" w:color="auto"/>
              <w:right w:val="single" w:sz="8" w:space="0" w:color="auto"/>
            </w:tcBorders>
            <w:tcMar>
              <w:top w:w="0" w:type="dxa"/>
              <w:left w:w="108" w:type="dxa"/>
              <w:bottom w:w="0" w:type="dxa"/>
              <w:right w:w="108" w:type="dxa"/>
            </w:tcMar>
            <w:hideMark/>
          </w:tcPr>
          <w:p w14:paraId="2AE40E81" w14:textId="77777777" w:rsidR="00AC64E6" w:rsidRPr="00AB6017" w:rsidRDefault="00AC64E6" w:rsidP="00AC64E6">
            <w:pPr>
              <w:jc w:val="center"/>
            </w:pPr>
            <w:r>
              <w:t xml:space="preserve">7.1 </w:t>
            </w:r>
            <w:r w:rsidRPr="00AB6017">
              <w:rPr>
                <w:u w:val="single"/>
              </w:rPr>
              <w:t>+</w:t>
            </w:r>
            <w:r>
              <w:t xml:space="preserve"> 5.9</w:t>
            </w:r>
          </w:p>
        </w:tc>
        <w:tc>
          <w:tcPr>
            <w:tcW w:w="1958" w:type="dxa"/>
            <w:tcBorders>
              <w:top w:val="nil"/>
              <w:left w:val="nil"/>
              <w:bottom w:val="single" w:sz="8" w:space="0" w:color="auto"/>
              <w:right w:val="single" w:sz="8" w:space="0" w:color="auto"/>
            </w:tcBorders>
          </w:tcPr>
          <w:p w14:paraId="0A0D2A7B" w14:textId="77777777" w:rsidR="00AC64E6" w:rsidRDefault="00AC64E6" w:rsidP="00AC64E6">
            <w:pPr>
              <w:jc w:val="center"/>
            </w:pPr>
            <w:r>
              <w:t>0.076</w:t>
            </w:r>
          </w:p>
        </w:tc>
      </w:tr>
      <w:tr w:rsidR="00AC64E6" w14:paraId="4A1927B6" w14:textId="77777777" w:rsidTr="00AC64E6">
        <w:tc>
          <w:tcPr>
            <w:tcW w:w="2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FF9C79" w14:textId="77777777" w:rsidR="00AC64E6" w:rsidRDefault="00AC64E6" w:rsidP="00AC64E6">
            <w:r>
              <w:t>Inter-observer</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14:paraId="74228C25" w14:textId="77777777" w:rsidR="00AC64E6" w:rsidRPr="00AB6017" w:rsidRDefault="00AC64E6" w:rsidP="00AC64E6">
            <w:pPr>
              <w:jc w:val="center"/>
            </w:pPr>
            <w:r>
              <w:t xml:space="preserve">9.4 </w:t>
            </w:r>
            <w:r w:rsidRPr="00AB6017">
              <w:rPr>
                <w:u w:val="single"/>
              </w:rPr>
              <w:t>+</w:t>
            </w:r>
            <w:r>
              <w:t xml:space="preserve"> 10.3</w:t>
            </w:r>
          </w:p>
        </w:tc>
        <w:tc>
          <w:tcPr>
            <w:tcW w:w="2227" w:type="dxa"/>
            <w:tcBorders>
              <w:top w:val="nil"/>
              <w:left w:val="nil"/>
              <w:bottom w:val="single" w:sz="8" w:space="0" w:color="auto"/>
              <w:right w:val="single" w:sz="8" w:space="0" w:color="auto"/>
            </w:tcBorders>
            <w:tcMar>
              <w:top w:w="0" w:type="dxa"/>
              <w:left w:w="108" w:type="dxa"/>
              <w:bottom w:w="0" w:type="dxa"/>
              <w:right w:w="108" w:type="dxa"/>
            </w:tcMar>
            <w:hideMark/>
          </w:tcPr>
          <w:p w14:paraId="6C675E80" w14:textId="77777777" w:rsidR="00AC64E6" w:rsidRPr="003661EB" w:rsidRDefault="00AC64E6" w:rsidP="00AC64E6">
            <w:pPr>
              <w:jc w:val="center"/>
            </w:pPr>
            <w:r>
              <w:t xml:space="preserve">6.4 </w:t>
            </w:r>
            <w:r w:rsidRPr="003661EB">
              <w:rPr>
                <w:u w:val="single"/>
              </w:rPr>
              <w:t>+</w:t>
            </w:r>
            <w:r>
              <w:t xml:space="preserve"> 4.1</w:t>
            </w:r>
          </w:p>
        </w:tc>
        <w:tc>
          <w:tcPr>
            <w:tcW w:w="1958" w:type="dxa"/>
            <w:tcBorders>
              <w:top w:val="nil"/>
              <w:left w:val="nil"/>
              <w:bottom w:val="single" w:sz="8" w:space="0" w:color="auto"/>
              <w:right w:val="single" w:sz="8" w:space="0" w:color="auto"/>
            </w:tcBorders>
          </w:tcPr>
          <w:p w14:paraId="54A14677" w14:textId="77777777" w:rsidR="00AC64E6" w:rsidRDefault="00AC64E6" w:rsidP="00AC64E6">
            <w:pPr>
              <w:jc w:val="center"/>
            </w:pPr>
            <w:r>
              <w:t>0.121</w:t>
            </w:r>
          </w:p>
        </w:tc>
      </w:tr>
    </w:tbl>
    <w:p w14:paraId="098B59C0" w14:textId="6278EF4D" w:rsidR="00AC64E6" w:rsidRPr="00CE1478" w:rsidRDefault="00AC64E6" w:rsidP="00AC64E6">
      <w:pPr>
        <w:pStyle w:val="PlainText"/>
        <w:jc w:val="center"/>
        <w:rPr>
          <w:b/>
          <w:bCs/>
        </w:rPr>
      </w:pPr>
      <w:r>
        <w:rPr>
          <w:b/>
          <w:bCs/>
        </w:rPr>
        <w:t xml:space="preserve">Supplementary Table </w:t>
      </w:r>
      <w:r w:rsidR="0014780C">
        <w:rPr>
          <w:b/>
          <w:bCs/>
        </w:rPr>
        <w:t>2</w:t>
      </w:r>
      <w:r>
        <w:rPr>
          <w:b/>
          <w:bCs/>
        </w:rPr>
        <w:t>: Demonstrating mean absolute bias in native T1 times to assess intra-observer and inter-observer variability</w:t>
      </w:r>
    </w:p>
    <w:p w14:paraId="71B2D5DF" w14:textId="77777777" w:rsidR="007104E3" w:rsidRDefault="007104E3">
      <w:pPr>
        <w:rPr>
          <w:b/>
          <w:bCs/>
        </w:rPr>
      </w:pPr>
    </w:p>
    <w:p w14:paraId="14730344" w14:textId="09B4E2C5" w:rsidR="007104E3" w:rsidRDefault="007104E3">
      <w:pPr>
        <w:rPr>
          <w:b/>
          <w:bCs/>
        </w:rPr>
      </w:pPr>
    </w:p>
    <w:p w14:paraId="7B6C4F24" w14:textId="05252566" w:rsidR="007104E3" w:rsidRDefault="007104E3">
      <w:pPr>
        <w:rPr>
          <w:b/>
          <w:bCs/>
        </w:rPr>
      </w:pPr>
    </w:p>
    <w:p w14:paraId="7D185D58" w14:textId="2AC1E804" w:rsidR="007104E3" w:rsidRDefault="007104E3">
      <w:pPr>
        <w:rPr>
          <w:b/>
          <w:bCs/>
        </w:rPr>
      </w:pPr>
    </w:p>
    <w:p w14:paraId="0F2E8EF6" w14:textId="082F2845" w:rsidR="007104E3" w:rsidRDefault="007104E3">
      <w:pPr>
        <w:rPr>
          <w:b/>
          <w:bCs/>
        </w:rPr>
      </w:pPr>
    </w:p>
    <w:p w14:paraId="0332FC16" w14:textId="55FD9CB3" w:rsidR="007104E3" w:rsidRDefault="007104E3">
      <w:pPr>
        <w:rPr>
          <w:b/>
          <w:bCs/>
        </w:rPr>
      </w:pPr>
    </w:p>
    <w:p w14:paraId="7D716E85" w14:textId="03A9DFF4" w:rsidR="007104E3" w:rsidRDefault="007104E3">
      <w:pPr>
        <w:rPr>
          <w:b/>
          <w:bCs/>
        </w:rPr>
      </w:pPr>
    </w:p>
    <w:p w14:paraId="27013C07" w14:textId="7568AEB5" w:rsidR="007104E3" w:rsidRDefault="007104E3">
      <w:pPr>
        <w:rPr>
          <w:b/>
          <w:bCs/>
        </w:rPr>
      </w:pPr>
    </w:p>
    <w:p w14:paraId="4C03519C" w14:textId="365EB141" w:rsidR="007104E3" w:rsidRDefault="007104E3">
      <w:pPr>
        <w:rPr>
          <w:b/>
          <w:bCs/>
        </w:rPr>
      </w:pPr>
    </w:p>
    <w:p w14:paraId="69C2CD72" w14:textId="71508F83" w:rsidR="007104E3" w:rsidRDefault="007104E3">
      <w:pPr>
        <w:rPr>
          <w:b/>
          <w:bCs/>
        </w:rPr>
      </w:pPr>
    </w:p>
    <w:p w14:paraId="3A9E9385" w14:textId="708E23C4" w:rsidR="007104E3" w:rsidRDefault="007104E3">
      <w:pPr>
        <w:rPr>
          <w:b/>
          <w:bCs/>
        </w:rPr>
      </w:pPr>
    </w:p>
    <w:p w14:paraId="3FA34AB1" w14:textId="77777777" w:rsidR="007104E3" w:rsidRDefault="007104E3">
      <w:pPr>
        <w:rPr>
          <w:b/>
          <w:bCs/>
        </w:rPr>
        <w:sectPr w:rsidR="007104E3">
          <w:pgSz w:w="11906" w:h="16838"/>
          <w:pgMar w:top="1440" w:right="1440" w:bottom="1440" w:left="1440" w:header="708" w:footer="708" w:gutter="0"/>
          <w:cols w:space="708"/>
          <w:docGrid w:linePitch="360"/>
        </w:sectPr>
      </w:pPr>
    </w:p>
    <w:p w14:paraId="5D6EA141" w14:textId="006FC15A" w:rsidR="007104E3" w:rsidRDefault="007104E3" w:rsidP="007104E3">
      <w:pPr>
        <w:jc w:val="center"/>
        <w:rPr>
          <w:b/>
          <w:bCs/>
        </w:rPr>
      </w:pPr>
      <w:r w:rsidRPr="00DC3DE7">
        <w:rPr>
          <w:b/>
          <w:bCs/>
          <w:noProof/>
          <w:sz w:val="48"/>
          <w:szCs w:val="48"/>
          <w:lang w:eastAsia="en-GB"/>
        </w:rPr>
        <w:lastRenderedPageBreak/>
        <w:drawing>
          <wp:inline distT="0" distB="0" distL="0" distR="0" wp14:anchorId="1B5A8E97" wp14:editId="7C1D05AD">
            <wp:extent cx="6899563" cy="4838432"/>
            <wp:effectExtent l="0" t="0" r="0" b="635"/>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4"/>
                    <a:stretch>
                      <a:fillRect/>
                    </a:stretch>
                  </pic:blipFill>
                  <pic:spPr>
                    <a:xfrm>
                      <a:off x="0" y="0"/>
                      <a:ext cx="6928979" cy="4859061"/>
                    </a:xfrm>
                    <a:prstGeom prst="rect">
                      <a:avLst/>
                    </a:prstGeom>
                  </pic:spPr>
                </pic:pic>
              </a:graphicData>
            </a:graphic>
          </wp:inline>
        </w:drawing>
      </w:r>
    </w:p>
    <w:p w14:paraId="027B603F" w14:textId="446D3F4D" w:rsidR="007104E3" w:rsidRPr="004D56EC" w:rsidRDefault="007104E3" w:rsidP="007104E3">
      <w:pPr>
        <w:pStyle w:val="PlainText"/>
        <w:spacing w:line="360" w:lineRule="auto"/>
        <w:jc w:val="center"/>
      </w:pPr>
      <w:r>
        <w:rPr>
          <w:b/>
          <w:bCs/>
        </w:rPr>
        <w:t>Supplementary Figure 1:  Demonstrating intra-observer variability of native T1 times in diastole (1A and 1C) and systole (1B and 1D). Figures 1A and 1B demonstrate good correlation between measurements 1 and 2 in both diastole and systole (Pearson’s correlation coefficient 0.93). Figures 1C and 1D represent Bland-Altman plots. The dotted line indicates the average difference and the dashed lines indicate the limits of agreement.</w:t>
      </w:r>
    </w:p>
    <w:p w14:paraId="5A5944C7" w14:textId="5440272D" w:rsidR="007104E3" w:rsidRDefault="007104E3">
      <w:pPr>
        <w:rPr>
          <w:b/>
          <w:bCs/>
        </w:rPr>
      </w:pPr>
      <w:r w:rsidRPr="00FC21B6">
        <w:rPr>
          <w:b/>
          <w:bCs/>
          <w:noProof/>
          <w:lang w:eastAsia="en-GB"/>
        </w:rPr>
        <w:lastRenderedPageBreak/>
        <w:drawing>
          <wp:inline distT="0" distB="0" distL="0" distR="0" wp14:anchorId="3C2BDDA3" wp14:editId="79E28C74">
            <wp:extent cx="7101445" cy="5028449"/>
            <wp:effectExtent l="0" t="0" r="4445" b="1270"/>
            <wp:docPr id="21" name="Picture 2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scatter chart&#10;&#10;Description automatically generated"/>
                    <pic:cNvPicPr/>
                  </pic:nvPicPr>
                  <pic:blipFill>
                    <a:blip r:embed="rId5"/>
                    <a:stretch>
                      <a:fillRect/>
                    </a:stretch>
                  </pic:blipFill>
                  <pic:spPr>
                    <a:xfrm>
                      <a:off x="0" y="0"/>
                      <a:ext cx="7131076" cy="5049430"/>
                    </a:xfrm>
                    <a:prstGeom prst="rect">
                      <a:avLst/>
                    </a:prstGeom>
                  </pic:spPr>
                </pic:pic>
              </a:graphicData>
            </a:graphic>
          </wp:inline>
        </w:drawing>
      </w:r>
    </w:p>
    <w:p w14:paraId="0448272A" w14:textId="167539E8" w:rsidR="007104E3" w:rsidRPr="008404E4" w:rsidRDefault="007104E3" w:rsidP="007104E3">
      <w:pPr>
        <w:tabs>
          <w:tab w:val="left" w:pos="1943"/>
        </w:tabs>
        <w:jc w:val="center"/>
        <w:rPr>
          <w:b/>
          <w:bCs/>
        </w:rPr>
        <w:sectPr w:rsidR="007104E3" w:rsidRPr="008404E4" w:rsidSect="00B5334E">
          <w:pgSz w:w="16838" w:h="11906" w:orient="landscape"/>
          <w:pgMar w:top="1440" w:right="1440" w:bottom="1440" w:left="1440" w:header="708" w:footer="708" w:gutter="0"/>
          <w:cols w:space="708"/>
          <w:docGrid w:linePitch="360"/>
        </w:sectPr>
      </w:pPr>
      <w:r>
        <w:rPr>
          <w:b/>
          <w:bCs/>
        </w:rPr>
        <w:t>Supplementary Figure 2:  Demonstrating inter-observer variability of native T1 times in diastole (2A and 2C) and systole (2B and 2D). Figures 2A and 2B demonstrate good correlation between observers in both diastole and systole (Pearson’s correlation coefficient 0.91 and 0.94 respectively). Figures 2C and 2D represent Bland-Altman plots. The dotted line indicates the average difference and the dashed lines indicate the limits of agreement.</w:t>
      </w:r>
    </w:p>
    <w:p w14:paraId="78752E97" w14:textId="13612044" w:rsidR="006E0CF0" w:rsidRDefault="007104E3">
      <w:r>
        <w:rPr>
          <w:b/>
          <w:bCs/>
        </w:rPr>
        <w:lastRenderedPageBreak/>
        <w:t>S</w:t>
      </w:r>
      <w:r w:rsidR="006A7DAC">
        <w:rPr>
          <w:b/>
          <w:bCs/>
        </w:rPr>
        <w:t>upplementary Video S1</w:t>
      </w:r>
      <w:r>
        <w:rPr>
          <w:b/>
          <w:bCs/>
        </w:rPr>
        <w:t xml:space="preserve"> legend</w:t>
      </w:r>
      <w:r w:rsidR="006A7DAC">
        <w:rPr>
          <w:b/>
          <w:bCs/>
        </w:rPr>
        <w:t xml:space="preserve">: </w:t>
      </w:r>
      <w:r w:rsidR="006A7DAC">
        <w:t>An example of a patient with atrial fibrillation with susceptibility to gating artefact in diastole (right) compared to systole (left)</w:t>
      </w:r>
    </w:p>
    <w:p w14:paraId="7F8C1B80" w14:textId="3D0800A0" w:rsidR="007104E3" w:rsidRDefault="007104E3"/>
    <w:p w14:paraId="770CCF2A" w14:textId="417484AE" w:rsidR="007104E3" w:rsidRDefault="007104E3"/>
    <w:p w14:paraId="2E12DBF5" w14:textId="248D0A31" w:rsidR="007104E3" w:rsidRDefault="007104E3"/>
    <w:p w14:paraId="51CCB884" w14:textId="35CF7B11" w:rsidR="007104E3" w:rsidRDefault="007104E3"/>
    <w:p w14:paraId="73B11037" w14:textId="77777777" w:rsidR="007104E3" w:rsidRPr="006A7DAC" w:rsidRDefault="007104E3"/>
    <w:sectPr w:rsidR="007104E3" w:rsidRPr="006A7D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2A"/>
    <w:rsid w:val="00014D0F"/>
    <w:rsid w:val="0014780C"/>
    <w:rsid w:val="00663C52"/>
    <w:rsid w:val="006A7DAC"/>
    <w:rsid w:val="006E0CF0"/>
    <w:rsid w:val="007104E3"/>
    <w:rsid w:val="00882A2A"/>
    <w:rsid w:val="00971F9B"/>
    <w:rsid w:val="00A80FD8"/>
    <w:rsid w:val="00AC64E6"/>
    <w:rsid w:val="00BD5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2CEBD"/>
  <w15:chartTrackingRefBased/>
  <w15:docId w15:val="{DBFAF72B-9D07-4519-93C5-1470BB68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4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104E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104E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35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Harish Sharma (Cardiovascular Sciences)</dc:creator>
  <cp:keywords/>
  <dc:description/>
  <cp:lastModifiedBy>Harish Sharma (Cardiovascular Sciences)</cp:lastModifiedBy>
  <cp:revision>7</cp:revision>
  <dcterms:created xsi:type="dcterms:W3CDTF">2022-03-23T17:36:00Z</dcterms:created>
  <dcterms:modified xsi:type="dcterms:W3CDTF">2022-08-29T14:31:00Z</dcterms:modified>
</cp:coreProperties>
</file>