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39D74" w14:textId="38764EB6" w:rsidR="00D1020E" w:rsidRPr="00710C78" w:rsidRDefault="001E4590">
      <w:r w:rsidRPr="00710C78">
        <w:t>Supplementary Figure 1: Saskatchewan Health Authority trauma triage guidelines flow chart</w:t>
      </w:r>
      <w:r w:rsidR="00050B59" w:rsidRPr="00710C78">
        <w:t xml:space="preserve"> for Saskatoon, SK</w:t>
      </w:r>
      <w:r w:rsidRPr="00710C78">
        <w:t>.</w:t>
      </w:r>
      <w:r w:rsidR="00050B59" w:rsidRPr="00710C78">
        <w:t xml:space="preserve"> SBP: systolic blood pressure; RR: respiratory rate; GCS: </w:t>
      </w:r>
      <w:proofErr w:type="spellStart"/>
      <w:r w:rsidR="00050B59" w:rsidRPr="00710C78">
        <w:t>Glascow</w:t>
      </w:r>
      <w:proofErr w:type="spellEnd"/>
      <w:r w:rsidR="00050B59" w:rsidRPr="00710C78">
        <w:t xml:space="preserve"> Coma Score; ATV: all-terrain vehicle; MVC: motor vehicle collision; RUH: Royal University Hospital; JPCH: Jim Pattison Children’s Hospital; ETA: estimated time of arrival; ED: emergency department; MRP: m</w:t>
      </w:r>
      <w:bookmarkStart w:id="0" w:name="_GoBack"/>
      <w:bookmarkEnd w:id="0"/>
      <w:r w:rsidR="00050B59" w:rsidRPr="00710C78">
        <w:t>ost responsible physician; SFCC: system flow coordination center; TTL: trauma team leader.</w:t>
      </w:r>
    </w:p>
    <w:sectPr w:rsidR="00D1020E" w:rsidRPr="00710C78" w:rsidSect="00710C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90"/>
    <w:rsid w:val="00050B59"/>
    <w:rsid w:val="001E4590"/>
    <w:rsid w:val="00710C78"/>
    <w:rsid w:val="00D1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BD2EA"/>
  <w15:chartTrackingRefBased/>
  <w15:docId w15:val="{AAF3ED94-D808-45EC-9409-EC98506D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trites</dc:creator>
  <cp:keywords/>
  <dc:description/>
  <cp:lastModifiedBy>Dhanalakshmi Vairavan</cp:lastModifiedBy>
  <cp:revision>3</cp:revision>
  <dcterms:created xsi:type="dcterms:W3CDTF">2022-10-27T11:42:00Z</dcterms:created>
  <dcterms:modified xsi:type="dcterms:W3CDTF">2022-11-04T07:45:00Z</dcterms:modified>
</cp:coreProperties>
</file>