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377EE" w14:textId="77777777" w:rsidR="00E8321F" w:rsidRDefault="00E8321F" w:rsidP="00E37832">
      <w:pPr>
        <w:spacing w:line="360" w:lineRule="auto"/>
        <w:rPr>
          <w:b/>
          <w:bCs/>
        </w:rPr>
      </w:pPr>
    </w:p>
    <w:p w14:paraId="4D072059" w14:textId="5BDB56F2" w:rsidR="00E37832" w:rsidRPr="009F5659" w:rsidRDefault="00E37832" w:rsidP="00E37832">
      <w:pPr>
        <w:spacing w:line="360" w:lineRule="auto"/>
        <w:rPr>
          <w:b/>
          <w:bCs/>
          <w:lang w:val="en-US"/>
        </w:rPr>
      </w:pPr>
      <w:r w:rsidRPr="009F5659">
        <w:rPr>
          <w:b/>
          <w:bCs/>
        </w:rPr>
        <w:t xml:space="preserve">Supplementary </w:t>
      </w:r>
      <w:r w:rsidRPr="009F5659">
        <w:rPr>
          <w:b/>
          <w:bCs/>
          <w:lang w:val="en-US"/>
        </w:rPr>
        <w:t>M</w:t>
      </w:r>
      <w:r w:rsidRPr="009F5659">
        <w:rPr>
          <w:b/>
          <w:bCs/>
        </w:rPr>
        <w:t>aterial</w:t>
      </w:r>
      <w:r w:rsidRPr="009F5659">
        <w:rPr>
          <w:b/>
          <w:bCs/>
          <w:lang w:val="en-US"/>
        </w:rPr>
        <w:t xml:space="preserve"> </w:t>
      </w:r>
    </w:p>
    <w:p w14:paraId="14AC74F2" w14:textId="77777777" w:rsidR="00E8321F" w:rsidRDefault="00E8321F" w:rsidP="00E37832">
      <w:pPr>
        <w:spacing w:line="360" w:lineRule="auto"/>
        <w:rPr>
          <w:lang w:val="en-US"/>
        </w:rPr>
      </w:pPr>
    </w:p>
    <w:p w14:paraId="71A824DE" w14:textId="17B609A6" w:rsidR="00E8321F" w:rsidRDefault="00E37832" w:rsidP="00E37832">
      <w:pPr>
        <w:spacing w:line="360" w:lineRule="auto"/>
        <w:jc w:val="both"/>
        <w:rPr>
          <w:b/>
          <w:bCs/>
          <w:i/>
          <w:iCs/>
          <w:lang w:val="en-US"/>
        </w:rPr>
      </w:pPr>
      <w:r w:rsidRPr="00232E74">
        <w:rPr>
          <w:b/>
          <w:bCs/>
          <w:i/>
          <w:iCs/>
          <w:lang w:val="en-US"/>
        </w:rPr>
        <w:t>Analyses for only consistent nocebo responders</w:t>
      </w:r>
      <w:r>
        <w:rPr>
          <w:b/>
          <w:bCs/>
          <w:i/>
          <w:iCs/>
          <w:lang w:val="en-US"/>
        </w:rPr>
        <w:t xml:space="preserve"> </w:t>
      </w:r>
    </w:p>
    <w:p w14:paraId="1A3DF098" w14:textId="77777777" w:rsidR="00E37832" w:rsidRPr="00232E74" w:rsidRDefault="00E37832" w:rsidP="006203A7">
      <w:pPr>
        <w:spacing w:after="40" w:line="360" w:lineRule="auto"/>
        <w:jc w:val="both"/>
        <w:rPr>
          <w:bCs/>
          <w:i/>
        </w:rPr>
      </w:pPr>
      <w:r w:rsidRPr="00232E74">
        <w:rPr>
          <w:bCs/>
          <w:i/>
        </w:rPr>
        <w:t>Behavioral results</w:t>
      </w:r>
    </w:p>
    <w:p w14:paraId="5543A9DF" w14:textId="4114BF4C" w:rsidR="00E37832" w:rsidRDefault="00E37832" w:rsidP="00E37832">
      <w:pPr>
        <w:spacing w:line="360" w:lineRule="auto"/>
        <w:jc w:val="both"/>
        <w:rPr>
          <w:lang w:val="en-US"/>
        </w:rPr>
      </w:pPr>
      <w:r w:rsidRPr="009F5659">
        <w:t xml:space="preserve">Across both </w:t>
      </w:r>
      <w:r>
        <w:rPr>
          <w:lang w:val="en-US"/>
        </w:rPr>
        <w:t xml:space="preserve">nocebo responder </w:t>
      </w:r>
      <w:r w:rsidRPr="009F5659">
        <w:t>groups, there was a significant difference between pain reports for the first nocebo and first control trial of the extinction phase (</w:t>
      </w:r>
      <w:r w:rsidRPr="009F5659">
        <w:rPr>
          <w:i/>
        </w:rPr>
        <w:t xml:space="preserve">F </w:t>
      </w:r>
      <w:r w:rsidRPr="009F5659">
        <w:t>(1,</w:t>
      </w:r>
      <w:r>
        <w:rPr>
          <w:lang w:val="en-US"/>
        </w:rPr>
        <w:t>27</w:t>
      </w:r>
      <w:r w:rsidRPr="009F5659">
        <w:t xml:space="preserve">) = </w:t>
      </w:r>
      <w:r>
        <w:rPr>
          <w:lang w:val="en-US"/>
        </w:rPr>
        <w:t>42.79</w:t>
      </w:r>
      <w:r w:rsidRPr="009F5659">
        <w:t xml:space="preserve">, </w:t>
      </w:r>
      <w:r w:rsidRPr="009F5659">
        <w:rPr>
          <w:i/>
        </w:rPr>
        <w:t>p</w:t>
      </w:r>
      <w:r w:rsidRPr="009F5659">
        <w:t xml:space="preserve"> &lt; 0.001, </w:t>
      </w:r>
      <w:r w:rsidRPr="009F5659">
        <w:rPr>
          <w:i/>
        </w:rPr>
        <w:t>η</w:t>
      </w:r>
      <w:r w:rsidRPr="009F5659">
        <w:rPr>
          <w:i/>
          <w:vertAlign w:val="subscript"/>
        </w:rPr>
        <w:t>p</w:t>
      </w:r>
      <w:r w:rsidRPr="009F5659">
        <w:rPr>
          <w:i/>
          <w:vertAlign w:val="superscript"/>
        </w:rPr>
        <w:t>2</w:t>
      </w:r>
      <w:r w:rsidRPr="009F5659">
        <w:t xml:space="preserve"> = 0.</w:t>
      </w:r>
      <w:r>
        <w:rPr>
          <w:lang w:val="en-US"/>
        </w:rPr>
        <w:t>21</w:t>
      </w:r>
      <w:r w:rsidRPr="009F5659">
        <w:t xml:space="preserve">) indicating the presence of </w:t>
      </w:r>
      <w:r>
        <w:rPr>
          <w:lang w:val="en-US"/>
        </w:rPr>
        <w:t xml:space="preserve">stronger </w:t>
      </w:r>
      <w:r w:rsidRPr="009F5659">
        <w:t>nocebo hyperalgesi</w:t>
      </w:r>
      <w:r>
        <w:rPr>
          <w:lang w:val="en-US"/>
        </w:rPr>
        <w:t>c responses among consistent nocebo responders, as expected</w:t>
      </w:r>
      <w:r w:rsidRPr="009F5659">
        <w:t xml:space="preserve">. We also found a significant nocebo effect in the first </w:t>
      </w:r>
      <w:r>
        <w:rPr>
          <w:lang w:val="en-US"/>
        </w:rPr>
        <w:t>ten</w:t>
      </w:r>
      <w:r w:rsidRPr="009F5659">
        <w:t xml:space="preserve"> extinction trials which were used as an evocation phase for fMRI analysis (</w:t>
      </w:r>
      <w:r w:rsidRPr="009F5659">
        <w:rPr>
          <w:i/>
        </w:rPr>
        <w:t xml:space="preserve">F </w:t>
      </w:r>
      <w:r w:rsidRPr="009F5659">
        <w:t>(1,</w:t>
      </w:r>
      <w:r>
        <w:rPr>
          <w:lang w:val="en-US"/>
        </w:rPr>
        <w:t>27</w:t>
      </w:r>
      <w:r w:rsidRPr="009F5659">
        <w:t xml:space="preserve">) = </w:t>
      </w:r>
      <w:r>
        <w:rPr>
          <w:lang w:val="en-US"/>
        </w:rPr>
        <w:t>34.48</w:t>
      </w:r>
      <w:r w:rsidRPr="009F5659">
        <w:t xml:space="preserve">, </w:t>
      </w:r>
      <w:r w:rsidRPr="009F5659">
        <w:rPr>
          <w:i/>
        </w:rPr>
        <w:t>p</w:t>
      </w:r>
      <w:r w:rsidRPr="009F5659">
        <w:t xml:space="preserve"> &lt; 0.001, </w:t>
      </w:r>
      <w:r w:rsidRPr="009F5659">
        <w:rPr>
          <w:i/>
        </w:rPr>
        <w:t>η</w:t>
      </w:r>
      <w:r w:rsidRPr="009F5659">
        <w:rPr>
          <w:i/>
          <w:vertAlign w:val="subscript"/>
        </w:rPr>
        <w:t>p</w:t>
      </w:r>
      <w:r w:rsidRPr="009F5659">
        <w:rPr>
          <w:i/>
          <w:vertAlign w:val="superscript"/>
        </w:rPr>
        <w:t>2</w:t>
      </w:r>
      <w:r w:rsidRPr="009F5659">
        <w:t xml:space="preserve"> = 0.</w:t>
      </w:r>
      <w:r>
        <w:rPr>
          <w:lang w:val="en-US"/>
        </w:rPr>
        <w:t>9</w:t>
      </w:r>
      <w:r w:rsidRPr="009F5659">
        <w:t xml:space="preserve">). </w:t>
      </w:r>
      <w:r w:rsidRPr="009F5659">
        <w:rPr>
          <w:lang w:val="en-GB"/>
        </w:rPr>
        <w:t xml:space="preserve">Finally, there was significant extinction of nocebo responses, with the magnitude of nocebo responses being significantly lower in the last pair of (nocebo/control) extinction trials, as compared to the first pair of extinction trials </w:t>
      </w:r>
      <w:r w:rsidRPr="009F5659">
        <w:t>(</w:t>
      </w:r>
      <w:r w:rsidRPr="009F5659">
        <w:rPr>
          <w:i/>
        </w:rPr>
        <w:t xml:space="preserve">F </w:t>
      </w:r>
      <w:r w:rsidRPr="009F5659">
        <w:t>(1,</w:t>
      </w:r>
      <w:r>
        <w:rPr>
          <w:lang w:val="en-US"/>
        </w:rPr>
        <w:t>27</w:t>
      </w:r>
      <w:r w:rsidRPr="009F5659">
        <w:t>) = 1</w:t>
      </w:r>
      <w:r>
        <w:rPr>
          <w:lang w:val="en-US"/>
        </w:rPr>
        <w:t>5.29</w:t>
      </w:r>
      <w:r w:rsidRPr="009F5659">
        <w:t xml:space="preserve">, </w:t>
      </w:r>
      <w:r w:rsidRPr="009F5659">
        <w:rPr>
          <w:i/>
        </w:rPr>
        <w:t>p</w:t>
      </w:r>
      <w:r w:rsidRPr="009F5659">
        <w:t xml:space="preserve"> = 0.0005, </w:t>
      </w:r>
      <w:r w:rsidRPr="009F5659">
        <w:rPr>
          <w:i/>
        </w:rPr>
        <w:t>η</w:t>
      </w:r>
      <w:r w:rsidRPr="009F5659">
        <w:rPr>
          <w:i/>
          <w:vertAlign w:val="subscript"/>
        </w:rPr>
        <w:t>p</w:t>
      </w:r>
      <w:r w:rsidRPr="009F5659">
        <w:rPr>
          <w:i/>
          <w:vertAlign w:val="superscript"/>
        </w:rPr>
        <w:t>2</w:t>
      </w:r>
      <w:r w:rsidRPr="009F5659">
        <w:t xml:space="preserve"> = 0.</w:t>
      </w:r>
      <w:r>
        <w:rPr>
          <w:lang w:val="en-US"/>
        </w:rPr>
        <w:t>15</w:t>
      </w:r>
      <w:r w:rsidRPr="009F5659">
        <w:t>).</w:t>
      </w:r>
      <w:r>
        <w:rPr>
          <w:lang w:val="en-US"/>
        </w:rPr>
        <w:t xml:space="preserve"> </w:t>
      </w:r>
      <w:r w:rsidRPr="009F5659">
        <w:rPr>
          <w:lang w:val="en-US"/>
        </w:rPr>
        <w:t xml:space="preserve">When testing nocebo extinction in the last 10 (nocebo/control) extinction trials compared to the first 10 extinction trials, the extinction effect </w:t>
      </w:r>
      <w:r>
        <w:rPr>
          <w:lang w:val="en-US"/>
        </w:rPr>
        <w:t>did not reach significance</w:t>
      </w:r>
      <w:r w:rsidRPr="009F5659">
        <w:rPr>
          <w:lang w:val="en-US"/>
        </w:rPr>
        <w:t xml:space="preserve"> (</w:t>
      </w:r>
      <w:r w:rsidRPr="009F5659">
        <w:rPr>
          <w:i/>
          <w:iCs/>
          <w:lang w:val="en-US"/>
        </w:rPr>
        <w:t xml:space="preserve">F </w:t>
      </w:r>
      <w:r w:rsidRPr="009F5659">
        <w:rPr>
          <w:lang w:val="en-US"/>
        </w:rPr>
        <w:t>(1,</w:t>
      </w:r>
      <w:r>
        <w:rPr>
          <w:lang w:val="en-US"/>
        </w:rPr>
        <w:t>27</w:t>
      </w:r>
      <w:r w:rsidRPr="009F5659">
        <w:rPr>
          <w:lang w:val="en-US"/>
        </w:rPr>
        <w:t xml:space="preserve">) = </w:t>
      </w:r>
      <w:r>
        <w:rPr>
          <w:lang w:val="en-US"/>
        </w:rPr>
        <w:t>3.52</w:t>
      </w:r>
      <w:r w:rsidRPr="009F5659">
        <w:rPr>
          <w:lang w:val="en-US"/>
        </w:rPr>
        <w:t xml:space="preserve">, </w:t>
      </w:r>
      <w:r w:rsidRPr="009F5659">
        <w:rPr>
          <w:i/>
          <w:iCs/>
          <w:lang w:val="en-US"/>
        </w:rPr>
        <w:t>p</w:t>
      </w:r>
      <w:r w:rsidRPr="009F5659">
        <w:rPr>
          <w:lang w:val="en-US"/>
        </w:rPr>
        <w:t xml:space="preserve"> = 0.</w:t>
      </w:r>
      <w:r>
        <w:rPr>
          <w:lang w:val="en-US"/>
        </w:rPr>
        <w:t>07</w:t>
      </w:r>
      <w:r w:rsidRPr="009F5659">
        <w:rPr>
          <w:lang w:val="en-US"/>
        </w:rPr>
        <w:t xml:space="preserve">, </w:t>
      </w:r>
      <w:r w:rsidRPr="009F5659">
        <w:rPr>
          <w:i/>
        </w:rPr>
        <w:t>η</w:t>
      </w:r>
      <w:r w:rsidRPr="009F5659">
        <w:rPr>
          <w:i/>
          <w:vertAlign w:val="subscript"/>
        </w:rPr>
        <w:t>p</w:t>
      </w:r>
      <w:r w:rsidRPr="009F5659">
        <w:rPr>
          <w:i/>
          <w:vertAlign w:val="superscript"/>
        </w:rPr>
        <w:t>2</w:t>
      </w:r>
      <w:r w:rsidRPr="009F5659">
        <w:t xml:space="preserve"> = </w:t>
      </w:r>
      <w:r w:rsidRPr="009F5659">
        <w:rPr>
          <w:lang w:val="en-US"/>
        </w:rPr>
        <w:t>0.0</w:t>
      </w:r>
      <w:r>
        <w:rPr>
          <w:lang w:val="en-US"/>
        </w:rPr>
        <w:t>3</w:t>
      </w:r>
      <w:r w:rsidRPr="009F5659">
        <w:rPr>
          <w:lang w:val="en-US"/>
        </w:rPr>
        <w:t>).</w:t>
      </w:r>
      <w:r w:rsidR="006203A7">
        <w:rPr>
          <w:lang w:val="en-US"/>
        </w:rPr>
        <w:t xml:space="preserve"> </w:t>
      </w:r>
    </w:p>
    <w:p w14:paraId="244E921E" w14:textId="77777777" w:rsidR="00E8321F" w:rsidRDefault="00E8321F" w:rsidP="00E37832">
      <w:pPr>
        <w:spacing w:line="360" w:lineRule="auto"/>
        <w:jc w:val="both"/>
        <w:rPr>
          <w:lang w:val="en-US"/>
        </w:rPr>
      </w:pPr>
    </w:p>
    <w:p w14:paraId="54C26FD5" w14:textId="77777777" w:rsidR="00E37832" w:rsidRPr="00232E74" w:rsidRDefault="00E37832" w:rsidP="00E37832">
      <w:pPr>
        <w:spacing w:after="40" w:line="360" w:lineRule="auto"/>
        <w:jc w:val="both"/>
        <w:rPr>
          <w:bCs/>
          <w:i/>
        </w:rPr>
      </w:pPr>
      <w:r w:rsidRPr="00232E74">
        <w:rPr>
          <w:bCs/>
          <w:i/>
        </w:rPr>
        <w:t>Pharmacological manipulation</w:t>
      </w:r>
    </w:p>
    <w:p w14:paraId="42492ED9" w14:textId="77D4071C" w:rsidR="00E37832" w:rsidRDefault="00E37832" w:rsidP="00E37832">
      <w:pPr>
        <w:spacing w:line="360" w:lineRule="auto"/>
        <w:jc w:val="both"/>
      </w:pPr>
      <w:r w:rsidRPr="00232E74">
        <w:t>A mixed ANOVA indicated that there was no significant interaction between drug group and the magnitude of nocebo responses based on trial type</w:t>
      </w:r>
      <w:r>
        <w:rPr>
          <w:lang w:val="en-US"/>
        </w:rPr>
        <w:t xml:space="preserve"> for consistent nocebo responders</w:t>
      </w:r>
      <w:r w:rsidRPr="00232E74">
        <w:t xml:space="preserve"> (</w:t>
      </w:r>
      <w:r w:rsidRPr="00232E74">
        <w:rPr>
          <w:i/>
        </w:rPr>
        <w:t xml:space="preserve">F </w:t>
      </w:r>
      <w:r w:rsidRPr="00232E74">
        <w:t>(1,</w:t>
      </w:r>
      <w:r>
        <w:rPr>
          <w:lang w:val="en-US"/>
        </w:rPr>
        <w:t>27</w:t>
      </w:r>
      <w:r w:rsidRPr="00232E74">
        <w:t>) = 0.2</w:t>
      </w:r>
      <w:r>
        <w:rPr>
          <w:lang w:val="en-US"/>
        </w:rPr>
        <w:t>1</w:t>
      </w:r>
      <w:r w:rsidRPr="00232E74">
        <w:t xml:space="preserve">, </w:t>
      </w:r>
      <w:r w:rsidRPr="00232E74">
        <w:rPr>
          <w:i/>
        </w:rPr>
        <w:t>p</w:t>
      </w:r>
      <w:r w:rsidRPr="00232E74">
        <w:t xml:space="preserve"> = 0.</w:t>
      </w:r>
      <w:r>
        <w:rPr>
          <w:lang w:val="en-US"/>
        </w:rPr>
        <w:t>65</w:t>
      </w:r>
      <w:r w:rsidRPr="00232E74">
        <w:t xml:space="preserve">, </w:t>
      </w:r>
      <w:r w:rsidRPr="00232E74">
        <w:rPr>
          <w:i/>
        </w:rPr>
        <w:t>η</w:t>
      </w:r>
      <w:r w:rsidRPr="00232E74">
        <w:rPr>
          <w:i/>
          <w:vertAlign w:val="subscript"/>
        </w:rPr>
        <w:t>p</w:t>
      </w:r>
      <w:r w:rsidRPr="00232E74">
        <w:rPr>
          <w:i/>
          <w:vertAlign w:val="superscript"/>
        </w:rPr>
        <w:t>2</w:t>
      </w:r>
      <w:r w:rsidRPr="00232E74">
        <w:t xml:space="preserve"> </w:t>
      </w:r>
      <w:r>
        <w:rPr>
          <w:lang w:val="en-US"/>
        </w:rPr>
        <w:t>=</w:t>
      </w:r>
      <w:r w:rsidRPr="00232E74">
        <w:t xml:space="preserve"> 0.00</w:t>
      </w:r>
      <w:r>
        <w:rPr>
          <w:lang w:val="en-US"/>
        </w:rPr>
        <w:t>1</w:t>
      </w:r>
      <w:r w:rsidRPr="00232E74">
        <w:t>).</w:t>
      </w:r>
      <w:r>
        <w:rPr>
          <w:lang w:val="en-US"/>
        </w:rPr>
        <w:t xml:space="preserve"> </w:t>
      </w:r>
      <w:r>
        <w:t xml:space="preserve">We did not find an effect of DCS on the magnitude of extinction </w:t>
      </w:r>
      <w:r>
        <w:rPr>
          <w:lang w:val="en-US"/>
        </w:rPr>
        <w:t xml:space="preserve">among nocebo responders </w:t>
      </w:r>
      <w:r>
        <w:t xml:space="preserve">either, as there was no significant </w:t>
      </w:r>
      <w:r w:rsidRPr="000037B8">
        <w:t>interaction between drug group</w:t>
      </w:r>
      <w:r>
        <w:t xml:space="preserve"> and</w:t>
      </w:r>
      <w:r w:rsidRPr="000037B8">
        <w:t xml:space="preserve"> the </w:t>
      </w:r>
      <w:r>
        <w:t>reduction</w:t>
      </w:r>
      <w:r w:rsidRPr="000037B8">
        <w:t xml:space="preserve"> of nocebo responses </w:t>
      </w:r>
      <w:r>
        <w:t xml:space="preserve">at the end of extinction </w:t>
      </w:r>
      <w:r w:rsidRPr="000037B8">
        <w:t>(</w:t>
      </w:r>
      <w:r w:rsidRPr="000037B8">
        <w:rPr>
          <w:i/>
        </w:rPr>
        <w:t xml:space="preserve">F </w:t>
      </w:r>
      <w:r w:rsidRPr="000037B8">
        <w:t>(1,</w:t>
      </w:r>
      <w:r>
        <w:rPr>
          <w:lang w:val="en-US"/>
        </w:rPr>
        <w:t>27</w:t>
      </w:r>
      <w:r w:rsidRPr="000037B8">
        <w:t>) = 0.</w:t>
      </w:r>
      <w:r>
        <w:rPr>
          <w:lang w:val="en-US"/>
        </w:rPr>
        <w:t>23</w:t>
      </w:r>
      <w:r w:rsidRPr="000037B8">
        <w:t xml:space="preserve">, </w:t>
      </w:r>
      <w:r w:rsidRPr="000037B8">
        <w:rPr>
          <w:i/>
        </w:rPr>
        <w:t>p</w:t>
      </w:r>
      <w:r w:rsidRPr="000037B8">
        <w:t xml:space="preserve"> = 0.</w:t>
      </w:r>
      <w:r>
        <w:rPr>
          <w:lang w:val="en-US"/>
        </w:rPr>
        <w:t>64</w:t>
      </w:r>
      <w:r w:rsidRPr="000037B8">
        <w:t xml:space="preserve">, </w:t>
      </w:r>
      <w:r w:rsidRPr="000037B8">
        <w:rPr>
          <w:i/>
        </w:rPr>
        <w:t>η</w:t>
      </w:r>
      <w:r w:rsidRPr="000037B8">
        <w:rPr>
          <w:i/>
          <w:vertAlign w:val="subscript"/>
        </w:rPr>
        <w:t>p</w:t>
      </w:r>
      <w:r w:rsidRPr="000037B8">
        <w:rPr>
          <w:i/>
          <w:vertAlign w:val="superscript"/>
        </w:rPr>
        <w:t>2</w:t>
      </w:r>
      <w:r w:rsidRPr="000037B8">
        <w:t xml:space="preserve"> </w:t>
      </w:r>
      <w:r>
        <w:t>=</w:t>
      </w:r>
      <w:r w:rsidRPr="000037B8">
        <w:t xml:space="preserve"> 0.0</w:t>
      </w:r>
      <w:r>
        <w:t>0</w:t>
      </w:r>
      <w:r>
        <w:rPr>
          <w:lang w:val="en-US"/>
        </w:rPr>
        <w:t>3</w:t>
      </w:r>
      <w:r>
        <w:t>).</w:t>
      </w:r>
      <w:r w:rsidR="006203A7" w:rsidRPr="006203A7">
        <w:rPr>
          <w:lang w:val="en-US"/>
        </w:rPr>
        <w:t xml:space="preserve"> </w:t>
      </w:r>
      <w:r w:rsidR="006203A7">
        <w:rPr>
          <w:lang w:val="en-US"/>
        </w:rPr>
        <w:t>The c</w:t>
      </w:r>
      <w:r w:rsidR="006203A7" w:rsidRPr="006203A7">
        <w:rPr>
          <w:lang w:val="en-US"/>
        </w:rPr>
        <w:t xml:space="preserve">hange in learning rates between </w:t>
      </w:r>
      <w:r w:rsidR="006203A7">
        <w:rPr>
          <w:lang w:val="en-US"/>
        </w:rPr>
        <w:t xml:space="preserve">the </w:t>
      </w:r>
      <w:r w:rsidR="006203A7" w:rsidRPr="006203A7">
        <w:rPr>
          <w:lang w:val="en-US"/>
        </w:rPr>
        <w:t xml:space="preserve">DCS and placebo groups </w:t>
      </w:r>
      <w:r w:rsidR="006203A7">
        <w:rPr>
          <w:lang w:val="en-US"/>
        </w:rPr>
        <w:t>(</w:t>
      </w:r>
      <w:r w:rsidR="006203A7" w:rsidRPr="006203A7">
        <w:rPr>
          <w:lang w:val="en-US"/>
        </w:rPr>
        <w:t>based on the Weschler Memory Scale</w:t>
      </w:r>
      <w:r w:rsidR="006203A7">
        <w:rPr>
          <w:lang w:val="en-US"/>
        </w:rPr>
        <w:t>)</w:t>
      </w:r>
      <w:r w:rsidR="006203A7" w:rsidRPr="006203A7">
        <w:rPr>
          <w:lang w:val="en-US"/>
        </w:rPr>
        <w:t xml:space="preserve"> was not significant among consistent nocebo responders.</w:t>
      </w:r>
    </w:p>
    <w:p w14:paraId="5854E484" w14:textId="77777777" w:rsidR="00E8321F" w:rsidRDefault="00E8321F" w:rsidP="00E37832">
      <w:pPr>
        <w:spacing w:line="360" w:lineRule="auto"/>
        <w:jc w:val="both"/>
        <w:rPr>
          <w:lang w:val="en-US"/>
        </w:rPr>
      </w:pPr>
    </w:p>
    <w:p w14:paraId="18F2D3D3" w14:textId="77777777" w:rsidR="00E37832" w:rsidRPr="00BC68C4" w:rsidRDefault="00E37832" w:rsidP="00E37832">
      <w:pPr>
        <w:spacing w:after="40" w:line="360" w:lineRule="auto"/>
        <w:jc w:val="both"/>
        <w:rPr>
          <w:bCs/>
          <w:i/>
          <w:lang w:val="en-US"/>
        </w:rPr>
      </w:pPr>
      <w:r w:rsidRPr="00BC68C4">
        <w:rPr>
          <w:bCs/>
          <w:i/>
          <w:lang w:val="en-US"/>
        </w:rPr>
        <w:t>fMRI</w:t>
      </w:r>
      <w:r w:rsidRPr="00BC68C4">
        <w:rPr>
          <w:bCs/>
          <w:i/>
        </w:rPr>
        <w:t xml:space="preserve"> </w:t>
      </w:r>
      <w:r w:rsidRPr="00BC68C4">
        <w:rPr>
          <w:bCs/>
          <w:i/>
          <w:lang w:val="en-US"/>
        </w:rPr>
        <w:t>results</w:t>
      </w:r>
    </w:p>
    <w:p w14:paraId="5B7DADDA" w14:textId="3D9CE91E" w:rsidR="00E37832" w:rsidRDefault="00E37832" w:rsidP="00E37832">
      <w:pPr>
        <w:spacing w:after="40" w:line="360" w:lineRule="auto"/>
        <w:jc w:val="both"/>
        <w:rPr>
          <w:bCs/>
          <w:iCs/>
          <w:lang w:val="en-US"/>
        </w:rPr>
      </w:pPr>
      <w:r w:rsidRPr="00BC68C4">
        <w:rPr>
          <w:bCs/>
          <w:iCs/>
          <w:lang w:val="en-US"/>
        </w:rPr>
        <w:t>We further explored whether DCS would lead to differences in brain activations, as compared to placebo, only among participants that were labeled as consistent nocebo responders. We did not find significant between-groups differences when conducting the same fMRI analyses described in the methods section on only the group of consistent nocebo responders (Table S1).</w:t>
      </w:r>
    </w:p>
    <w:p w14:paraId="36FD76BA" w14:textId="77777777" w:rsidR="00E8321F" w:rsidRDefault="00E8321F" w:rsidP="00E8321F">
      <w:pPr>
        <w:jc w:val="center"/>
        <w:rPr>
          <w:lang w:val="en-US"/>
        </w:rPr>
      </w:pPr>
      <w:r>
        <w:rPr>
          <w:noProof/>
          <w:lang w:val="en-US"/>
        </w:rPr>
        <w:lastRenderedPageBreak/>
        <w:drawing>
          <wp:inline distT="0" distB="0" distL="0" distR="0" wp14:anchorId="5AA8B263" wp14:editId="31E5364B">
            <wp:extent cx="4394446" cy="2980805"/>
            <wp:effectExtent l="0" t="0" r="0" b="3810"/>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491599" cy="3046705"/>
                    </a:xfrm>
                    <a:prstGeom prst="rect">
                      <a:avLst/>
                    </a:prstGeom>
                  </pic:spPr>
                </pic:pic>
              </a:graphicData>
            </a:graphic>
          </wp:inline>
        </w:drawing>
      </w:r>
    </w:p>
    <w:p w14:paraId="34C091DE" w14:textId="7D6E2531" w:rsidR="00E8321F" w:rsidRPr="00A27A7F" w:rsidRDefault="00E8321F" w:rsidP="00E8321F">
      <w:pPr>
        <w:jc w:val="both"/>
        <w:rPr>
          <w:sz w:val="22"/>
          <w:szCs w:val="22"/>
          <w:lang w:val="en-US"/>
        </w:rPr>
      </w:pPr>
      <w:r w:rsidRPr="00A27A7F">
        <w:rPr>
          <w:b/>
          <w:bCs/>
          <w:sz w:val="22"/>
          <w:szCs w:val="22"/>
          <w:lang w:val="en-US"/>
        </w:rPr>
        <w:t>Figure S1</w:t>
      </w:r>
      <w:r w:rsidRPr="00A27A7F">
        <w:rPr>
          <w:sz w:val="22"/>
          <w:szCs w:val="22"/>
          <w:lang w:val="en-US"/>
        </w:rPr>
        <w:t xml:space="preserve">. Change in learning rates </w:t>
      </w:r>
      <w:r w:rsidR="00A27A7F" w:rsidRPr="00A27A7F">
        <w:rPr>
          <w:sz w:val="22"/>
          <w:szCs w:val="22"/>
          <w:lang w:val="en-US"/>
        </w:rPr>
        <w:t xml:space="preserve">from pre- to post- pharmacological administration </w:t>
      </w:r>
      <w:r w:rsidRPr="00A27A7F">
        <w:rPr>
          <w:sz w:val="22"/>
          <w:szCs w:val="22"/>
          <w:lang w:val="en-US"/>
        </w:rPr>
        <w:t>between the DCS and placebo groups (based on the Weschler Memory Scale) was not significant among consistent nocebo responders.</w:t>
      </w:r>
      <w:r w:rsidR="00A27A7F" w:rsidRPr="00A27A7F">
        <w:rPr>
          <w:sz w:val="22"/>
          <w:szCs w:val="22"/>
          <w:lang w:val="en-US"/>
        </w:rPr>
        <w:t xml:space="preserve"> Dots on the graph represent individual datapoints for nocebo responders.</w:t>
      </w:r>
    </w:p>
    <w:p w14:paraId="6F6593D7" w14:textId="77777777" w:rsidR="00E8321F" w:rsidRDefault="00E8321F" w:rsidP="00E8321F">
      <w:pPr>
        <w:jc w:val="both"/>
        <w:rPr>
          <w:lang w:val="en-US"/>
        </w:rPr>
      </w:pPr>
    </w:p>
    <w:p w14:paraId="73A41EDC" w14:textId="3FF50CEB" w:rsidR="00E8321F" w:rsidRDefault="00E8321F">
      <w:pPr>
        <w:rPr>
          <w:b/>
          <w:bCs/>
        </w:rPr>
      </w:pPr>
    </w:p>
    <w:p w14:paraId="7F836E97" w14:textId="4BCF8813" w:rsidR="00E37832" w:rsidRPr="00A27A7F" w:rsidRDefault="00E37832" w:rsidP="00E37832">
      <w:pPr>
        <w:rPr>
          <w:sz w:val="22"/>
          <w:szCs w:val="22"/>
        </w:rPr>
      </w:pPr>
      <w:r w:rsidRPr="00A27A7F">
        <w:rPr>
          <w:b/>
          <w:bCs/>
          <w:sz w:val="22"/>
          <w:szCs w:val="22"/>
        </w:rPr>
        <w:t>Table S1</w:t>
      </w:r>
      <w:r w:rsidRPr="00A27A7F">
        <w:rPr>
          <w:sz w:val="22"/>
          <w:szCs w:val="22"/>
        </w:rPr>
        <w:t>. Results of post-hoc between-groups ROI analyses for acquisition nocebo &gt; control, and evocation nocebo &gt; baseline high pain contrasts, using only nocebo responders.</w:t>
      </w:r>
    </w:p>
    <w:tbl>
      <w:tblPr>
        <w:tblW w:w="8697" w:type="dxa"/>
        <w:tblLayout w:type="fixed"/>
        <w:tblLook w:val="04A0" w:firstRow="1" w:lastRow="0" w:firstColumn="1" w:lastColumn="0" w:noHBand="0" w:noVBand="1"/>
      </w:tblPr>
      <w:tblGrid>
        <w:gridCol w:w="1603"/>
        <w:gridCol w:w="1415"/>
        <w:gridCol w:w="1819"/>
        <w:gridCol w:w="1875"/>
        <w:gridCol w:w="442"/>
        <w:gridCol w:w="814"/>
        <w:gridCol w:w="713"/>
        <w:gridCol w:w="16"/>
      </w:tblGrid>
      <w:tr w:rsidR="00E8321F" w:rsidRPr="00E8321F" w14:paraId="0685CC33" w14:textId="77777777" w:rsidTr="00E8321F">
        <w:trPr>
          <w:gridAfter w:val="1"/>
          <w:wAfter w:w="16" w:type="dxa"/>
          <w:trHeight w:val="536"/>
        </w:trPr>
        <w:tc>
          <w:tcPr>
            <w:tcW w:w="1603" w:type="dxa"/>
            <w:tcBorders>
              <w:top w:val="single" w:sz="4" w:space="0" w:color="auto"/>
              <w:left w:val="nil"/>
              <w:bottom w:val="single" w:sz="4" w:space="0" w:color="auto"/>
              <w:right w:val="nil"/>
            </w:tcBorders>
          </w:tcPr>
          <w:p w14:paraId="7036945C" w14:textId="77777777" w:rsidR="00E37832" w:rsidRPr="00E8321F" w:rsidRDefault="00E37832" w:rsidP="00E8321F">
            <w:pPr>
              <w:spacing w:line="276" w:lineRule="auto"/>
              <w:rPr>
                <w:color w:val="000000"/>
                <w:sz w:val="22"/>
                <w:szCs w:val="22"/>
              </w:rPr>
            </w:pPr>
          </w:p>
        </w:tc>
        <w:tc>
          <w:tcPr>
            <w:tcW w:w="1415" w:type="dxa"/>
            <w:tcBorders>
              <w:top w:val="single" w:sz="4" w:space="0" w:color="auto"/>
              <w:left w:val="nil"/>
              <w:bottom w:val="single" w:sz="4" w:space="0" w:color="auto"/>
              <w:right w:val="nil"/>
            </w:tcBorders>
            <w:shd w:val="clear" w:color="auto" w:fill="auto"/>
            <w:noWrap/>
          </w:tcPr>
          <w:p w14:paraId="78E670D9" w14:textId="77777777" w:rsidR="00E37832" w:rsidRPr="00E8321F" w:rsidRDefault="00E37832" w:rsidP="00E8321F">
            <w:pPr>
              <w:rPr>
                <w:color w:val="000000"/>
                <w:sz w:val="22"/>
                <w:szCs w:val="22"/>
              </w:rPr>
            </w:pPr>
            <w:r w:rsidRPr="00E8321F">
              <w:rPr>
                <w:color w:val="000000"/>
                <w:sz w:val="22"/>
                <w:szCs w:val="22"/>
              </w:rPr>
              <w:t xml:space="preserve">Region </w:t>
            </w:r>
            <w:r w:rsidRPr="00CA319A">
              <w:rPr>
                <w:color w:val="000000"/>
                <w:sz w:val="21"/>
                <w:szCs w:val="21"/>
              </w:rPr>
              <w:t>(HOA Mask)</w:t>
            </w:r>
          </w:p>
        </w:tc>
        <w:tc>
          <w:tcPr>
            <w:tcW w:w="1819" w:type="dxa"/>
            <w:tcBorders>
              <w:top w:val="single" w:sz="4" w:space="0" w:color="auto"/>
              <w:left w:val="nil"/>
              <w:bottom w:val="single" w:sz="4" w:space="0" w:color="auto"/>
              <w:right w:val="nil"/>
            </w:tcBorders>
            <w:shd w:val="clear" w:color="auto" w:fill="auto"/>
            <w:noWrap/>
          </w:tcPr>
          <w:p w14:paraId="2097E80E" w14:textId="77777777" w:rsidR="00E8321F" w:rsidRDefault="00E37832" w:rsidP="00E8321F">
            <w:pPr>
              <w:rPr>
                <w:color w:val="000000"/>
                <w:sz w:val="22"/>
                <w:szCs w:val="22"/>
              </w:rPr>
            </w:pPr>
            <w:r w:rsidRPr="00E8321F">
              <w:rPr>
                <w:color w:val="000000"/>
                <w:sz w:val="22"/>
                <w:szCs w:val="22"/>
              </w:rPr>
              <w:t xml:space="preserve">DCS </w:t>
            </w:r>
          </w:p>
          <w:p w14:paraId="3B843689" w14:textId="08438026" w:rsidR="00E37832" w:rsidRPr="00E8321F" w:rsidRDefault="00E37832" w:rsidP="00E8321F">
            <w:pPr>
              <w:rPr>
                <w:color w:val="000000"/>
                <w:sz w:val="22"/>
                <w:szCs w:val="22"/>
              </w:rPr>
            </w:pPr>
            <w:r w:rsidRPr="00E8321F">
              <w:rPr>
                <w:color w:val="000000"/>
                <w:sz w:val="21"/>
                <w:szCs w:val="21"/>
              </w:rPr>
              <w:t>parameter estimate</w:t>
            </w:r>
          </w:p>
        </w:tc>
        <w:tc>
          <w:tcPr>
            <w:tcW w:w="1875" w:type="dxa"/>
            <w:tcBorders>
              <w:top w:val="single" w:sz="4" w:space="0" w:color="auto"/>
              <w:left w:val="nil"/>
              <w:bottom w:val="single" w:sz="4" w:space="0" w:color="auto"/>
              <w:right w:val="nil"/>
            </w:tcBorders>
            <w:shd w:val="clear" w:color="auto" w:fill="auto"/>
            <w:noWrap/>
          </w:tcPr>
          <w:p w14:paraId="5A2CE96E" w14:textId="77777777" w:rsidR="00E37832" w:rsidRPr="00E8321F" w:rsidRDefault="00E37832" w:rsidP="00E8321F">
            <w:pPr>
              <w:rPr>
                <w:color w:val="000000"/>
                <w:sz w:val="22"/>
                <w:szCs w:val="22"/>
              </w:rPr>
            </w:pPr>
            <w:r w:rsidRPr="00E8321F">
              <w:rPr>
                <w:color w:val="000000"/>
                <w:sz w:val="22"/>
                <w:szCs w:val="22"/>
              </w:rPr>
              <w:t>Placebo</w:t>
            </w:r>
          </w:p>
          <w:p w14:paraId="0803FBA1" w14:textId="77777777" w:rsidR="00E37832" w:rsidRPr="00E8321F" w:rsidRDefault="00E37832" w:rsidP="00E8321F">
            <w:pPr>
              <w:rPr>
                <w:color w:val="000000"/>
                <w:sz w:val="22"/>
                <w:szCs w:val="22"/>
              </w:rPr>
            </w:pPr>
            <w:r w:rsidRPr="00E8321F">
              <w:rPr>
                <w:color w:val="000000"/>
                <w:sz w:val="21"/>
                <w:szCs w:val="21"/>
              </w:rPr>
              <w:t xml:space="preserve">parameter estimate </w:t>
            </w:r>
          </w:p>
        </w:tc>
        <w:tc>
          <w:tcPr>
            <w:tcW w:w="442" w:type="dxa"/>
            <w:tcBorders>
              <w:top w:val="single" w:sz="4" w:space="0" w:color="auto"/>
              <w:left w:val="nil"/>
              <w:bottom w:val="single" w:sz="4" w:space="0" w:color="auto"/>
              <w:right w:val="nil"/>
            </w:tcBorders>
            <w:shd w:val="clear" w:color="auto" w:fill="auto"/>
            <w:noWrap/>
          </w:tcPr>
          <w:p w14:paraId="1BD8FAB9" w14:textId="77777777" w:rsidR="00E37832" w:rsidRPr="00E8321F" w:rsidRDefault="00E37832" w:rsidP="00E8321F">
            <w:pPr>
              <w:spacing w:line="276" w:lineRule="auto"/>
              <w:rPr>
                <w:color w:val="000000"/>
                <w:sz w:val="22"/>
                <w:szCs w:val="22"/>
              </w:rPr>
            </w:pPr>
            <w:r w:rsidRPr="00E8321F">
              <w:rPr>
                <w:color w:val="000000"/>
                <w:sz w:val="22"/>
                <w:szCs w:val="22"/>
              </w:rPr>
              <w:t>df</w:t>
            </w:r>
          </w:p>
        </w:tc>
        <w:tc>
          <w:tcPr>
            <w:tcW w:w="814" w:type="dxa"/>
            <w:tcBorders>
              <w:top w:val="single" w:sz="4" w:space="0" w:color="auto"/>
              <w:left w:val="nil"/>
              <w:bottom w:val="single" w:sz="4" w:space="0" w:color="auto"/>
              <w:right w:val="nil"/>
            </w:tcBorders>
            <w:shd w:val="clear" w:color="auto" w:fill="auto"/>
            <w:noWrap/>
          </w:tcPr>
          <w:p w14:paraId="6E175DA0" w14:textId="77777777" w:rsidR="00E37832" w:rsidRPr="00E8321F" w:rsidRDefault="00E37832" w:rsidP="00E8321F">
            <w:pPr>
              <w:spacing w:line="276" w:lineRule="auto"/>
              <w:rPr>
                <w:i/>
                <w:iCs/>
                <w:color w:val="000000"/>
                <w:sz w:val="22"/>
                <w:szCs w:val="22"/>
              </w:rPr>
            </w:pPr>
            <w:r w:rsidRPr="00E8321F">
              <w:rPr>
                <w:i/>
                <w:iCs/>
                <w:color w:val="000000"/>
                <w:sz w:val="22"/>
                <w:szCs w:val="22"/>
              </w:rPr>
              <w:t>t</w:t>
            </w:r>
          </w:p>
        </w:tc>
        <w:tc>
          <w:tcPr>
            <w:tcW w:w="713" w:type="dxa"/>
            <w:tcBorders>
              <w:top w:val="single" w:sz="4" w:space="0" w:color="auto"/>
              <w:left w:val="nil"/>
              <w:bottom w:val="single" w:sz="4" w:space="0" w:color="auto"/>
              <w:right w:val="nil"/>
            </w:tcBorders>
            <w:shd w:val="clear" w:color="auto" w:fill="auto"/>
            <w:noWrap/>
          </w:tcPr>
          <w:p w14:paraId="116FBBD6" w14:textId="77777777" w:rsidR="00E37832" w:rsidRPr="00E8321F" w:rsidRDefault="00E37832" w:rsidP="00E8321F">
            <w:pPr>
              <w:spacing w:line="276" w:lineRule="auto"/>
              <w:rPr>
                <w:i/>
                <w:iCs/>
                <w:color w:val="000000"/>
                <w:sz w:val="22"/>
                <w:szCs w:val="22"/>
              </w:rPr>
            </w:pPr>
            <w:r w:rsidRPr="00E8321F">
              <w:rPr>
                <w:i/>
                <w:iCs/>
                <w:color w:val="000000"/>
                <w:sz w:val="22"/>
                <w:szCs w:val="22"/>
              </w:rPr>
              <w:t xml:space="preserve">p </w:t>
            </w:r>
          </w:p>
        </w:tc>
      </w:tr>
      <w:tr w:rsidR="00E8321F" w:rsidRPr="00E8321F" w14:paraId="18546EBB" w14:textId="77777777" w:rsidTr="00E8321F">
        <w:trPr>
          <w:gridAfter w:val="1"/>
          <w:wAfter w:w="16" w:type="dxa"/>
          <w:trHeight w:val="279"/>
        </w:trPr>
        <w:tc>
          <w:tcPr>
            <w:tcW w:w="1603" w:type="dxa"/>
            <w:tcBorders>
              <w:top w:val="single" w:sz="4" w:space="0" w:color="auto"/>
              <w:left w:val="nil"/>
              <w:bottom w:val="nil"/>
              <w:right w:val="nil"/>
            </w:tcBorders>
          </w:tcPr>
          <w:p w14:paraId="55F770A1" w14:textId="77777777" w:rsidR="00E37832" w:rsidRPr="00E8321F" w:rsidRDefault="00E37832" w:rsidP="00E8321F">
            <w:pPr>
              <w:spacing w:line="276" w:lineRule="auto"/>
              <w:rPr>
                <w:color w:val="000000"/>
                <w:sz w:val="22"/>
                <w:szCs w:val="22"/>
              </w:rPr>
            </w:pPr>
            <w:r w:rsidRPr="00E8321F">
              <w:rPr>
                <w:b/>
                <w:bCs/>
                <w:color w:val="000000"/>
                <w:sz w:val="22"/>
                <w:szCs w:val="22"/>
              </w:rPr>
              <w:t>Acquisition</w:t>
            </w:r>
          </w:p>
        </w:tc>
        <w:tc>
          <w:tcPr>
            <w:tcW w:w="1415" w:type="dxa"/>
            <w:tcBorders>
              <w:top w:val="single" w:sz="4" w:space="0" w:color="auto"/>
              <w:left w:val="nil"/>
              <w:bottom w:val="nil"/>
              <w:right w:val="nil"/>
            </w:tcBorders>
            <w:shd w:val="clear" w:color="auto" w:fill="auto"/>
            <w:noWrap/>
          </w:tcPr>
          <w:p w14:paraId="10A8C1DC" w14:textId="77777777" w:rsidR="00E37832" w:rsidRPr="00E8321F" w:rsidRDefault="00E37832" w:rsidP="00E8321F">
            <w:pPr>
              <w:spacing w:line="276" w:lineRule="auto"/>
              <w:rPr>
                <w:color w:val="000000"/>
                <w:sz w:val="22"/>
                <w:szCs w:val="22"/>
              </w:rPr>
            </w:pPr>
          </w:p>
        </w:tc>
        <w:tc>
          <w:tcPr>
            <w:tcW w:w="1819" w:type="dxa"/>
            <w:tcBorders>
              <w:top w:val="single" w:sz="4" w:space="0" w:color="auto"/>
              <w:left w:val="nil"/>
              <w:bottom w:val="nil"/>
              <w:right w:val="nil"/>
            </w:tcBorders>
            <w:shd w:val="clear" w:color="auto" w:fill="auto"/>
            <w:noWrap/>
          </w:tcPr>
          <w:p w14:paraId="3521C195" w14:textId="77777777" w:rsidR="00E37832" w:rsidRPr="00E8321F" w:rsidRDefault="00E37832" w:rsidP="00E8321F">
            <w:pPr>
              <w:spacing w:line="276" w:lineRule="auto"/>
              <w:rPr>
                <w:color w:val="000000"/>
                <w:sz w:val="22"/>
                <w:szCs w:val="22"/>
              </w:rPr>
            </w:pPr>
          </w:p>
        </w:tc>
        <w:tc>
          <w:tcPr>
            <w:tcW w:w="1875" w:type="dxa"/>
            <w:tcBorders>
              <w:top w:val="single" w:sz="4" w:space="0" w:color="auto"/>
              <w:left w:val="nil"/>
              <w:bottom w:val="nil"/>
              <w:right w:val="nil"/>
            </w:tcBorders>
            <w:shd w:val="clear" w:color="auto" w:fill="auto"/>
            <w:noWrap/>
          </w:tcPr>
          <w:p w14:paraId="6B0C2E7E" w14:textId="77777777" w:rsidR="00E37832" w:rsidRPr="00E8321F" w:rsidRDefault="00E37832" w:rsidP="00E8321F">
            <w:pPr>
              <w:spacing w:line="276" w:lineRule="auto"/>
              <w:rPr>
                <w:color w:val="000000"/>
                <w:sz w:val="22"/>
                <w:szCs w:val="22"/>
              </w:rPr>
            </w:pPr>
          </w:p>
        </w:tc>
        <w:tc>
          <w:tcPr>
            <w:tcW w:w="442" w:type="dxa"/>
            <w:tcBorders>
              <w:top w:val="single" w:sz="4" w:space="0" w:color="auto"/>
              <w:left w:val="nil"/>
              <w:bottom w:val="nil"/>
              <w:right w:val="nil"/>
            </w:tcBorders>
            <w:shd w:val="clear" w:color="auto" w:fill="auto"/>
            <w:noWrap/>
          </w:tcPr>
          <w:p w14:paraId="4D608EE9" w14:textId="77777777" w:rsidR="00E37832" w:rsidRPr="00E8321F" w:rsidRDefault="00E37832" w:rsidP="00E8321F">
            <w:pPr>
              <w:spacing w:line="276" w:lineRule="auto"/>
              <w:rPr>
                <w:color w:val="000000"/>
                <w:sz w:val="22"/>
                <w:szCs w:val="22"/>
              </w:rPr>
            </w:pPr>
          </w:p>
        </w:tc>
        <w:tc>
          <w:tcPr>
            <w:tcW w:w="814" w:type="dxa"/>
            <w:tcBorders>
              <w:top w:val="single" w:sz="4" w:space="0" w:color="auto"/>
              <w:left w:val="nil"/>
              <w:bottom w:val="nil"/>
              <w:right w:val="nil"/>
            </w:tcBorders>
            <w:shd w:val="clear" w:color="auto" w:fill="auto"/>
            <w:noWrap/>
          </w:tcPr>
          <w:p w14:paraId="0C57534B" w14:textId="77777777" w:rsidR="00E37832" w:rsidRPr="00E8321F" w:rsidRDefault="00E37832" w:rsidP="00E8321F">
            <w:pPr>
              <w:spacing w:line="276" w:lineRule="auto"/>
              <w:rPr>
                <w:i/>
                <w:iCs/>
                <w:color w:val="000000"/>
                <w:sz w:val="22"/>
                <w:szCs w:val="22"/>
              </w:rPr>
            </w:pPr>
          </w:p>
        </w:tc>
        <w:tc>
          <w:tcPr>
            <w:tcW w:w="713" w:type="dxa"/>
            <w:tcBorders>
              <w:top w:val="single" w:sz="4" w:space="0" w:color="auto"/>
              <w:left w:val="nil"/>
              <w:bottom w:val="nil"/>
              <w:right w:val="nil"/>
            </w:tcBorders>
            <w:shd w:val="clear" w:color="auto" w:fill="auto"/>
            <w:noWrap/>
          </w:tcPr>
          <w:p w14:paraId="0D232523" w14:textId="77777777" w:rsidR="00E37832" w:rsidRPr="00E8321F" w:rsidRDefault="00E37832" w:rsidP="00E8321F">
            <w:pPr>
              <w:spacing w:line="276" w:lineRule="auto"/>
              <w:rPr>
                <w:i/>
                <w:iCs/>
                <w:color w:val="000000"/>
                <w:sz w:val="22"/>
                <w:szCs w:val="22"/>
              </w:rPr>
            </w:pPr>
          </w:p>
        </w:tc>
      </w:tr>
      <w:tr w:rsidR="00E8321F" w:rsidRPr="00E8321F" w14:paraId="4A1FFE03" w14:textId="77777777" w:rsidTr="00E8321F">
        <w:trPr>
          <w:gridAfter w:val="1"/>
          <w:wAfter w:w="16" w:type="dxa"/>
          <w:trHeight w:val="162"/>
        </w:trPr>
        <w:tc>
          <w:tcPr>
            <w:tcW w:w="1603" w:type="dxa"/>
            <w:tcBorders>
              <w:top w:val="nil"/>
              <w:left w:val="nil"/>
              <w:bottom w:val="nil"/>
              <w:right w:val="nil"/>
            </w:tcBorders>
          </w:tcPr>
          <w:p w14:paraId="7A28CC8E"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0A3C4E83" w14:textId="77777777" w:rsidR="00E37832" w:rsidRPr="00E8321F" w:rsidRDefault="00E37832" w:rsidP="00E8321F">
            <w:pPr>
              <w:spacing w:line="276" w:lineRule="auto"/>
              <w:rPr>
                <w:color w:val="000000"/>
                <w:sz w:val="22"/>
                <w:szCs w:val="22"/>
              </w:rPr>
            </w:pPr>
            <w:r w:rsidRPr="00E8321F">
              <w:rPr>
                <w:color w:val="000000"/>
                <w:sz w:val="22"/>
                <w:szCs w:val="22"/>
              </w:rPr>
              <w:t>Amygdala</w:t>
            </w:r>
          </w:p>
        </w:tc>
        <w:tc>
          <w:tcPr>
            <w:tcW w:w="1819" w:type="dxa"/>
            <w:tcBorders>
              <w:top w:val="nil"/>
              <w:left w:val="nil"/>
              <w:bottom w:val="nil"/>
              <w:right w:val="nil"/>
            </w:tcBorders>
            <w:shd w:val="clear" w:color="auto" w:fill="auto"/>
            <w:noWrap/>
            <w:hideMark/>
          </w:tcPr>
          <w:p w14:paraId="469CB2DC" w14:textId="77777777" w:rsidR="00E37832" w:rsidRPr="00E8321F" w:rsidRDefault="00E37832" w:rsidP="00E8321F">
            <w:pPr>
              <w:spacing w:line="276" w:lineRule="auto"/>
              <w:jc w:val="right"/>
              <w:rPr>
                <w:color w:val="000000"/>
                <w:sz w:val="22"/>
                <w:szCs w:val="22"/>
              </w:rPr>
            </w:pPr>
            <w:r w:rsidRPr="00E8321F">
              <w:rPr>
                <w:color w:val="000000"/>
                <w:sz w:val="22"/>
                <w:szCs w:val="22"/>
              </w:rPr>
              <w:t>0.297</w:t>
            </w:r>
          </w:p>
        </w:tc>
        <w:tc>
          <w:tcPr>
            <w:tcW w:w="1875" w:type="dxa"/>
            <w:tcBorders>
              <w:top w:val="nil"/>
              <w:left w:val="nil"/>
              <w:bottom w:val="nil"/>
              <w:right w:val="nil"/>
            </w:tcBorders>
            <w:shd w:val="clear" w:color="auto" w:fill="auto"/>
            <w:noWrap/>
            <w:hideMark/>
          </w:tcPr>
          <w:p w14:paraId="04866F67" w14:textId="77777777" w:rsidR="00E37832" w:rsidRPr="00E8321F" w:rsidRDefault="00E37832" w:rsidP="00E8321F">
            <w:pPr>
              <w:spacing w:line="276" w:lineRule="auto"/>
              <w:jc w:val="right"/>
              <w:rPr>
                <w:color w:val="000000"/>
                <w:sz w:val="22"/>
                <w:szCs w:val="22"/>
              </w:rPr>
            </w:pPr>
            <w:r w:rsidRPr="00E8321F">
              <w:rPr>
                <w:color w:val="000000"/>
                <w:sz w:val="22"/>
                <w:szCs w:val="22"/>
              </w:rPr>
              <w:t>0.199</w:t>
            </w:r>
          </w:p>
        </w:tc>
        <w:tc>
          <w:tcPr>
            <w:tcW w:w="442" w:type="dxa"/>
            <w:tcBorders>
              <w:top w:val="nil"/>
              <w:left w:val="nil"/>
              <w:bottom w:val="nil"/>
              <w:right w:val="nil"/>
            </w:tcBorders>
            <w:shd w:val="clear" w:color="auto" w:fill="auto"/>
            <w:noWrap/>
            <w:hideMark/>
          </w:tcPr>
          <w:p w14:paraId="346C6EDA"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3EE57005" w14:textId="77777777" w:rsidR="00E37832" w:rsidRPr="00E8321F" w:rsidRDefault="00E37832" w:rsidP="00E8321F">
            <w:pPr>
              <w:spacing w:line="276" w:lineRule="auto"/>
              <w:jc w:val="right"/>
              <w:rPr>
                <w:color w:val="000000"/>
                <w:sz w:val="22"/>
                <w:szCs w:val="22"/>
              </w:rPr>
            </w:pPr>
            <w:r w:rsidRPr="00E8321F">
              <w:rPr>
                <w:color w:val="000000"/>
                <w:sz w:val="22"/>
                <w:szCs w:val="22"/>
              </w:rPr>
              <w:t>0.69</w:t>
            </w:r>
          </w:p>
        </w:tc>
        <w:tc>
          <w:tcPr>
            <w:tcW w:w="713" w:type="dxa"/>
            <w:tcBorders>
              <w:top w:val="nil"/>
              <w:left w:val="nil"/>
              <w:bottom w:val="nil"/>
              <w:right w:val="nil"/>
            </w:tcBorders>
            <w:shd w:val="clear" w:color="auto" w:fill="auto"/>
            <w:noWrap/>
            <w:hideMark/>
          </w:tcPr>
          <w:p w14:paraId="03074CF5" w14:textId="77777777" w:rsidR="00E37832" w:rsidRPr="00E8321F" w:rsidRDefault="00E37832" w:rsidP="00E8321F">
            <w:pPr>
              <w:spacing w:line="276" w:lineRule="auto"/>
              <w:jc w:val="right"/>
              <w:rPr>
                <w:color w:val="000000"/>
                <w:sz w:val="22"/>
                <w:szCs w:val="22"/>
              </w:rPr>
            </w:pPr>
            <w:r w:rsidRPr="00E8321F">
              <w:rPr>
                <w:color w:val="000000"/>
                <w:sz w:val="22"/>
                <w:szCs w:val="22"/>
              </w:rPr>
              <w:t>0.496</w:t>
            </w:r>
          </w:p>
        </w:tc>
      </w:tr>
      <w:tr w:rsidR="00E8321F" w:rsidRPr="00E8321F" w14:paraId="01DD5A24" w14:textId="77777777" w:rsidTr="00E8321F">
        <w:trPr>
          <w:gridAfter w:val="1"/>
          <w:wAfter w:w="16" w:type="dxa"/>
          <w:trHeight w:val="288"/>
        </w:trPr>
        <w:tc>
          <w:tcPr>
            <w:tcW w:w="1603" w:type="dxa"/>
            <w:tcBorders>
              <w:top w:val="nil"/>
              <w:left w:val="nil"/>
              <w:bottom w:val="nil"/>
              <w:right w:val="nil"/>
            </w:tcBorders>
          </w:tcPr>
          <w:p w14:paraId="48609CF9"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3D72CBCE" w14:textId="77777777" w:rsidR="00E37832" w:rsidRPr="00E8321F" w:rsidRDefault="00E37832" w:rsidP="00E8321F">
            <w:pPr>
              <w:spacing w:line="276" w:lineRule="auto"/>
              <w:rPr>
                <w:color w:val="000000"/>
                <w:sz w:val="22"/>
                <w:szCs w:val="22"/>
              </w:rPr>
            </w:pPr>
            <w:r w:rsidRPr="00E8321F">
              <w:rPr>
                <w:color w:val="000000"/>
                <w:sz w:val="22"/>
                <w:szCs w:val="22"/>
              </w:rPr>
              <w:t>ACC</w:t>
            </w:r>
          </w:p>
        </w:tc>
        <w:tc>
          <w:tcPr>
            <w:tcW w:w="1819" w:type="dxa"/>
            <w:tcBorders>
              <w:top w:val="nil"/>
              <w:left w:val="nil"/>
              <w:bottom w:val="nil"/>
              <w:right w:val="nil"/>
            </w:tcBorders>
            <w:shd w:val="clear" w:color="auto" w:fill="auto"/>
            <w:noWrap/>
            <w:hideMark/>
          </w:tcPr>
          <w:p w14:paraId="78018562" w14:textId="77777777" w:rsidR="00E37832" w:rsidRPr="00E8321F" w:rsidRDefault="00E37832" w:rsidP="00E8321F">
            <w:pPr>
              <w:spacing w:line="276" w:lineRule="auto"/>
              <w:jc w:val="right"/>
              <w:rPr>
                <w:color w:val="000000"/>
                <w:sz w:val="22"/>
                <w:szCs w:val="22"/>
              </w:rPr>
            </w:pPr>
            <w:r w:rsidRPr="00E8321F">
              <w:rPr>
                <w:color w:val="000000"/>
                <w:sz w:val="22"/>
                <w:szCs w:val="22"/>
              </w:rPr>
              <w:t>0.355</w:t>
            </w:r>
          </w:p>
        </w:tc>
        <w:tc>
          <w:tcPr>
            <w:tcW w:w="1875" w:type="dxa"/>
            <w:tcBorders>
              <w:top w:val="nil"/>
              <w:left w:val="nil"/>
              <w:bottom w:val="nil"/>
              <w:right w:val="nil"/>
            </w:tcBorders>
            <w:shd w:val="clear" w:color="auto" w:fill="auto"/>
            <w:noWrap/>
            <w:hideMark/>
          </w:tcPr>
          <w:p w14:paraId="6D6701DA" w14:textId="77777777" w:rsidR="00E37832" w:rsidRPr="00E8321F" w:rsidRDefault="00E37832" w:rsidP="00E8321F">
            <w:pPr>
              <w:spacing w:line="276" w:lineRule="auto"/>
              <w:jc w:val="right"/>
              <w:rPr>
                <w:color w:val="000000"/>
                <w:sz w:val="22"/>
                <w:szCs w:val="22"/>
              </w:rPr>
            </w:pPr>
            <w:r w:rsidRPr="00E8321F">
              <w:rPr>
                <w:color w:val="000000"/>
                <w:sz w:val="22"/>
                <w:szCs w:val="22"/>
              </w:rPr>
              <w:t>0.145</w:t>
            </w:r>
          </w:p>
        </w:tc>
        <w:tc>
          <w:tcPr>
            <w:tcW w:w="442" w:type="dxa"/>
            <w:tcBorders>
              <w:top w:val="nil"/>
              <w:left w:val="nil"/>
              <w:bottom w:val="nil"/>
              <w:right w:val="nil"/>
            </w:tcBorders>
            <w:shd w:val="clear" w:color="auto" w:fill="auto"/>
            <w:noWrap/>
            <w:hideMark/>
          </w:tcPr>
          <w:p w14:paraId="23BEEEC6"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6EDAEF07" w14:textId="77777777" w:rsidR="00E37832" w:rsidRPr="00E8321F" w:rsidRDefault="00E37832" w:rsidP="00E8321F">
            <w:pPr>
              <w:spacing w:line="276" w:lineRule="auto"/>
              <w:jc w:val="right"/>
              <w:rPr>
                <w:color w:val="000000"/>
                <w:sz w:val="22"/>
                <w:szCs w:val="22"/>
              </w:rPr>
            </w:pPr>
            <w:r w:rsidRPr="00E8321F">
              <w:rPr>
                <w:color w:val="000000"/>
                <w:sz w:val="22"/>
                <w:szCs w:val="22"/>
              </w:rPr>
              <w:t>1.259</w:t>
            </w:r>
          </w:p>
        </w:tc>
        <w:tc>
          <w:tcPr>
            <w:tcW w:w="713" w:type="dxa"/>
            <w:tcBorders>
              <w:top w:val="nil"/>
              <w:left w:val="nil"/>
              <w:bottom w:val="nil"/>
              <w:right w:val="nil"/>
            </w:tcBorders>
            <w:shd w:val="clear" w:color="auto" w:fill="auto"/>
            <w:noWrap/>
            <w:hideMark/>
          </w:tcPr>
          <w:p w14:paraId="6010DC39" w14:textId="77777777" w:rsidR="00E37832" w:rsidRPr="00E8321F" w:rsidRDefault="00E37832" w:rsidP="00E8321F">
            <w:pPr>
              <w:spacing w:line="276" w:lineRule="auto"/>
              <w:jc w:val="right"/>
              <w:rPr>
                <w:color w:val="000000"/>
                <w:sz w:val="22"/>
                <w:szCs w:val="22"/>
              </w:rPr>
            </w:pPr>
            <w:r w:rsidRPr="00E8321F">
              <w:rPr>
                <w:color w:val="000000"/>
                <w:sz w:val="22"/>
                <w:szCs w:val="22"/>
              </w:rPr>
              <w:t>0.219</w:t>
            </w:r>
          </w:p>
        </w:tc>
      </w:tr>
      <w:tr w:rsidR="00E8321F" w:rsidRPr="00E8321F" w14:paraId="3A3818C3" w14:textId="77777777" w:rsidTr="00E8321F">
        <w:trPr>
          <w:gridAfter w:val="1"/>
          <w:wAfter w:w="16" w:type="dxa"/>
          <w:trHeight w:val="288"/>
        </w:trPr>
        <w:tc>
          <w:tcPr>
            <w:tcW w:w="1603" w:type="dxa"/>
            <w:tcBorders>
              <w:top w:val="nil"/>
              <w:left w:val="nil"/>
              <w:bottom w:val="nil"/>
              <w:right w:val="nil"/>
            </w:tcBorders>
          </w:tcPr>
          <w:p w14:paraId="23D7CBFB"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28B918CE" w14:textId="77777777" w:rsidR="00E37832" w:rsidRPr="00E8321F" w:rsidRDefault="00E37832" w:rsidP="00E8321F">
            <w:pPr>
              <w:spacing w:line="276" w:lineRule="auto"/>
              <w:rPr>
                <w:color w:val="000000"/>
                <w:sz w:val="22"/>
                <w:szCs w:val="22"/>
              </w:rPr>
            </w:pPr>
            <w:r w:rsidRPr="00E8321F">
              <w:rPr>
                <w:color w:val="000000"/>
                <w:sz w:val="22"/>
                <w:szCs w:val="22"/>
              </w:rPr>
              <w:t>dlPFC</w:t>
            </w:r>
          </w:p>
        </w:tc>
        <w:tc>
          <w:tcPr>
            <w:tcW w:w="1819" w:type="dxa"/>
            <w:tcBorders>
              <w:top w:val="nil"/>
              <w:left w:val="nil"/>
              <w:bottom w:val="nil"/>
              <w:right w:val="nil"/>
            </w:tcBorders>
            <w:shd w:val="clear" w:color="auto" w:fill="auto"/>
            <w:noWrap/>
            <w:hideMark/>
          </w:tcPr>
          <w:p w14:paraId="5FF95F4A" w14:textId="77777777" w:rsidR="00E37832" w:rsidRPr="00E8321F" w:rsidRDefault="00E37832" w:rsidP="00E8321F">
            <w:pPr>
              <w:spacing w:line="276" w:lineRule="auto"/>
              <w:jc w:val="right"/>
              <w:rPr>
                <w:color w:val="000000"/>
                <w:sz w:val="22"/>
                <w:szCs w:val="22"/>
              </w:rPr>
            </w:pPr>
            <w:r w:rsidRPr="00E8321F">
              <w:rPr>
                <w:color w:val="000000"/>
                <w:sz w:val="22"/>
                <w:szCs w:val="22"/>
              </w:rPr>
              <w:t>0.237</w:t>
            </w:r>
          </w:p>
        </w:tc>
        <w:tc>
          <w:tcPr>
            <w:tcW w:w="1875" w:type="dxa"/>
            <w:tcBorders>
              <w:top w:val="nil"/>
              <w:left w:val="nil"/>
              <w:bottom w:val="nil"/>
              <w:right w:val="nil"/>
            </w:tcBorders>
            <w:shd w:val="clear" w:color="auto" w:fill="auto"/>
            <w:noWrap/>
            <w:hideMark/>
          </w:tcPr>
          <w:p w14:paraId="7CC98C85" w14:textId="77777777" w:rsidR="00E37832" w:rsidRPr="00E8321F" w:rsidRDefault="00E37832" w:rsidP="00E8321F">
            <w:pPr>
              <w:spacing w:line="276" w:lineRule="auto"/>
              <w:jc w:val="right"/>
              <w:rPr>
                <w:color w:val="000000"/>
                <w:sz w:val="22"/>
                <w:szCs w:val="22"/>
              </w:rPr>
            </w:pPr>
            <w:r w:rsidRPr="00E8321F">
              <w:rPr>
                <w:color w:val="000000"/>
                <w:sz w:val="22"/>
                <w:szCs w:val="22"/>
              </w:rPr>
              <w:t>-0.368</w:t>
            </w:r>
          </w:p>
        </w:tc>
        <w:tc>
          <w:tcPr>
            <w:tcW w:w="442" w:type="dxa"/>
            <w:tcBorders>
              <w:top w:val="nil"/>
              <w:left w:val="nil"/>
              <w:bottom w:val="nil"/>
              <w:right w:val="nil"/>
            </w:tcBorders>
            <w:shd w:val="clear" w:color="auto" w:fill="auto"/>
            <w:noWrap/>
            <w:hideMark/>
          </w:tcPr>
          <w:p w14:paraId="5B20C712"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1381E804" w14:textId="77777777" w:rsidR="00E37832" w:rsidRPr="00E8321F" w:rsidRDefault="00E37832" w:rsidP="00E8321F">
            <w:pPr>
              <w:spacing w:line="276" w:lineRule="auto"/>
              <w:jc w:val="right"/>
              <w:rPr>
                <w:color w:val="000000"/>
                <w:sz w:val="22"/>
                <w:szCs w:val="22"/>
              </w:rPr>
            </w:pPr>
            <w:r w:rsidRPr="00E8321F">
              <w:rPr>
                <w:color w:val="000000"/>
                <w:sz w:val="22"/>
                <w:szCs w:val="22"/>
              </w:rPr>
              <w:t>0.433</w:t>
            </w:r>
          </w:p>
        </w:tc>
        <w:tc>
          <w:tcPr>
            <w:tcW w:w="713" w:type="dxa"/>
            <w:tcBorders>
              <w:top w:val="nil"/>
              <w:left w:val="nil"/>
              <w:bottom w:val="nil"/>
              <w:right w:val="nil"/>
            </w:tcBorders>
            <w:shd w:val="clear" w:color="auto" w:fill="auto"/>
            <w:noWrap/>
            <w:hideMark/>
          </w:tcPr>
          <w:p w14:paraId="79AE9932" w14:textId="77777777" w:rsidR="00E37832" w:rsidRPr="00E8321F" w:rsidRDefault="00E37832" w:rsidP="00E8321F">
            <w:pPr>
              <w:spacing w:line="276" w:lineRule="auto"/>
              <w:jc w:val="right"/>
              <w:rPr>
                <w:color w:val="000000"/>
                <w:sz w:val="22"/>
                <w:szCs w:val="22"/>
              </w:rPr>
            </w:pPr>
            <w:r w:rsidRPr="00E8321F">
              <w:rPr>
                <w:color w:val="000000"/>
                <w:sz w:val="22"/>
                <w:szCs w:val="22"/>
              </w:rPr>
              <w:t>0.668</w:t>
            </w:r>
          </w:p>
        </w:tc>
      </w:tr>
      <w:tr w:rsidR="00E8321F" w:rsidRPr="00E8321F" w14:paraId="56109CBF" w14:textId="77777777" w:rsidTr="00E8321F">
        <w:trPr>
          <w:gridAfter w:val="1"/>
          <w:wAfter w:w="16" w:type="dxa"/>
          <w:trHeight w:val="288"/>
        </w:trPr>
        <w:tc>
          <w:tcPr>
            <w:tcW w:w="1603" w:type="dxa"/>
            <w:tcBorders>
              <w:top w:val="nil"/>
              <w:left w:val="nil"/>
              <w:bottom w:val="nil"/>
              <w:right w:val="nil"/>
            </w:tcBorders>
          </w:tcPr>
          <w:p w14:paraId="151AC596"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3F1ACFAD" w14:textId="77777777" w:rsidR="00E37832" w:rsidRPr="00E8321F" w:rsidRDefault="00E37832" w:rsidP="00E8321F">
            <w:pPr>
              <w:spacing w:line="276" w:lineRule="auto"/>
              <w:rPr>
                <w:color w:val="000000"/>
                <w:sz w:val="22"/>
                <w:szCs w:val="22"/>
              </w:rPr>
            </w:pPr>
            <w:r w:rsidRPr="00E8321F">
              <w:rPr>
                <w:color w:val="000000"/>
                <w:sz w:val="22"/>
                <w:szCs w:val="22"/>
              </w:rPr>
              <w:t>vlPFC</w:t>
            </w:r>
          </w:p>
        </w:tc>
        <w:tc>
          <w:tcPr>
            <w:tcW w:w="1819" w:type="dxa"/>
            <w:tcBorders>
              <w:top w:val="nil"/>
              <w:left w:val="nil"/>
              <w:bottom w:val="nil"/>
              <w:right w:val="nil"/>
            </w:tcBorders>
            <w:shd w:val="clear" w:color="auto" w:fill="auto"/>
            <w:noWrap/>
            <w:hideMark/>
          </w:tcPr>
          <w:p w14:paraId="029E04EE" w14:textId="77777777" w:rsidR="00E37832" w:rsidRPr="00E8321F" w:rsidRDefault="00E37832" w:rsidP="00E8321F">
            <w:pPr>
              <w:spacing w:line="276" w:lineRule="auto"/>
              <w:jc w:val="right"/>
              <w:rPr>
                <w:color w:val="000000"/>
                <w:sz w:val="22"/>
                <w:szCs w:val="22"/>
              </w:rPr>
            </w:pPr>
            <w:r w:rsidRPr="00E8321F">
              <w:rPr>
                <w:color w:val="000000"/>
                <w:sz w:val="22"/>
                <w:szCs w:val="22"/>
              </w:rPr>
              <w:t>0.3</w:t>
            </w:r>
          </w:p>
        </w:tc>
        <w:tc>
          <w:tcPr>
            <w:tcW w:w="1875" w:type="dxa"/>
            <w:tcBorders>
              <w:top w:val="nil"/>
              <w:left w:val="nil"/>
              <w:bottom w:val="nil"/>
              <w:right w:val="nil"/>
            </w:tcBorders>
            <w:shd w:val="clear" w:color="auto" w:fill="auto"/>
            <w:noWrap/>
            <w:hideMark/>
          </w:tcPr>
          <w:p w14:paraId="032FD337" w14:textId="77777777" w:rsidR="00E37832" w:rsidRPr="00E8321F" w:rsidRDefault="00E37832" w:rsidP="00E8321F">
            <w:pPr>
              <w:spacing w:line="276" w:lineRule="auto"/>
              <w:jc w:val="right"/>
              <w:rPr>
                <w:color w:val="000000"/>
                <w:sz w:val="22"/>
                <w:szCs w:val="22"/>
              </w:rPr>
            </w:pPr>
            <w:r w:rsidRPr="00E8321F">
              <w:rPr>
                <w:color w:val="000000"/>
                <w:sz w:val="22"/>
                <w:szCs w:val="22"/>
              </w:rPr>
              <w:t>0.154</w:t>
            </w:r>
          </w:p>
        </w:tc>
        <w:tc>
          <w:tcPr>
            <w:tcW w:w="442" w:type="dxa"/>
            <w:tcBorders>
              <w:top w:val="nil"/>
              <w:left w:val="nil"/>
              <w:bottom w:val="nil"/>
              <w:right w:val="nil"/>
            </w:tcBorders>
            <w:shd w:val="clear" w:color="auto" w:fill="auto"/>
            <w:noWrap/>
            <w:hideMark/>
          </w:tcPr>
          <w:p w14:paraId="5CC693A9"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491BB173" w14:textId="77777777" w:rsidR="00E37832" w:rsidRPr="00E8321F" w:rsidRDefault="00E37832" w:rsidP="00E8321F">
            <w:pPr>
              <w:spacing w:line="276" w:lineRule="auto"/>
              <w:jc w:val="right"/>
              <w:rPr>
                <w:color w:val="000000"/>
                <w:sz w:val="22"/>
                <w:szCs w:val="22"/>
              </w:rPr>
            </w:pPr>
            <w:r w:rsidRPr="00E8321F">
              <w:rPr>
                <w:color w:val="000000"/>
                <w:sz w:val="22"/>
                <w:szCs w:val="22"/>
              </w:rPr>
              <w:t>0.895</w:t>
            </w:r>
          </w:p>
        </w:tc>
        <w:tc>
          <w:tcPr>
            <w:tcW w:w="713" w:type="dxa"/>
            <w:tcBorders>
              <w:top w:val="nil"/>
              <w:left w:val="nil"/>
              <w:bottom w:val="nil"/>
              <w:right w:val="nil"/>
            </w:tcBorders>
            <w:shd w:val="clear" w:color="auto" w:fill="auto"/>
            <w:noWrap/>
            <w:hideMark/>
          </w:tcPr>
          <w:p w14:paraId="46737307" w14:textId="77777777" w:rsidR="00E37832" w:rsidRPr="00E8321F" w:rsidRDefault="00E37832" w:rsidP="00E8321F">
            <w:pPr>
              <w:spacing w:line="276" w:lineRule="auto"/>
              <w:jc w:val="right"/>
              <w:rPr>
                <w:color w:val="000000"/>
                <w:sz w:val="22"/>
                <w:szCs w:val="22"/>
              </w:rPr>
            </w:pPr>
            <w:r w:rsidRPr="00E8321F">
              <w:rPr>
                <w:color w:val="000000"/>
                <w:sz w:val="22"/>
                <w:szCs w:val="22"/>
              </w:rPr>
              <w:t>0.378</w:t>
            </w:r>
          </w:p>
        </w:tc>
      </w:tr>
      <w:tr w:rsidR="00E8321F" w:rsidRPr="00E8321F" w14:paraId="255537F1" w14:textId="77777777" w:rsidTr="00E8321F">
        <w:trPr>
          <w:gridAfter w:val="1"/>
          <w:wAfter w:w="16" w:type="dxa"/>
          <w:trHeight w:val="288"/>
        </w:trPr>
        <w:tc>
          <w:tcPr>
            <w:tcW w:w="1603" w:type="dxa"/>
            <w:tcBorders>
              <w:top w:val="nil"/>
              <w:left w:val="nil"/>
              <w:bottom w:val="nil"/>
              <w:right w:val="nil"/>
            </w:tcBorders>
          </w:tcPr>
          <w:p w14:paraId="565A36FC"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5DFC3517" w14:textId="77777777" w:rsidR="00E37832" w:rsidRPr="00E8321F" w:rsidRDefault="00E37832" w:rsidP="00E8321F">
            <w:pPr>
              <w:spacing w:line="276" w:lineRule="auto"/>
              <w:rPr>
                <w:color w:val="000000"/>
                <w:sz w:val="22"/>
                <w:szCs w:val="22"/>
              </w:rPr>
            </w:pPr>
            <w:r w:rsidRPr="00E8321F">
              <w:rPr>
                <w:color w:val="000000"/>
                <w:sz w:val="22"/>
                <w:szCs w:val="22"/>
              </w:rPr>
              <w:t>Insula</w:t>
            </w:r>
          </w:p>
        </w:tc>
        <w:tc>
          <w:tcPr>
            <w:tcW w:w="1819" w:type="dxa"/>
            <w:tcBorders>
              <w:top w:val="nil"/>
              <w:left w:val="nil"/>
              <w:bottom w:val="nil"/>
              <w:right w:val="nil"/>
            </w:tcBorders>
            <w:shd w:val="clear" w:color="auto" w:fill="auto"/>
            <w:noWrap/>
            <w:hideMark/>
          </w:tcPr>
          <w:p w14:paraId="2F8DA180" w14:textId="77777777" w:rsidR="00E37832" w:rsidRPr="00E8321F" w:rsidRDefault="00E37832" w:rsidP="00E8321F">
            <w:pPr>
              <w:spacing w:line="276" w:lineRule="auto"/>
              <w:jc w:val="right"/>
              <w:rPr>
                <w:color w:val="000000"/>
                <w:sz w:val="22"/>
                <w:szCs w:val="22"/>
              </w:rPr>
            </w:pPr>
            <w:r w:rsidRPr="00E8321F">
              <w:rPr>
                <w:color w:val="000000"/>
                <w:sz w:val="22"/>
                <w:szCs w:val="22"/>
              </w:rPr>
              <w:t>0.401</w:t>
            </w:r>
          </w:p>
        </w:tc>
        <w:tc>
          <w:tcPr>
            <w:tcW w:w="1875" w:type="dxa"/>
            <w:tcBorders>
              <w:top w:val="nil"/>
              <w:left w:val="nil"/>
              <w:bottom w:val="nil"/>
              <w:right w:val="nil"/>
            </w:tcBorders>
            <w:shd w:val="clear" w:color="auto" w:fill="auto"/>
            <w:noWrap/>
            <w:hideMark/>
          </w:tcPr>
          <w:p w14:paraId="677985C9" w14:textId="77777777" w:rsidR="00E37832" w:rsidRPr="00E8321F" w:rsidRDefault="00E37832" w:rsidP="00E8321F">
            <w:pPr>
              <w:spacing w:line="276" w:lineRule="auto"/>
              <w:jc w:val="right"/>
              <w:rPr>
                <w:color w:val="000000"/>
                <w:sz w:val="22"/>
                <w:szCs w:val="22"/>
              </w:rPr>
            </w:pPr>
            <w:r w:rsidRPr="00E8321F">
              <w:rPr>
                <w:color w:val="000000"/>
                <w:sz w:val="22"/>
                <w:szCs w:val="22"/>
              </w:rPr>
              <w:t>0.318</w:t>
            </w:r>
          </w:p>
        </w:tc>
        <w:tc>
          <w:tcPr>
            <w:tcW w:w="442" w:type="dxa"/>
            <w:tcBorders>
              <w:top w:val="nil"/>
              <w:left w:val="nil"/>
              <w:bottom w:val="nil"/>
              <w:right w:val="nil"/>
            </w:tcBorders>
            <w:shd w:val="clear" w:color="auto" w:fill="auto"/>
            <w:noWrap/>
            <w:hideMark/>
          </w:tcPr>
          <w:p w14:paraId="3C0E6B80"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103EF488" w14:textId="77777777" w:rsidR="00E37832" w:rsidRPr="00E8321F" w:rsidRDefault="00E37832" w:rsidP="00E8321F">
            <w:pPr>
              <w:spacing w:line="276" w:lineRule="auto"/>
              <w:jc w:val="right"/>
              <w:rPr>
                <w:color w:val="000000"/>
                <w:sz w:val="22"/>
                <w:szCs w:val="22"/>
              </w:rPr>
            </w:pPr>
            <w:r w:rsidRPr="00E8321F">
              <w:rPr>
                <w:color w:val="000000"/>
                <w:sz w:val="22"/>
                <w:szCs w:val="22"/>
              </w:rPr>
              <w:t>0.458</w:t>
            </w:r>
          </w:p>
        </w:tc>
        <w:tc>
          <w:tcPr>
            <w:tcW w:w="713" w:type="dxa"/>
            <w:tcBorders>
              <w:top w:val="nil"/>
              <w:left w:val="nil"/>
              <w:bottom w:val="nil"/>
              <w:right w:val="nil"/>
            </w:tcBorders>
            <w:shd w:val="clear" w:color="auto" w:fill="auto"/>
            <w:noWrap/>
            <w:hideMark/>
          </w:tcPr>
          <w:p w14:paraId="5A37AF84" w14:textId="77777777" w:rsidR="00E37832" w:rsidRPr="00E8321F" w:rsidRDefault="00E37832" w:rsidP="00E8321F">
            <w:pPr>
              <w:spacing w:line="276" w:lineRule="auto"/>
              <w:jc w:val="right"/>
              <w:rPr>
                <w:color w:val="000000"/>
                <w:sz w:val="22"/>
                <w:szCs w:val="22"/>
              </w:rPr>
            </w:pPr>
            <w:r w:rsidRPr="00E8321F">
              <w:rPr>
                <w:color w:val="000000"/>
                <w:sz w:val="22"/>
                <w:szCs w:val="22"/>
              </w:rPr>
              <w:t>0.651</w:t>
            </w:r>
          </w:p>
        </w:tc>
      </w:tr>
      <w:tr w:rsidR="00E8321F" w:rsidRPr="00E8321F" w14:paraId="33EC0415" w14:textId="77777777" w:rsidTr="00E8321F">
        <w:trPr>
          <w:trHeight w:val="288"/>
        </w:trPr>
        <w:tc>
          <w:tcPr>
            <w:tcW w:w="1603" w:type="dxa"/>
            <w:tcBorders>
              <w:top w:val="nil"/>
              <w:left w:val="nil"/>
              <w:bottom w:val="nil"/>
              <w:right w:val="nil"/>
            </w:tcBorders>
          </w:tcPr>
          <w:p w14:paraId="514FDBFC" w14:textId="77777777" w:rsidR="00E37832" w:rsidRPr="00E8321F" w:rsidRDefault="00E37832" w:rsidP="00E8321F">
            <w:pPr>
              <w:spacing w:line="276" w:lineRule="auto"/>
              <w:rPr>
                <w:b/>
                <w:bCs/>
                <w:color w:val="000000"/>
                <w:sz w:val="22"/>
                <w:szCs w:val="22"/>
              </w:rPr>
            </w:pPr>
            <w:r w:rsidRPr="00E8321F">
              <w:rPr>
                <w:b/>
                <w:bCs/>
                <w:color w:val="000000"/>
                <w:sz w:val="22"/>
                <w:szCs w:val="22"/>
              </w:rPr>
              <w:t>Evocation</w:t>
            </w:r>
          </w:p>
        </w:tc>
        <w:tc>
          <w:tcPr>
            <w:tcW w:w="7094" w:type="dxa"/>
            <w:gridSpan w:val="7"/>
            <w:tcBorders>
              <w:top w:val="nil"/>
              <w:left w:val="nil"/>
              <w:bottom w:val="nil"/>
              <w:right w:val="nil"/>
            </w:tcBorders>
            <w:shd w:val="clear" w:color="auto" w:fill="auto"/>
            <w:noWrap/>
            <w:hideMark/>
          </w:tcPr>
          <w:p w14:paraId="7FB73EAA" w14:textId="77777777" w:rsidR="00E37832" w:rsidRPr="00E8321F" w:rsidRDefault="00E37832" w:rsidP="00E8321F">
            <w:pPr>
              <w:spacing w:line="276" w:lineRule="auto"/>
              <w:rPr>
                <w:color w:val="000000"/>
                <w:sz w:val="22"/>
                <w:szCs w:val="22"/>
              </w:rPr>
            </w:pPr>
          </w:p>
        </w:tc>
      </w:tr>
      <w:tr w:rsidR="00E8321F" w:rsidRPr="00E8321F" w14:paraId="34F0F79A" w14:textId="77777777" w:rsidTr="00E8321F">
        <w:trPr>
          <w:gridAfter w:val="1"/>
          <w:wAfter w:w="16" w:type="dxa"/>
          <w:trHeight w:val="54"/>
        </w:trPr>
        <w:tc>
          <w:tcPr>
            <w:tcW w:w="1603" w:type="dxa"/>
            <w:tcBorders>
              <w:top w:val="nil"/>
              <w:left w:val="nil"/>
              <w:bottom w:val="nil"/>
              <w:right w:val="nil"/>
            </w:tcBorders>
          </w:tcPr>
          <w:p w14:paraId="00656B15"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4DC9A2C0" w14:textId="77777777" w:rsidR="00E37832" w:rsidRPr="00E8321F" w:rsidRDefault="00E37832" w:rsidP="00E8321F">
            <w:pPr>
              <w:spacing w:line="276" w:lineRule="auto"/>
              <w:rPr>
                <w:color w:val="000000"/>
                <w:sz w:val="22"/>
                <w:szCs w:val="22"/>
              </w:rPr>
            </w:pPr>
            <w:r w:rsidRPr="00E8321F">
              <w:rPr>
                <w:color w:val="000000"/>
                <w:sz w:val="22"/>
                <w:szCs w:val="22"/>
              </w:rPr>
              <w:t>Amygdala</w:t>
            </w:r>
          </w:p>
        </w:tc>
        <w:tc>
          <w:tcPr>
            <w:tcW w:w="1819" w:type="dxa"/>
            <w:tcBorders>
              <w:top w:val="nil"/>
              <w:left w:val="nil"/>
              <w:bottom w:val="nil"/>
              <w:right w:val="nil"/>
            </w:tcBorders>
            <w:shd w:val="clear" w:color="auto" w:fill="auto"/>
            <w:noWrap/>
            <w:hideMark/>
          </w:tcPr>
          <w:p w14:paraId="4B757A57" w14:textId="77777777" w:rsidR="00E37832" w:rsidRPr="00E8321F" w:rsidRDefault="00E37832" w:rsidP="00E8321F">
            <w:pPr>
              <w:spacing w:line="276" w:lineRule="auto"/>
              <w:jc w:val="right"/>
              <w:rPr>
                <w:color w:val="000000"/>
                <w:sz w:val="22"/>
                <w:szCs w:val="22"/>
              </w:rPr>
            </w:pPr>
            <w:r w:rsidRPr="00E8321F">
              <w:rPr>
                <w:color w:val="000000"/>
                <w:sz w:val="22"/>
                <w:szCs w:val="22"/>
              </w:rPr>
              <w:t>-0.245</w:t>
            </w:r>
          </w:p>
        </w:tc>
        <w:tc>
          <w:tcPr>
            <w:tcW w:w="1875" w:type="dxa"/>
            <w:tcBorders>
              <w:top w:val="nil"/>
              <w:left w:val="nil"/>
              <w:bottom w:val="nil"/>
              <w:right w:val="nil"/>
            </w:tcBorders>
            <w:shd w:val="clear" w:color="auto" w:fill="auto"/>
            <w:noWrap/>
            <w:hideMark/>
          </w:tcPr>
          <w:p w14:paraId="74E3349E" w14:textId="77777777" w:rsidR="00E37832" w:rsidRPr="00E8321F" w:rsidRDefault="00E37832" w:rsidP="00E8321F">
            <w:pPr>
              <w:spacing w:line="276" w:lineRule="auto"/>
              <w:jc w:val="right"/>
              <w:rPr>
                <w:color w:val="000000"/>
                <w:sz w:val="22"/>
                <w:szCs w:val="22"/>
              </w:rPr>
            </w:pPr>
            <w:r w:rsidRPr="00E8321F">
              <w:rPr>
                <w:color w:val="000000"/>
                <w:sz w:val="22"/>
                <w:szCs w:val="22"/>
              </w:rPr>
              <w:t>0.07</w:t>
            </w:r>
          </w:p>
        </w:tc>
        <w:tc>
          <w:tcPr>
            <w:tcW w:w="442" w:type="dxa"/>
            <w:tcBorders>
              <w:top w:val="nil"/>
              <w:left w:val="nil"/>
              <w:bottom w:val="nil"/>
              <w:right w:val="nil"/>
            </w:tcBorders>
            <w:shd w:val="clear" w:color="auto" w:fill="auto"/>
            <w:noWrap/>
            <w:hideMark/>
          </w:tcPr>
          <w:p w14:paraId="4B668982"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37B620A9" w14:textId="77777777" w:rsidR="00E37832" w:rsidRPr="00E8321F" w:rsidRDefault="00E37832" w:rsidP="00E8321F">
            <w:pPr>
              <w:spacing w:line="276" w:lineRule="auto"/>
              <w:jc w:val="right"/>
              <w:rPr>
                <w:color w:val="000000"/>
                <w:sz w:val="22"/>
                <w:szCs w:val="22"/>
              </w:rPr>
            </w:pPr>
            <w:r w:rsidRPr="00E8321F">
              <w:rPr>
                <w:color w:val="000000"/>
                <w:sz w:val="22"/>
                <w:szCs w:val="22"/>
              </w:rPr>
              <w:t>-1.517</w:t>
            </w:r>
          </w:p>
        </w:tc>
        <w:tc>
          <w:tcPr>
            <w:tcW w:w="713" w:type="dxa"/>
            <w:tcBorders>
              <w:top w:val="nil"/>
              <w:left w:val="nil"/>
              <w:bottom w:val="nil"/>
              <w:right w:val="nil"/>
            </w:tcBorders>
            <w:shd w:val="clear" w:color="auto" w:fill="auto"/>
            <w:noWrap/>
            <w:hideMark/>
          </w:tcPr>
          <w:p w14:paraId="610FC477" w14:textId="77777777" w:rsidR="00E37832" w:rsidRPr="00E8321F" w:rsidRDefault="00E37832" w:rsidP="00E8321F">
            <w:pPr>
              <w:spacing w:line="276" w:lineRule="auto"/>
              <w:jc w:val="right"/>
              <w:rPr>
                <w:color w:val="000000"/>
                <w:sz w:val="22"/>
                <w:szCs w:val="22"/>
              </w:rPr>
            </w:pPr>
            <w:r w:rsidRPr="00E8321F">
              <w:rPr>
                <w:color w:val="000000"/>
                <w:sz w:val="22"/>
                <w:szCs w:val="22"/>
              </w:rPr>
              <w:t>0.141</w:t>
            </w:r>
          </w:p>
        </w:tc>
      </w:tr>
      <w:tr w:rsidR="00E8321F" w:rsidRPr="00E8321F" w14:paraId="2BD0B75A" w14:textId="77777777" w:rsidTr="00E8321F">
        <w:trPr>
          <w:gridAfter w:val="1"/>
          <w:wAfter w:w="16" w:type="dxa"/>
          <w:trHeight w:val="288"/>
        </w:trPr>
        <w:tc>
          <w:tcPr>
            <w:tcW w:w="1603" w:type="dxa"/>
            <w:tcBorders>
              <w:top w:val="nil"/>
              <w:left w:val="nil"/>
              <w:bottom w:val="nil"/>
              <w:right w:val="nil"/>
            </w:tcBorders>
          </w:tcPr>
          <w:p w14:paraId="1B5797C7"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0A66760D" w14:textId="77777777" w:rsidR="00E37832" w:rsidRPr="00E8321F" w:rsidRDefault="00E37832" w:rsidP="00E8321F">
            <w:pPr>
              <w:spacing w:line="276" w:lineRule="auto"/>
              <w:rPr>
                <w:color w:val="000000"/>
                <w:sz w:val="22"/>
                <w:szCs w:val="22"/>
              </w:rPr>
            </w:pPr>
            <w:r w:rsidRPr="00E8321F">
              <w:rPr>
                <w:color w:val="000000"/>
                <w:sz w:val="22"/>
                <w:szCs w:val="22"/>
              </w:rPr>
              <w:t>ACC</w:t>
            </w:r>
          </w:p>
        </w:tc>
        <w:tc>
          <w:tcPr>
            <w:tcW w:w="1819" w:type="dxa"/>
            <w:tcBorders>
              <w:top w:val="nil"/>
              <w:left w:val="nil"/>
              <w:bottom w:val="nil"/>
              <w:right w:val="nil"/>
            </w:tcBorders>
            <w:shd w:val="clear" w:color="auto" w:fill="auto"/>
            <w:noWrap/>
            <w:hideMark/>
          </w:tcPr>
          <w:p w14:paraId="17CB9283" w14:textId="77777777" w:rsidR="00E37832" w:rsidRPr="00E8321F" w:rsidRDefault="00E37832" w:rsidP="00E8321F">
            <w:pPr>
              <w:spacing w:line="276" w:lineRule="auto"/>
              <w:jc w:val="right"/>
              <w:rPr>
                <w:color w:val="000000"/>
                <w:sz w:val="22"/>
                <w:szCs w:val="22"/>
              </w:rPr>
            </w:pPr>
            <w:r w:rsidRPr="00E8321F">
              <w:rPr>
                <w:color w:val="000000"/>
                <w:sz w:val="22"/>
                <w:szCs w:val="22"/>
              </w:rPr>
              <w:t>-0.094</w:t>
            </w:r>
          </w:p>
        </w:tc>
        <w:tc>
          <w:tcPr>
            <w:tcW w:w="1875" w:type="dxa"/>
            <w:tcBorders>
              <w:top w:val="nil"/>
              <w:left w:val="nil"/>
              <w:bottom w:val="nil"/>
              <w:right w:val="nil"/>
            </w:tcBorders>
            <w:shd w:val="clear" w:color="auto" w:fill="auto"/>
            <w:noWrap/>
            <w:hideMark/>
          </w:tcPr>
          <w:p w14:paraId="77C0717F" w14:textId="77777777" w:rsidR="00E37832" w:rsidRPr="00E8321F" w:rsidRDefault="00E37832" w:rsidP="00E8321F">
            <w:pPr>
              <w:spacing w:line="276" w:lineRule="auto"/>
              <w:jc w:val="right"/>
              <w:rPr>
                <w:color w:val="000000"/>
                <w:sz w:val="22"/>
                <w:szCs w:val="22"/>
              </w:rPr>
            </w:pPr>
            <w:r w:rsidRPr="00E8321F">
              <w:rPr>
                <w:color w:val="000000"/>
                <w:sz w:val="22"/>
                <w:szCs w:val="22"/>
              </w:rPr>
              <w:t>0.096</w:t>
            </w:r>
          </w:p>
        </w:tc>
        <w:tc>
          <w:tcPr>
            <w:tcW w:w="442" w:type="dxa"/>
            <w:tcBorders>
              <w:top w:val="nil"/>
              <w:left w:val="nil"/>
              <w:bottom w:val="nil"/>
              <w:right w:val="nil"/>
            </w:tcBorders>
            <w:shd w:val="clear" w:color="auto" w:fill="auto"/>
            <w:noWrap/>
            <w:hideMark/>
          </w:tcPr>
          <w:p w14:paraId="2CCF0109"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1C677F54" w14:textId="77777777" w:rsidR="00E37832" w:rsidRPr="00E8321F" w:rsidRDefault="00E37832" w:rsidP="00E8321F">
            <w:pPr>
              <w:spacing w:line="276" w:lineRule="auto"/>
              <w:jc w:val="right"/>
              <w:rPr>
                <w:color w:val="000000"/>
                <w:sz w:val="22"/>
                <w:szCs w:val="22"/>
              </w:rPr>
            </w:pPr>
            <w:r w:rsidRPr="00E8321F">
              <w:rPr>
                <w:color w:val="000000"/>
                <w:sz w:val="22"/>
                <w:szCs w:val="22"/>
              </w:rPr>
              <w:t>-1.02</w:t>
            </w:r>
          </w:p>
        </w:tc>
        <w:tc>
          <w:tcPr>
            <w:tcW w:w="713" w:type="dxa"/>
            <w:tcBorders>
              <w:top w:val="nil"/>
              <w:left w:val="nil"/>
              <w:bottom w:val="nil"/>
              <w:right w:val="nil"/>
            </w:tcBorders>
            <w:shd w:val="clear" w:color="auto" w:fill="auto"/>
            <w:noWrap/>
            <w:hideMark/>
          </w:tcPr>
          <w:p w14:paraId="498C70D0" w14:textId="77777777" w:rsidR="00E37832" w:rsidRPr="00E8321F" w:rsidRDefault="00E37832" w:rsidP="00E8321F">
            <w:pPr>
              <w:spacing w:line="276" w:lineRule="auto"/>
              <w:jc w:val="right"/>
              <w:rPr>
                <w:color w:val="000000"/>
                <w:sz w:val="22"/>
                <w:szCs w:val="22"/>
              </w:rPr>
            </w:pPr>
            <w:r w:rsidRPr="00E8321F">
              <w:rPr>
                <w:color w:val="000000"/>
                <w:sz w:val="22"/>
                <w:szCs w:val="22"/>
              </w:rPr>
              <w:t>0.317</w:t>
            </w:r>
          </w:p>
        </w:tc>
      </w:tr>
      <w:tr w:rsidR="00E8321F" w:rsidRPr="00E8321F" w14:paraId="155387D0" w14:textId="77777777" w:rsidTr="00E8321F">
        <w:trPr>
          <w:gridAfter w:val="1"/>
          <w:wAfter w:w="16" w:type="dxa"/>
          <w:trHeight w:val="288"/>
        </w:trPr>
        <w:tc>
          <w:tcPr>
            <w:tcW w:w="1603" w:type="dxa"/>
            <w:tcBorders>
              <w:top w:val="nil"/>
              <w:left w:val="nil"/>
              <w:bottom w:val="nil"/>
              <w:right w:val="nil"/>
            </w:tcBorders>
          </w:tcPr>
          <w:p w14:paraId="0116BEBB"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609FC6E7" w14:textId="77777777" w:rsidR="00E37832" w:rsidRPr="00E8321F" w:rsidRDefault="00E37832" w:rsidP="00E8321F">
            <w:pPr>
              <w:spacing w:line="276" w:lineRule="auto"/>
              <w:rPr>
                <w:color w:val="000000"/>
                <w:sz w:val="22"/>
                <w:szCs w:val="22"/>
              </w:rPr>
            </w:pPr>
            <w:r w:rsidRPr="00E8321F">
              <w:rPr>
                <w:color w:val="000000"/>
                <w:sz w:val="22"/>
                <w:szCs w:val="22"/>
              </w:rPr>
              <w:t>dlPFC</w:t>
            </w:r>
          </w:p>
        </w:tc>
        <w:tc>
          <w:tcPr>
            <w:tcW w:w="1819" w:type="dxa"/>
            <w:tcBorders>
              <w:top w:val="nil"/>
              <w:left w:val="nil"/>
              <w:bottom w:val="nil"/>
              <w:right w:val="nil"/>
            </w:tcBorders>
            <w:shd w:val="clear" w:color="auto" w:fill="auto"/>
            <w:noWrap/>
            <w:hideMark/>
          </w:tcPr>
          <w:p w14:paraId="6C9E63E2" w14:textId="77777777" w:rsidR="00E37832" w:rsidRPr="00E8321F" w:rsidRDefault="00E37832" w:rsidP="00E8321F">
            <w:pPr>
              <w:spacing w:line="276" w:lineRule="auto"/>
              <w:jc w:val="right"/>
              <w:rPr>
                <w:color w:val="000000"/>
                <w:sz w:val="22"/>
                <w:szCs w:val="22"/>
              </w:rPr>
            </w:pPr>
            <w:r w:rsidRPr="00E8321F">
              <w:rPr>
                <w:color w:val="000000"/>
                <w:sz w:val="22"/>
                <w:szCs w:val="22"/>
              </w:rPr>
              <w:t>-0.113</w:t>
            </w:r>
          </w:p>
        </w:tc>
        <w:tc>
          <w:tcPr>
            <w:tcW w:w="1875" w:type="dxa"/>
            <w:tcBorders>
              <w:top w:val="nil"/>
              <w:left w:val="nil"/>
              <w:bottom w:val="nil"/>
              <w:right w:val="nil"/>
            </w:tcBorders>
            <w:shd w:val="clear" w:color="auto" w:fill="auto"/>
            <w:noWrap/>
            <w:hideMark/>
          </w:tcPr>
          <w:p w14:paraId="136AC3D9" w14:textId="77777777" w:rsidR="00E37832" w:rsidRPr="00E8321F" w:rsidRDefault="00E37832" w:rsidP="00E8321F">
            <w:pPr>
              <w:spacing w:line="276" w:lineRule="auto"/>
              <w:jc w:val="right"/>
              <w:rPr>
                <w:color w:val="000000"/>
                <w:sz w:val="22"/>
                <w:szCs w:val="22"/>
              </w:rPr>
            </w:pPr>
            <w:r w:rsidRPr="00E8321F">
              <w:rPr>
                <w:color w:val="000000"/>
                <w:sz w:val="22"/>
                <w:szCs w:val="22"/>
              </w:rPr>
              <w:t>0.156</w:t>
            </w:r>
          </w:p>
        </w:tc>
        <w:tc>
          <w:tcPr>
            <w:tcW w:w="442" w:type="dxa"/>
            <w:tcBorders>
              <w:top w:val="nil"/>
              <w:left w:val="nil"/>
              <w:bottom w:val="nil"/>
              <w:right w:val="nil"/>
            </w:tcBorders>
            <w:shd w:val="clear" w:color="auto" w:fill="auto"/>
            <w:noWrap/>
            <w:hideMark/>
          </w:tcPr>
          <w:p w14:paraId="01E8214B"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4151FC55" w14:textId="77777777" w:rsidR="00E37832" w:rsidRPr="00E8321F" w:rsidRDefault="00E37832" w:rsidP="00E8321F">
            <w:pPr>
              <w:spacing w:line="276" w:lineRule="auto"/>
              <w:jc w:val="right"/>
              <w:rPr>
                <w:color w:val="000000"/>
                <w:sz w:val="22"/>
                <w:szCs w:val="22"/>
              </w:rPr>
            </w:pPr>
            <w:r w:rsidRPr="00E8321F">
              <w:rPr>
                <w:color w:val="000000"/>
                <w:sz w:val="22"/>
                <w:szCs w:val="22"/>
              </w:rPr>
              <w:t>-1.599</w:t>
            </w:r>
          </w:p>
        </w:tc>
        <w:tc>
          <w:tcPr>
            <w:tcW w:w="713" w:type="dxa"/>
            <w:tcBorders>
              <w:top w:val="nil"/>
              <w:left w:val="nil"/>
              <w:bottom w:val="nil"/>
              <w:right w:val="nil"/>
            </w:tcBorders>
            <w:shd w:val="clear" w:color="auto" w:fill="auto"/>
            <w:noWrap/>
            <w:hideMark/>
          </w:tcPr>
          <w:p w14:paraId="014A2AAB" w14:textId="77777777" w:rsidR="00E37832" w:rsidRPr="00E8321F" w:rsidRDefault="00E37832" w:rsidP="00E8321F">
            <w:pPr>
              <w:spacing w:line="276" w:lineRule="auto"/>
              <w:jc w:val="right"/>
              <w:rPr>
                <w:color w:val="000000"/>
                <w:sz w:val="22"/>
                <w:szCs w:val="22"/>
              </w:rPr>
            </w:pPr>
            <w:r w:rsidRPr="00E8321F">
              <w:rPr>
                <w:color w:val="000000"/>
                <w:sz w:val="22"/>
                <w:szCs w:val="22"/>
              </w:rPr>
              <w:t>0.122</w:t>
            </w:r>
          </w:p>
        </w:tc>
      </w:tr>
      <w:tr w:rsidR="00E8321F" w:rsidRPr="00E8321F" w14:paraId="5567FFE1" w14:textId="77777777" w:rsidTr="00E8321F">
        <w:trPr>
          <w:gridAfter w:val="1"/>
          <w:wAfter w:w="16" w:type="dxa"/>
          <w:trHeight w:val="288"/>
        </w:trPr>
        <w:tc>
          <w:tcPr>
            <w:tcW w:w="1603" w:type="dxa"/>
            <w:tcBorders>
              <w:top w:val="nil"/>
              <w:left w:val="nil"/>
              <w:bottom w:val="nil"/>
              <w:right w:val="nil"/>
            </w:tcBorders>
          </w:tcPr>
          <w:p w14:paraId="408DF80D"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2171E6A0" w14:textId="77777777" w:rsidR="00E37832" w:rsidRPr="00E8321F" w:rsidRDefault="00E37832" w:rsidP="00E8321F">
            <w:pPr>
              <w:spacing w:line="276" w:lineRule="auto"/>
              <w:rPr>
                <w:color w:val="000000"/>
                <w:sz w:val="22"/>
                <w:szCs w:val="22"/>
              </w:rPr>
            </w:pPr>
            <w:r w:rsidRPr="00E8321F">
              <w:rPr>
                <w:color w:val="000000"/>
                <w:sz w:val="22"/>
                <w:szCs w:val="22"/>
              </w:rPr>
              <w:t>vlPFC</w:t>
            </w:r>
          </w:p>
        </w:tc>
        <w:tc>
          <w:tcPr>
            <w:tcW w:w="1819" w:type="dxa"/>
            <w:tcBorders>
              <w:top w:val="nil"/>
              <w:left w:val="nil"/>
              <w:bottom w:val="nil"/>
              <w:right w:val="nil"/>
            </w:tcBorders>
            <w:shd w:val="clear" w:color="auto" w:fill="auto"/>
            <w:noWrap/>
            <w:hideMark/>
          </w:tcPr>
          <w:p w14:paraId="29A94678" w14:textId="77777777" w:rsidR="00E37832" w:rsidRPr="00E8321F" w:rsidRDefault="00E37832" w:rsidP="00E8321F">
            <w:pPr>
              <w:spacing w:line="276" w:lineRule="auto"/>
              <w:jc w:val="right"/>
              <w:rPr>
                <w:color w:val="000000"/>
                <w:sz w:val="22"/>
                <w:szCs w:val="22"/>
              </w:rPr>
            </w:pPr>
            <w:r w:rsidRPr="00E8321F">
              <w:rPr>
                <w:color w:val="000000"/>
                <w:sz w:val="22"/>
                <w:szCs w:val="22"/>
              </w:rPr>
              <w:t>-0.052</w:t>
            </w:r>
          </w:p>
        </w:tc>
        <w:tc>
          <w:tcPr>
            <w:tcW w:w="1875" w:type="dxa"/>
            <w:tcBorders>
              <w:top w:val="nil"/>
              <w:left w:val="nil"/>
              <w:bottom w:val="nil"/>
              <w:right w:val="nil"/>
            </w:tcBorders>
            <w:shd w:val="clear" w:color="auto" w:fill="auto"/>
            <w:noWrap/>
            <w:hideMark/>
          </w:tcPr>
          <w:p w14:paraId="5E0121DD" w14:textId="77777777" w:rsidR="00E37832" w:rsidRPr="00E8321F" w:rsidRDefault="00E37832" w:rsidP="00E8321F">
            <w:pPr>
              <w:spacing w:line="276" w:lineRule="auto"/>
              <w:jc w:val="right"/>
              <w:rPr>
                <w:color w:val="000000"/>
                <w:sz w:val="22"/>
                <w:szCs w:val="22"/>
              </w:rPr>
            </w:pPr>
            <w:r w:rsidRPr="00E8321F">
              <w:rPr>
                <w:color w:val="000000"/>
                <w:sz w:val="22"/>
                <w:szCs w:val="22"/>
              </w:rPr>
              <w:t>0.099</w:t>
            </w:r>
          </w:p>
        </w:tc>
        <w:tc>
          <w:tcPr>
            <w:tcW w:w="442" w:type="dxa"/>
            <w:tcBorders>
              <w:top w:val="nil"/>
              <w:left w:val="nil"/>
              <w:bottom w:val="nil"/>
              <w:right w:val="nil"/>
            </w:tcBorders>
            <w:shd w:val="clear" w:color="auto" w:fill="auto"/>
            <w:noWrap/>
            <w:hideMark/>
          </w:tcPr>
          <w:p w14:paraId="6C7D04EF"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13332303" w14:textId="77777777" w:rsidR="00E37832" w:rsidRPr="00E8321F" w:rsidRDefault="00E37832" w:rsidP="00E8321F">
            <w:pPr>
              <w:spacing w:line="276" w:lineRule="auto"/>
              <w:jc w:val="right"/>
              <w:rPr>
                <w:color w:val="000000"/>
                <w:sz w:val="22"/>
                <w:szCs w:val="22"/>
              </w:rPr>
            </w:pPr>
            <w:r w:rsidRPr="00E8321F">
              <w:rPr>
                <w:color w:val="000000"/>
                <w:sz w:val="22"/>
                <w:szCs w:val="22"/>
              </w:rPr>
              <w:t>-0.788</w:t>
            </w:r>
          </w:p>
        </w:tc>
        <w:tc>
          <w:tcPr>
            <w:tcW w:w="713" w:type="dxa"/>
            <w:tcBorders>
              <w:top w:val="nil"/>
              <w:left w:val="nil"/>
              <w:bottom w:val="nil"/>
              <w:right w:val="nil"/>
            </w:tcBorders>
            <w:shd w:val="clear" w:color="auto" w:fill="auto"/>
            <w:noWrap/>
            <w:hideMark/>
          </w:tcPr>
          <w:p w14:paraId="2BD2EA01" w14:textId="77777777" w:rsidR="00E37832" w:rsidRPr="00E8321F" w:rsidRDefault="00E37832" w:rsidP="00E8321F">
            <w:pPr>
              <w:spacing w:line="276" w:lineRule="auto"/>
              <w:jc w:val="right"/>
              <w:rPr>
                <w:color w:val="000000"/>
                <w:sz w:val="22"/>
                <w:szCs w:val="22"/>
              </w:rPr>
            </w:pPr>
            <w:r w:rsidRPr="00E8321F">
              <w:rPr>
                <w:color w:val="000000"/>
                <w:sz w:val="22"/>
                <w:szCs w:val="22"/>
              </w:rPr>
              <w:t>0.438</w:t>
            </w:r>
          </w:p>
        </w:tc>
      </w:tr>
      <w:tr w:rsidR="00E8321F" w:rsidRPr="00E8321F" w14:paraId="09C50AC4" w14:textId="77777777" w:rsidTr="00E8321F">
        <w:trPr>
          <w:gridAfter w:val="1"/>
          <w:wAfter w:w="16" w:type="dxa"/>
          <w:trHeight w:val="288"/>
        </w:trPr>
        <w:tc>
          <w:tcPr>
            <w:tcW w:w="1603" w:type="dxa"/>
            <w:tcBorders>
              <w:top w:val="nil"/>
              <w:left w:val="nil"/>
              <w:bottom w:val="nil"/>
              <w:right w:val="nil"/>
            </w:tcBorders>
          </w:tcPr>
          <w:p w14:paraId="11D03A93"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7C63D917" w14:textId="77777777" w:rsidR="00E37832" w:rsidRPr="00E8321F" w:rsidRDefault="00E37832" w:rsidP="00E8321F">
            <w:pPr>
              <w:spacing w:line="276" w:lineRule="auto"/>
              <w:rPr>
                <w:color w:val="000000"/>
                <w:sz w:val="22"/>
                <w:szCs w:val="22"/>
              </w:rPr>
            </w:pPr>
            <w:r w:rsidRPr="00E8321F">
              <w:rPr>
                <w:color w:val="000000"/>
                <w:sz w:val="22"/>
                <w:szCs w:val="22"/>
              </w:rPr>
              <w:t>Insula</w:t>
            </w:r>
          </w:p>
        </w:tc>
        <w:tc>
          <w:tcPr>
            <w:tcW w:w="1819" w:type="dxa"/>
            <w:tcBorders>
              <w:top w:val="nil"/>
              <w:left w:val="nil"/>
              <w:bottom w:val="nil"/>
              <w:right w:val="nil"/>
            </w:tcBorders>
            <w:shd w:val="clear" w:color="auto" w:fill="auto"/>
            <w:noWrap/>
            <w:hideMark/>
          </w:tcPr>
          <w:p w14:paraId="1D8C3055" w14:textId="77777777" w:rsidR="00E37832" w:rsidRPr="00E8321F" w:rsidRDefault="00E37832" w:rsidP="00E8321F">
            <w:pPr>
              <w:spacing w:line="276" w:lineRule="auto"/>
              <w:jc w:val="right"/>
              <w:rPr>
                <w:color w:val="000000"/>
                <w:sz w:val="22"/>
                <w:szCs w:val="22"/>
              </w:rPr>
            </w:pPr>
            <w:r w:rsidRPr="00E8321F">
              <w:rPr>
                <w:color w:val="000000"/>
                <w:sz w:val="22"/>
                <w:szCs w:val="22"/>
              </w:rPr>
              <w:t>0.005</w:t>
            </w:r>
          </w:p>
        </w:tc>
        <w:tc>
          <w:tcPr>
            <w:tcW w:w="1875" w:type="dxa"/>
            <w:tcBorders>
              <w:top w:val="nil"/>
              <w:left w:val="nil"/>
              <w:bottom w:val="nil"/>
              <w:right w:val="nil"/>
            </w:tcBorders>
            <w:shd w:val="clear" w:color="auto" w:fill="auto"/>
            <w:noWrap/>
            <w:hideMark/>
          </w:tcPr>
          <w:p w14:paraId="2626F2CA" w14:textId="77777777" w:rsidR="00E37832" w:rsidRPr="00E8321F" w:rsidRDefault="00E37832" w:rsidP="00E8321F">
            <w:pPr>
              <w:spacing w:line="276" w:lineRule="auto"/>
              <w:jc w:val="right"/>
              <w:rPr>
                <w:color w:val="000000"/>
                <w:sz w:val="22"/>
                <w:szCs w:val="22"/>
              </w:rPr>
            </w:pPr>
            <w:r w:rsidRPr="00E8321F">
              <w:rPr>
                <w:color w:val="000000"/>
                <w:sz w:val="22"/>
                <w:szCs w:val="22"/>
              </w:rPr>
              <w:t>0.094</w:t>
            </w:r>
          </w:p>
        </w:tc>
        <w:tc>
          <w:tcPr>
            <w:tcW w:w="442" w:type="dxa"/>
            <w:tcBorders>
              <w:top w:val="nil"/>
              <w:left w:val="nil"/>
              <w:bottom w:val="nil"/>
              <w:right w:val="nil"/>
            </w:tcBorders>
            <w:shd w:val="clear" w:color="auto" w:fill="auto"/>
            <w:noWrap/>
            <w:hideMark/>
          </w:tcPr>
          <w:p w14:paraId="3F3CF4EB"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208CA46E" w14:textId="77777777" w:rsidR="00E37832" w:rsidRPr="00E8321F" w:rsidRDefault="00E37832" w:rsidP="00E8321F">
            <w:pPr>
              <w:spacing w:line="276" w:lineRule="auto"/>
              <w:jc w:val="right"/>
              <w:rPr>
                <w:color w:val="000000"/>
                <w:sz w:val="22"/>
                <w:szCs w:val="22"/>
              </w:rPr>
            </w:pPr>
            <w:r w:rsidRPr="00E8321F">
              <w:rPr>
                <w:color w:val="000000"/>
                <w:sz w:val="22"/>
                <w:szCs w:val="22"/>
              </w:rPr>
              <w:t>-0.529</w:t>
            </w:r>
          </w:p>
        </w:tc>
        <w:tc>
          <w:tcPr>
            <w:tcW w:w="713" w:type="dxa"/>
            <w:tcBorders>
              <w:top w:val="nil"/>
              <w:left w:val="nil"/>
              <w:bottom w:val="nil"/>
              <w:right w:val="nil"/>
            </w:tcBorders>
            <w:shd w:val="clear" w:color="auto" w:fill="auto"/>
            <w:noWrap/>
            <w:hideMark/>
          </w:tcPr>
          <w:p w14:paraId="4E8CC742" w14:textId="77777777" w:rsidR="00E37832" w:rsidRPr="00E8321F" w:rsidRDefault="00E37832" w:rsidP="00E8321F">
            <w:pPr>
              <w:spacing w:line="276" w:lineRule="auto"/>
              <w:jc w:val="right"/>
              <w:rPr>
                <w:color w:val="000000"/>
                <w:sz w:val="22"/>
                <w:szCs w:val="22"/>
              </w:rPr>
            </w:pPr>
            <w:r w:rsidRPr="00E8321F">
              <w:rPr>
                <w:color w:val="000000"/>
                <w:sz w:val="22"/>
                <w:szCs w:val="22"/>
              </w:rPr>
              <w:t>0.602</w:t>
            </w:r>
          </w:p>
        </w:tc>
      </w:tr>
      <w:tr w:rsidR="00E8321F" w:rsidRPr="00E8321F" w14:paraId="5BECD4F4" w14:textId="77777777" w:rsidTr="00E8321F">
        <w:trPr>
          <w:trHeight w:val="351"/>
        </w:trPr>
        <w:tc>
          <w:tcPr>
            <w:tcW w:w="1603" w:type="dxa"/>
            <w:tcBorders>
              <w:top w:val="nil"/>
              <w:left w:val="nil"/>
              <w:bottom w:val="nil"/>
              <w:right w:val="nil"/>
            </w:tcBorders>
          </w:tcPr>
          <w:p w14:paraId="673AC83C" w14:textId="77777777" w:rsidR="00E37832" w:rsidRPr="00E8321F" w:rsidRDefault="00E37832" w:rsidP="00E8321F">
            <w:pPr>
              <w:spacing w:line="276" w:lineRule="auto"/>
              <w:rPr>
                <w:b/>
                <w:bCs/>
                <w:color w:val="000000"/>
                <w:sz w:val="22"/>
                <w:szCs w:val="22"/>
              </w:rPr>
            </w:pPr>
            <w:r w:rsidRPr="00E8321F">
              <w:rPr>
                <w:b/>
                <w:bCs/>
                <w:color w:val="000000"/>
                <w:sz w:val="22"/>
                <w:szCs w:val="22"/>
              </w:rPr>
              <w:t>Baseline-evocation</w:t>
            </w:r>
          </w:p>
        </w:tc>
        <w:tc>
          <w:tcPr>
            <w:tcW w:w="7094" w:type="dxa"/>
            <w:gridSpan w:val="7"/>
            <w:tcBorders>
              <w:top w:val="nil"/>
              <w:left w:val="nil"/>
              <w:bottom w:val="nil"/>
              <w:right w:val="nil"/>
            </w:tcBorders>
            <w:shd w:val="clear" w:color="auto" w:fill="auto"/>
            <w:noWrap/>
            <w:hideMark/>
          </w:tcPr>
          <w:p w14:paraId="55208721" w14:textId="77777777" w:rsidR="00E37832" w:rsidRPr="00E8321F" w:rsidRDefault="00E37832" w:rsidP="00E8321F">
            <w:pPr>
              <w:spacing w:line="276" w:lineRule="auto"/>
              <w:jc w:val="center"/>
              <w:rPr>
                <w:color w:val="000000"/>
                <w:sz w:val="22"/>
                <w:szCs w:val="22"/>
              </w:rPr>
            </w:pPr>
          </w:p>
        </w:tc>
      </w:tr>
      <w:tr w:rsidR="00E8321F" w:rsidRPr="00E8321F" w14:paraId="7C28B8B2" w14:textId="77777777" w:rsidTr="00E8321F">
        <w:trPr>
          <w:gridAfter w:val="1"/>
          <w:wAfter w:w="16" w:type="dxa"/>
          <w:trHeight w:val="126"/>
        </w:trPr>
        <w:tc>
          <w:tcPr>
            <w:tcW w:w="1603" w:type="dxa"/>
            <w:tcBorders>
              <w:top w:val="nil"/>
              <w:left w:val="nil"/>
              <w:bottom w:val="nil"/>
              <w:right w:val="nil"/>
            </w:tcBorders>
          </w:tcPr>
          <w:p w14:paraId="27B277EC"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04AF6610" w14:textId="77777777" w:rsidR="00E37832" w:rsidRPr="00E8321F" w:rsidRDefault="00E37832" w:rsidP="00E8321F">
            <w:pPr>
              <w:spacing w:line="276" w:lineRule="auto"/>
              <w:rPr>
                <w:color w:val="000000"/>
                <w:sz w:val="22"/>
                <w:szCs w:val="22"/>
              </w:rPr>
            </w:pPr>
            <w:r w:rsidRPr="00E8321F">
              <w:rPr>
                <w:color w:val="000000"/>
                <w:sz w:val="22"/>
                <w:szCs w:val="22"/>
              </w:rPr>
              <w:t>Amygdala</w:t>
            </w:r>
          </w:p>
        </w:tc>
        <w:tc>
          <w:tcPr>
            <w:tcW w:w="1819" w:type="dxa"/>
            <w:tcBorders>
              <w:top w:val="nil"/>
              <w:left w:val="nil"/>
              <w:bottom w:val="nil"/>
              <w:right w:val="nil"/>
            </w:tcBorders>
            <w:shd w:val="clear" w:color="auto" w:fill="auto"/>
            <w:noWrap/>
            <w:hideMark/>
          </w:tcPr>
          <w:p w14:paraId="57EB38AC" w14:textId="77777777" w:rsidR="00E37832" w:rsidRPr="00E8321F" w:rsidRDefault="00E37832" w:rsidP="00E8321F">
            <w:pPr>
              <w:spacing w:line="276" w:lineRule="auto"/>
              <w:jc w:val="right"/>
              <w:rPr>
                <w:color w:val="000000"/>
                <w:sz w:val="22"/>
                <w:szCs w:val="22"/>
              </w:rPr>
            </w:pPr>
            <w:r w:rsidRPr="00E8321F">
              <w:rPr>
                <w:color w:val="000000"/>
                <w:sz w:val="22"/>
                <w:szCs w:val="22"/>
              </w:rPr>
              <w:t>-0.061</w:t>
            </w:r>
          </w:p>
        </w:tc>
        <w:tc>
          <w:tcPr>
            <w:tcW w:w="1875" w:type="dxa"/>
            <w:tcBorders>
              <w:top w:val="nil"/>
              <w:left w:val="nil"/>
              <w:bottom w:val="nil"/>
              <w:right w:val="nil"/>
            </w:tcBorders>
            <w:shd w:val="clear" w:color="auto" w:fill="auto"/>
            <w:noWrap/>
            <w:hideMark/>
          </w:tcPr>
          <w:p w14:paraId="75E9F58C" w14:textId="77777777" w:rsidR="00E37832" w:rsidRPr="00E8321F" w:rsidRDefault="00E37832" w:rsidP="00E8321F">
            <w:pPr>
              <w:spacing w:line="276" w:lineRule="auto"/>
              <w:jc w:val="right"/>
              <w:rPr>
                <w:color w:val="000000"/>
                <w:sz w:val="22"/>
                <w:szCs w:val="22"/>
              </w:rPr>
            </w:pPr>
            <w:r w:rsidRPr="00E8321F">
              <w:rPr>
                <w:color w:val="000000"/>
                <w:sz w:val="22"/>
                <w:szCs w:val="22"/>
              </w:rPr>
              <w:t>0.079</w:t>
            </w:r>
          </w:p>
        </w:tc>
        <w:tc>
          <w:tcPr>
            <w:tcW w:w="442" w:type="dxa"/>
            <w:tcBorders>
              <w:top w:val="nil"/>
              <w:left w:val="nil"/>
              <w:bottom w:val="nil"/>
              <w:right w:val="nil"/>
            </w:tcBorders>
            <w:shd w:val="clear" w:color="auto" w:fill="auto"/>
            <w:noWrap/>
            <w:hideMark/>
          </w:tcPr>
          <w:p w14:paraId="2B7DFE9C"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1B9D7F2A" w14:textId="77777777" w:rsidR="00E37832" w:rsidRPr="00E8321F" w:rsidRDefault="00E37832" w:rsidP="00E8321F">
            <w:pPr>
              <w:spacing w:line="276" w:lineRule="auto"/>
              <w:jc w:val="right"/>
              <w:rPr>
                <w:color w:val="000000"/>
                <w:sz w:val="22"/>
                <w:szCs w:val="22"/>
              </w:rPr>
            </w:pPr>
            <w:r w:rsidRPr="00E8321F">
              <w:rPr>
                <w:color w:val="000000"/>
                <w:sz w:val="22"/>
                <w:szCs w:val="22"/>
              </w:rPr>
              <w:t>-1.104</w:t>
            </w:r>
          </w:p>
        </w:tc>
        <w:tc>
          <w:tcPr>
            <w:tcW w:w="713" w:type="dxa"/>
            <w:tcBorders>
              <w:top w:val="nil"/>
              <w:left w:val="nil"/>
              <w:bottom w:val="nil"/>
              <w:right w:val="nil"/>
            </w:tcBorders>
            <w:shd w:val="clear" w:color="auto" w:fill="auto"/>
            <w:noWrap/>
            <w:hideMark/>
          </w:tcPr>
          <w:p w14:paraId="04243598" w14:textId="77777777" w:rsidR="00E37832" w:rsidRPr="00E8321F" w:rsidRDefault="00E37832" w:rsidP="00E8321F">
            <w:pPr>
              <w:spacing w:line="276" w:lineRule="auto"/>
              <w:jc w:val="right"/>
              <w:rPr>
                <w:color w:val="000000"/>
                <w:sz w:val="22"/>
                <w:szCs w:val="22"/>
              </w:rPr>
            </w:pPr>
            <w:r w:rsidRPr="00E8321F">
              <w:rPr>
                <w:color w:val="000000"/>
                <w:sz w:val="22"/>
                <w:szCs w:val="22"/>
              </w:rPr>
              <w:t>0.28</w:t>
            </w:r>
          </w:p>
        </w:tc>
      </w:tr>
      <w:tr w:rsidR="00E8321F" w:rsidRPr="00E8321F" w14:paraId="588E97C4" w14:textId="77777777" w:rsidTr="00E8321F">
        <w:trPr>
          <w:gridAfter w:val="1"/>
          <w:wAfter w:w="16" w:type="dxa"/>
          <w:trHeight w:val="288"/>
        </w:trPr>
        <w:tc>
          <w:tcPr>
            <w:tcW w:w="1603" w:type="dxa"/>
            <w:tcBorders>
              <w:top w:val="nil"/>
              <w:left w:val="nil"/>
              <w:bottom w:val="nil"/>
              <w:right w:val="nil"/>
            </w:tcBorders>
          </w:tcPr>
          <w:p w14:paraId="41427282"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2D2FCA28" w14:textId="77777777" w:rsidR="00E37832" w:rsidRPr="00E8321F" w:rsidRDefault="00E37832" w:rsidP="00E8321F">
            <w:pPr>
              <w:spacing w:line="276" w:lineRule="auto"/>
              <w:rPr>
                <w:color w:val="000000"/>
                <w:sz w:val="22"/>
                <w:szCs w:val="22"/>
              </w:rPr>
            </w:pPr>
            <w:r w:rsidRPr="00E8321F">
              <w:rPr>
                <w:color w:val="000000"/>
                <w:sz w:val="22"/>
                <w:szCs w:val="22"/>
              </w:rPr>
              <w:t>ACC</w:t>
            </w:r>
          </w:p>
        </w:tc>
        <w:tc>
          <w:tcPr>
            <w:tcW w:w="1819" w:type="dxa"/>
            <w:tcBorders>
              <w:top w:val="nil"/>
              <w:left w:val="nil"/>
              <w:bottom w:val="nil"/>
              <w:right w:val="nil"/>
            </w:tcBorders>
            <w:shd w:val="clear" w:color="auto" w:fill="auto"/>
            <w:noWrap/>
            <w:hideMark/>
          </w:tcPr>
          <w:p w14:paraId="1D6B2DB6" w14:textId="77777777" w:rsidR="00E37832" w:rsidRPr="00E8321F" w:rsidRDefault="00E37832" w:rsidP="00E8321F">
            <w:pPr>
              <w:spacing w:line="276" w:lineRule="auto"/>
              <w:jc w:val="right"/>
              <w:rPr>
                <w:color w:val="000000"/>
                <w:sz w:val="22"/>
                <w:szCs w:val="22"/>
              </w:rPr>
            </w:pPr>
            <w:r w:rsidRPr="00E8321F">
              <w:rPr>
                <w:color w:val="000000"/>
                <w:sz w:val="22"/>
                <w:szCs w:val="22"/>
              </w:rPr>
              <w:t>-0.059</w:t>
            </w:r>
          </w:p>
        </w:tc>
        <w:tc>
          <w:tcPr>
            <w:tcW w:w="1875" w:type="dxa"/>
            <w:tcBorders>
              <w:top w:val="nil"/>
              <w:left w:val="nil"/>
              <w:bottom w:val="nil"/>
              <w:right w:val="nil"/>
            </w:tcBorders>
            <w:shd w:val="clear" w:color="auto" w:fill="auto"/>
            <w:noWrap/>
            <w:hideMark/>
          </w:tcPr>
          <w:p w14:paraId="33C5560A" w14:textId="77777777" w:rsidR="00E37832" w:rsidRPr="00E8321F" w:rsidRDefault="00E37832" w:rsidP="00E8321F">
            <w:pPr>
              <w:spacing w:line="276" w:lineRule="auto"/>
              <w:jc w:val="right"/>
              <w:rPr>
                <w:color w:val="000000"/>
                <w:sz w:val="22"/>
                <w:szCs w:val="22"/>
              </w:rPr>
            </w:pPr>
            <w:r w:rsidRPr="00E8321F">
              <w:rPr>
                <w:color w:val="000000"/>
                <w:sz w:val="22"/>
                <w:szCs w:val="22"/>
              </w:rPr>
              <w:t>0.19</w:t>
            </w:r>
          </w:p>
        </w:tc>
        <w:tc>
          <w:tcPr>
            <w:tcW w:w="442" w:type="dxa"/>
            <w:tcBorders>
              <w:top w:val="nil"/>
              <w:left w:val="nil"/>
              <w:bottom w:val="nil"/>
              <w:right w:val="nil"/>
            </w:tcBorders>
            <w:shd w:val="clear" w:color="auto" w:fill="auto"/>
            <w:noWrap/>
            <w:hideMark/>
          </w:tcPr>
          <w:p w14:paraId="34829CF1"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11CBA531" w14:textId="77777777" w:rsidR="00E37832" w:rsidRPr="00E8321F" w:rsidRDefault="00E37832" w:rsidP="00E8321F">
            <w:pPr>
              <w:spacing w:line="276" w:lineRule="auto"/>
              <w:jc w:val="right"/>
              <w:rPr>
                <w:color w:val="000000"/>
                <w:sz w:val="22"/>
                <w:szCs w:val="22"/>
              </w:rPr>
            </w:pPr>
            <w:r w:rsidRPr="00E8321F">
              <w:rPr>
                <w:color w:val="000000"/>
                <w:sz w:val="22"/>
                <w:szCs w:val="22"/>
              </w:rPr>
              <w:t>-1.723</w:t>
            </w:r>
          </w:p>
        </w:tc>
        <w:tc>
          <w:tcPr>
            <w:tcW w:w="713" w:type="dxa"/>
            <w:tcBorders>
              <w:top w:val="nil"/>
              <w:left w:val="nil"/>
              <w:bottom w:val="nil"/>
              <w:right w:val="nil"/>
            </w:tcBorders>
            <w:shd w:val="clear" w:color="auto" w:fill="auto"/>
            <w:noWrap/>
            <w:hideMark/>
          </w:tcPr>
          <w:p w14:paraId="4C8D01E5" w14:textId="77777777" w:rsidR="00E37832" w:rsidRPr="00E8321F" w:rsidRDefault="00E37832" w:rsidP="00E8321F">
            <w:pPr>
              <w:spacing w:line="276" w:lineRule="auto"/>
              <w:jc w:val="right"/>
              <w:rPr>
                <w:color w:val="000000"/>
                <w:sz w:val="22"/>
                <w:szCs w:val="22"/>
              </w:rPr>
            </w:pPr>
            <w:r w:rsidRPr="00E8321F">
              <w:rPr>
                <w:color w:val="000000"/>
                <w:sz w:val="22"/>
                <w:szCs w:val="22"/>
              </w:rPr>
              <w:t>0.097</w:t>
            </w:r>
          </w:p>
        </w:tc>
      </w:tr>
      <w:tr w:rsidR="00E8321F" w:rsidRPr="00E8321F" w14:paraId="581E3FCC" w14:textId="77777777" w:rsidTr="00E8321F">
        <w:trPr>
          <w:gridAfter w:val="1"/>
          <w:wAfter w:w="16" w:type="dxa"/>
          <w:trHeight w:val="288"/>
        </w:trPr>
        <w:tc>
          <w:tcPr>
            <w:tcW w:w="1603" w:type="dxa"/>
            <w:tcBorders>
              <w:top w:val="nil"/>
              <w:left w:val="nil"/>
              <w:bottom w:val="nil"/>
              <w:right w:val="nil"/>
            </w:tcBorders>
          </w:tcPr>
          <w:p w14:paraId="7161116B" w14:textId="77777777" w:rsidR="00E37832" w:rsidRPr="00E8321F" w:rsidRDefault="00E37832" w:rsidP="00E8321F">
            <w:pPr>
              <w:spacing w:line="276" w:lineRule="auto"/>
              <w:rPr>
                <w:color w:val="000000"/>
                <w:sz w:val="22"/>
                <w:szCs w:val="22"/>
              </w:rPr>
            </w:pPr>
          </w:p>
        </w:tc>
        <w:tc>
          <w:tcPr>
            <w:tcW w:w="1415" w:type="dxa"/>
            <w:tcBorders>
              <w:top w:val="nil"/>
              <w:left w:val="nil"/>
              <w:bottom w:val="nil"/>
              <w:right w:val="nil"/>
            </w:tcBorders>
            <w:shd w:val="clear" w:color="auto" w:fill="auto"/>
            <w:noWrap/>
            <w:hideMark/>
          </w:tcPr>
          <w:p w14:paraId="33E62032" w14:textId="77777777" w:rsidR="00E37832" w:rsidRPr="00E8321F" w:rsidRDefault="00E37832" w:rsidP="00E8321F">
            <w:pPr>
              <w:spacing w:line="276" w:lineRule="auto"/>
              <w:rPr>
                <w:color w:val="000000"/>
                <w:sz w:val="22"/>
                <w:szCs w:val="22"/>
              </w:rPr>
            </w:pPr>
            <w:r w:rsidRPr="00E8321F">
              <w:rPr>
                <w:color w:val="000000"/>
                <w:sz w:val="22"/>
                <w:szCs w:val="22"/>
              </w:rPr>
              <w:t>dlPFC</w:t>
            </w:r>
          </w:p>
        </w:tc>
        <w:tc>
          <w:tcPr>
            <w:tcW w:w="1819" w:type="dxa"/>
            <w:tcBorders>
              <w:top w:val="nil"/>
              <w:left w:val="nil"/>
              <w:bottom w:val="nil"/>
              <w:right w:val="nil"/>
            </w:tcBorders>
            <w:shd w:val="clear" w:color="auto" w:fill="auto"/>
            <w:noWrap/>
            <w:hideMark/>
          </w:tcPr>
          <w:p w14:paraId="1E6DEE6A" w14:textId="77777777" w:rsidR="00E37832" w:rsidRPr="00E8321F" w:rsidRDefault="00E37832" w:rsidP="00E8321F">
            <w:pPr>
              <w:spacing w:line="276" w:lineRule="auto"/>
              <w:jc w:val="right"/>
              <w:rPr>
                <w:color w:val="000000"/>
                <w:sz w:val="22"/>
                <w:szCs w:val="22"/>
              </w:rPr>
            </w:pPr>
            <w:r w:rsidRPr="00E8321F">
              <w:rPr>
                <w:color w:val="000000"/>
                <w:sz w:val="22"/>
                <w:szCs w:val="22"/>
              </w:rPr>
              <w:t>-0.028</w:t>
            </w:r>
          </w:p>
        </w:tc>
        <w:tc>
          <w:tcPr>
            <w:tcW w:w="1875" w:type="dxa"/>
            <w:tcBorders>
              <w:top w:val="nil"/>
              <w:left w:val="nil"/>
              <w:bottom w:val="nil"/>
              <w:right w:val="nil"/>
            </w:tcBorders>
            <w:shd w:val="clear" w:color="auto" w:fill="auto"/>
            <w:noWrap/>
            <w:hideMark/>
          </w:tcPr>
          <w:p w14:paraId="7A602096" w14:textId="77777777" w:rsidR="00E37832" w:rsidRPr="00E8321F" w:rsidRDefault="00E37832" w:rsidP="00E8321F">
            <w:pPr>
              <w:spacing w:line="276" w:lineRule="auto"/>
              <w:jc w:val="right"/>
              <w:rPr>
                <w:color w:val="000000"/>
                <w:sz w:val="22"/>
                <w:szCs w:val="22"/>
              </w:rPr>
            </w:pPr>
            <w:r w:rsidRPr="00E8321F">
              <w:rPr>
                <w:color w:val="000000"/>
                <w:sz w:val="22"/>
                <w:szCs w:val="22"/>
              </w:rPr>
              <w:t>0.494</w:t>
            </w:r>
          </w:p>
        </w:tc>
        <w:tc>
          <w:tcPr>
            <w:tcW w:w="442" w:type="dxa"/>
            <w:tcBorders>
              <w:top w:val="nil"/>
              <w:left w:val="nil"/>
              <w:bottom w:val="nil"/>
              <w:right w:val="nil"/>
            </w:tcBorders>
            <w:shd w:val="clear" w:color="auto" w:fill="auto"/>
            <w:noWrap/>
            <w:hideMark/>
          </w:tcPr>
          <w:p w14:paraId="54CF10A7"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nil"/>
              <w:right w:val="nil"/>
            </w:tcBorders>
            <w:shd w:val="clear" w:color="auto" w:fill="auto"/>
            <w:noWrap/>
            <w:hideMark/>
          </w:tcPr>
          <w:p w14:paraId="26BEC1BE" w14:textId="77777777" w:rsidR="00E37832" w:rsidRPr="00E8321F" w:rsidRDefault="00E37832" w:rsidP="00E8321F">
            <w:pPr>
              <w:spacing w:line="276" w:lineRule="auto"/>
              <w:jc w:val="right"/>
              <w:rPr>
                <w:color w:val="000000"/>
                <w:sz w:val="22"/>
                <w:szCs w:val="22"/>
              </w:rPr>
            </w:pPr>
            <w:r w:rsidRPr="00E8321F">
              <w:rPr>
                <w:color w:val="000000"/>
                <w:sz w:val="22"/>
                <w:szCs w:val="22"/>
              </w:rPr>
              <w:t>2.105</w:t>
            </w:r>
          </w:p>
        </w:tc>
        <w:tc>
          <w:tcPr>
            <w:tcW w:w="713" w:type="dxa"/>
            <w:tcBorders>
              <w:top w:val="nil"/>
              <w:left w:val="nil"/>
              <w:bottom w:val="nil"/>
              <w:right w:val="nil"/>
            </w:tcBorders>
            <w:shd w:val="clear" w:color="auto" w:fill="auto"/>
            <w:noWrap/>
            <w:hideMark/>
          </w:tcPr>
          <w:p w14:paraId="7F1B5F26" w14:textId="77777777" w:rsidR="00E37832" w:rsidRPr="00E8321F" w:rsidRDefault="00E37832" w:rsidP="00E8321F">
            <w:pPr>
              <w:spacing w:line="276" w:lineRule="auto"/>
              <w:jc w:val="right"/>
              <w:rPr>
                <w:color w:val="000000"/>
                <w:sz w:val="22"/>
                <w:szCs w:val="22"/>
              </w:rPr>
            </w:pPr>
            <w:r w:rsidRPr="00E8321F">
              <w:rPr>
                <w:color w:val="000000"/>
                <w:sz w:val="22"/>
                <w:szCs w:val="22"/>
              </w:rPr>
              <w:t>0.045</w:t>
            </w:r>
          </w:p>
        </w:tc>
      </w:tr>
      <w:tr w:rsidR="00E8321F" w:rsidRPr="00E8321F" w14:paraId="076791DE" w14:textId="77777777" w:rsidTr="00E8321F">
        <w:trPr>
          <w:gridAfter w:val="1"/>
          <w:wAfter w:w="16" w:type="dxa"/>
          <w:trHeight w:val="288"/>
        </w:trPr>
        <w:tc>
          <w:tcPr>
            <w:tcW w:w="1603" w:type="dxa"/>
            <w:tcBorders>
              <w:top w:val="nil"/>
              <w:left w:val="nil"/>
              <w:right w:val="nil"/>
            </w:tcBorders>
          </w:tcPr>
          <w:p w14:paraId="1B824CDA" w14:textId="77777777" w:rsidR="00E37832" w:rsidRPr="00E8321F" w:rsidRDefault="00E37832" w:rsidP="00E8321F">
            <w:pPr>
              <w:spacing w:line="276" w:lineRule="auto"/>
              <w:rPr>
                <w:color w:val="000000"/>
                <w:sz w:val="22"/>
                <w:szCs w:val="22"/>
              </w:rPr>
            </w:pPr>
          </w:p>
        </w:tc>
        <w:tc>
          <w:tcPr>
            <w:tcW w:w="1415" w:type="dxa"/>
            <w:tcBorders>
              <w:top w:val="nil"/>
              <w:left w:val="nil"/>
              <w:right w:val="nil"/>
            </w:tcBorders>
            <w:shd w:val="clear" w:color="auto" w:fill="auto"/>
            <w:noWrap/>
            <w:hideMark/>
          </w:tcPr>
          <w:p w14:paraId="70CB1591" w14:textId="77777777" w:rsidR="00E37832" w:rsidRPr="00E8321F" w:rsidRDefault="00E37832" w:rsidP="00E8321F">
            <w:pPr>
              <w:spacing w:line="276" w:lineRule="auto"/>
              <w:rPr>
                <w:color w:val="000000"/>
                <w:sz w:val="22"/>
                <w:szCs w:val="22"/>
              </w:rPr>
            </w:pPr>
            <w:r w:rsidRPr="00E8321F">
              <w:rPr>
                <w:color w:val="000000"/>
                <w:sz w:val="22"/>
                <w:szCs w:val="22"/>
              </w:rPr>
              <w:t>vlPFC</w:t>
            </w:r>
          </w:p>
        </w:tc>
        <w:tc>
          <w:tcPr>
            <w:tcW w:w="1819" w:type="dxa"/>
            <w:tcBorders>
              <w:top w:val="nil"/>
              <w:left w:val="nil"/>
              <w:right w:val="nil"/>
            </w:tcBorders>
            <w:shd w:val="clear" w:color="auto" w:fill="auto"/>
            <w:noWrap/>
            <w:hideMark/>
          </w:tcPr>
          <w:p w14:paraId="3A075BBB" w14:textId="77777777" w:rsidR="00E37832" w:rsidRPr="00E8321F" w:rsidRDefault="00E37832" w:rsidP="00E8321F">
            <w:pPr>
              <w:spacing w:line="276" w:lineRule="auto"/>
              <w:jc w:val="right"/>
              <w:rPr>
                <w:color w:val="000000"/>
                <w:sz w:val="22"/>
                <w:szCs w:val="22"/>
              </w:rPr>
            </w:pPr>
            <w:r w:rsidRPr="00E8321F">
              <w:rPr>
                <w:color w:val="000000"/>
                <w:sz w:val="22"/>
                <w:szCs w:val="22"/>
              </w:rPr>
              <w:t>0.001</w:t>
            </w:r>
          </w:p>
        </w:tc>
        <w:tc>
          <w:tcPr>
            <w:tcW w:w="1875" w:type="dxa"/>
            <w:tcBorders>
              <w:top w:val="nil"/>
              <w:left w:val="nil"/>
              <w:right w:val="nil"/>
            </w:tcBorders>
            <w:shd w:val="clear" w:color="auto" w:fill="auto"/>
            <w:noWrap/>
            <w:hideMark/>
          </w:tcPr>
          <w:p w14:paraId="4756D8BE" w14:textId="77777777" w:rsidR="00E37832" w:rsidRPr="00E8321F" w:rsidRDefault="00E37832" w:rsidP="00E8321F">
            <w:pPr>
              <w:spacing w:line="276" w:lineRule="auto"/>
              <w:jc w:val="right"/>
              <w:rPr>
                <w:color w:val="000000"/>
                <w:sz w:val="22"/>
                <w:szCs w:val="22"/>
              </w:rPr>
            </w:pPr>
            <w:r w:rsidRPr="00E8321F">
              <w:rPr>
                <w:color w:val="000000"/>
                <w:sz w:val="22"/>
                <w:szCs w:val="22"/>
              </w:rPr>
              <w:t>0.174</w:t>
            </w:r>
          </w:p>
        </w:tc>
        <w:tc>
          <w:tcPr>
            <w:tcW w:w="442" w:type="dxa"/>
            <w:tcBorders>
              <w:top w:val="nil"/>
              <w:left w:val="nil"/>
              <w:right w:val="nil"/>
            </w:tcBorders>
            <w:shd w:val="clear" w:color="auto" w:fill="auto"/>
            <w:noWrap/>
            <w:hideMark/>
          </w:tcPr>
          <w:p w14:paraId="69C5D99F"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right w:val="nil"/>
            </w:tcBorders>
            <w:shd w:val="clear" w:color="auto" w:fill="auto"/>
            <w:noWrap/>
            <w:hideMark/>
          </w:tcPr>
          <w:p w14:paraId="663A987A" w14:textId="77777777" w:rsidR="00E37832" w:rsidRPr="00E8321F" w:rsidRDefault="00E37832" w:rsidP="00E8321F">
            <w:pPr>
              <w:spacing w:line="276" w:lineRule="auto"/>
              <w:jc w:val="right"/>
              <w:rPr>
                <w:color w:val="000000"/>
                <w:sz w:val="22"/>
                <w:szCs w:val="22"/>
              </w:rPr>
            </w:pPr>
            <w:r w:rsidRPr="00E8321F">
              <w:rPr>
                <w:color w:val="000000"/>
                <w:sz w:val="22"/>
                <w:szCs w:val="22"/>
              </w:rPr>
              <w:t>-1.073</w:t>
            </w:r>
          </w:p>
        </w:tc>
        <w:tc>
          <w:tcPr>
            <w:tcW w:w="713" w:type="dxa"/>
            <w:tcBorders>
              <w:top w:val="nil"/>
              <w:left w:val="nil"/>
              <w:right w:val="nil"/>
            </w:tcBorders>
            <w:shd w:val="clear" w:color="auto" w:fill="auto"/>
            <w:noWrap/>
            <w:hideMark/>
          </w:tcPr>
          <w:p w14:paraId="70F879DA" w14:textId="77777777" w:rsidR="00E37832" w:rsidRPr="00E8321F" w:rsidRDefault="00E37832" w:rsidP="00E8321F">
            <w:pPr>
              <w:spacing w:line="276" w:lineRule="auto"/>
              <w:jc w:val="right"/>
              <w:rPr>
                <w:color w:val="000000"/>
                <w:sz w:val="22"/>
                <w:szCs w:val="22"/>
              </w:rPr>
            </w:pPr>
            <w:r w:rsidRPr="00E8321F">
              <w:rPr>
                <w:color w:val="000000"/>
                <w:sz w:val="22"/>
                <w:szCs w:val="22"/>
              </w:rPr>
              <w:t>0.293</w:t>
            </w:r>
          </w:p>
        </w:tc>
      </w:tr>
      <w:tr w:rsidR="00E8321F" w:rsidRPr="00E8321F" w14:paraId="77AC3CB7" w14:textId="77777777" w:rsidTr="00E8321F">
        <w:trPr>
          <w:gridAfter w:val="1"/>
          <w:wAfter w:w="16" w:type="dxa"/>
          <w:trHeight w:val="288"/>
        </w:trPr>
        <w:tc>
          <w:tcPr>
            <w:tcW w:w="1603" w:type="dxa"/>
            <w:tcBorders>
              <w:top w:val="nil"/>
              <w:left w:val="nil"/>
              <w:bottom w:val="single" w:sz="4" w:space="0" w:color="auto"/>
              <w:right w:val="nil"/>
            </w:tcBorders>
          </w:tcPr>
          <w:p w14:paraId="2B5393E4" w14:textId="77777777" w:rsidR="00E37832" w:rsidRPr="00E8321F" w:rsidRDefault="00E37832" w:rsidP="00E8321F">
            <w:pPr>
              <w:spacing w:line="276" w:lineRule="auto"/>
              <w:rPr>
                <w:color w:val="000000"/>
                <w:sz w:val="22"/>
                <w:szCs w:val="22"/>
              </w:rPr>
            </w:pPr>
          </w:p>
        </w:tc>
        <w:tc>
          <w:tcPr>
            <w:tcW w:w="1415" w:type="dxa"/>
            <w:tcBorders>
              <w:top w:val="nil"/>
              <w:left w:val="nil"/>
              <w:bottom w:val="single" w:sz="4" w:space="0" w:color="auto"/>
              <w:right w:val="nil"/>
            </w:tcBorders>
            <w:shd w:val="clear" w:color="auto" w:fill="auto"/>
            <w:noWrap/>
            <w:hideMark/>
          </w:tcPr>
          <w:p w14:paraId="405D6C0B" w14:textId="77777777" w:rsidR="00E37832" w:rsidRPr="00E8321F" w:rsidRDefault="00E37832" w:rsidP="00E8321F">
            <w:pPr>
              <w:spacing w:line="276" w:lineRule="auto"/>
              <w:rPr>
                <w:color w:val="000000"/>
                <w:sz w:val="22"/>
                <w:szCs w:val="22"/>
              </w:rPr>
            </w:pPr>
            <w:r w:rsidRPr="00E8321F">
              <w:rPr>
                <w:color w:val="000000"/>
                <w:sz w:val="22"/>
                <w:szCs w:val="22"/>
              </w:rPr>
              <w:t>Insula</w:t>
            </w:r>
          </w:p>
        </w:tc>
        <w:tc>
          <w:tcPr>
            <w:tcW w:w="1819" w:type="dxa"/>
            <w:tcBorders>
              <w:top w:val="nil"/>
              <w:left w:val="nil"/>
              <w:bottom w:val="single" w:sz="4" w:space="0" w:color="auto"/>
              <w:right w:val="nil"/>
            </w:tcBorders>
            <w:shd w:val="clear" w:color="auto" w:fill="auto"/>
            <w:noWrap/>
            <w:hideMark/>
          </w:tcPr>
          <w:p w14:paraId="5B06B025" w14:textId="77777777" w:rsidR="00E37832" w:rsidRPr="00E8321F" w:rsidRDefault="00E37832" w:rsidP="00E8321F">
            <w:pPr>
              <w:spacing w:line="276" w:lineRule="auto"/>
              <w:jc w:val="right"/>
              <w:rPr>
                <w:color w:val="000000"/>
                <w:sz w:val="22"/>
                <w:szCs w:val="22"/>
              </w:rPr>
            </w:pPr>
            <w:r w:rsidRPr="00E8321F">
              <w:rPr>
                <w:color w:val="000000"/>
                <w:sz w:val="22"/>
                <w:szCs w:val="22"/>
              </w:rPr>
              <w:t>0.013</w:t>
            </w:r>
          </w:p>
        </w:tc>
        <w:tc>
          <w:tcPr>
            <w:tcW w:w="1875" w:type="dxa"/>
            <w:tcBorders>
              <w:top w:val="nil"/>
              <w:left w:val="nil"/>
              <w:bottom w:val="single" w:sz="4" w:space="0" w:color="auto"/>
              <w:right w:val="nil"/>
            </w:tcBorders>
            <w:shd w:val="clear" w:color="auto" w:fill="auto"/>
            <w:noWrap/>
            <w:hideMark/>
          </w:tcPr>
          <w:p w14:paraId="2AA06697" w14:textId="77777777" w:rsidR="00E37832" w:rsidRPr="00E8321F" w:rsidRDefault="00E37832" w:rsidP="00E8321F">
            <w:pPr>
              <w:spacing w:line="276" w:lineRule="auto"/>
              <w:jc w:val="right"/>
              <w:rPr>
                <w:color w:val="000000"/>
                <w:sz w:val="22"/>
                <w:szCs w:val="22"/>
              </w:rPr>
            </w:pPr>
            <w:r w:rsidRPr="00E8321F">
              <w:rPr>
                <w:color w:val="000000"/>
                <w:sz w:val="22"/>
                <w:szCs w:val="22"/>
              </w:rPr>
              <w:t>0.242</w:t>
            </w:r>
          </w:p>
        </w:tc>
        <w:tc>
          <w:tcPr>
            <w:tcW w:w="442" w:type="dxa"/>
            <w:tcBorders>
              <w:top w:val="nil"/>
              <w:left w:val="nil"/>
              <w:bottom w:val="single" w:sz="4" w:space="0" w:color="auto"/>
              <w:right w:val="nil"/>
            </w:tcBorders>
            <w:shd w:val="clear" w:color="auto" w:fill="auto"/>
            <w:noWrap/>
            <w:hideMark/>
          </w:tcPr>
          <w:p w14:paraId="668C7EF4" w14:textId="77777777" w:rsidR="00E37832" w:rsidRPr="00E8321F" w:rsidRDefault="00E37832" w:rsidP="00E8321F">
            <w:pPr>
              <w:spacing w:line="276" w:lineRule="auto"/>
              <w:jc w:val="right"/>
              <w:rPr>
                <w:color w:val="000000"/>
                <w:sz w:val="22"/>
                <w:szCs w:val="22"/>
              </w:rPr>
            </w:pPr>
            <w:r w:rsidRPr="00E8321F">
              <w:rPr>
                <w:color w:val="000000"/>
                <w:sz w:val="22"/>
                <w:szCs w:val="22"/>
              </w:rPr>
              <w:t>26</w:t>
            </w:r>
          </w:p>
        </w:tc>
        <w:tc>
          <w:tcPr>
            <w:tcW w:w="814" w:type="dxa"/>
            <w:tcBorders>
              <w:top w:val="nil"/>
              <w:left w:val="nil"/>
              <w:bottom w:val="single" w:sz="4" w:space="0" w:color="auto"/>
              <w:right w:val="nil"/>
            </w:tcBorders>
            <w:shd w:val="clear" w:color="auto" w:fill="auto"/>
            <w:noWrap/>
            <w:hideMark/>
          </w:tcPr>
          <w:p w14:paraId="36EF3726" w14:textId="77777777" w:rsidR="00E37832" w:rsidRPr="00E8321F" w:rsidRDefault="00E37832" w:rsidP="00E8321F">
            <w:pPr>
              <w:spacing w:line="276" w:lineRule="auto"/>
              <w:jc w:val="right"/>
              <w:rPr>
                <w:color w:val="000000"/>
                <w:sz w:val="22"/>
                <w:szCs w:val="22"/>
              </w:rPr>
            </w:pPr>
            <w:r w:rsidRPr="00E8321F">
              <w:rPr>
                <w:color w:val="000000"/>
                <w:sz w:val="22"/>
                <w:szCs w:val="22"/>
              </w:rPr>
              <w:t>-1.521</w:t>
            </w:r>
          </w:p>
        </w:tc>
        <w:tc>
          <w:tcPr>
            <w:tcW w:w="713" w:type="dxa"/>
            <w:tcBorders>
              <w:top w:val="nil"/>
              <w:left w:val="nil"/>
              <w:bottom w:val="single" w:sz="4" w:space="0" w:color="auto"/>
              <w:right w:val="nil"/>
            </w:tcBorders>
            <w:shd w:val="clear" w:color="auto" w:fill="auto"/>
            <w:noWrap/>
            <w:hideMark/>
          </w:tcPr>
          <w:p w14:paraId="122384D9" w14:textId="77777777" w:rsidR="00E37832" w:rsidRPr="00E8321F" w:rsidRDefault="00E37832" w:rsidP="00E8321F">
            <w:pPr>
              <w:spacing w:line="276" w:lineRule="auto"/>
              <w:jc w:val="right"/>
              <w:rPr>
                <w:color w:val="000000"/>
                <w:sz w:val="22"/>
                <w:szCs w:val="22"/>
              </w:rPr>
            </w:pPr>
            <w:r w:rsidRPr="00E8321F">
              <w:rPr>
                <w:color w:val="000000"/>
                <w:sz w:val="22"/>
                <w:szCs w:val="22"/>
              </w:rPr>
              <w:t>0.14</w:t>
            </w:r>
          </w:p>
        </w:tc>
      </w:tr>
    </w:tbl>
    <w:p w14:paraId="0864B900" w14:textId="78A48DA8" w:rsidR="001D336B" w:rsidRPr="00E8321F" w:rsidRDefault="00E37832" w:rsidP="00E8321F">
      <w:pPr>
        <w:rPr>
          <w:sz w:val="21"/>
          <w:szCs w:val="21"/>
        </w:rPr>
      </w:pPr>
      <w:r w:rsidRPr="00E8321F">
        <w:rPr>
          <w:i/>
          <w:iCs/>
          <w:sz w:val="21"/>
          <w:szCs w:val="21"/>
        </w:rPr>
        <w:t xml:space="preserve">Note. </w:t>
      </w:r>
      <w:r w:rsidRPr="00E8321F">
        <w:rPr>
          <w:sz w:val="21"/>
          <w:szCs w:val="21"/>
        </w:rPr>
        <w:t xml:space="preserve">With a Bonferroni correction for five ROIs, significant p values are &lt;.01. </w:t>
      </w:r>
      <w:r w:rsidRPr="00E8321F">
        <w:rPr>
          <w:i/>
          <w:iCs/>
          <w:sz w:val="21"/>
          <w:szCs w:val="21"/>
        </w:rPr>
        <w:t xml:space="preserve"> </w:t>
      </w:r>
      <w:r w:rsidRPr="00E8321F">
        <w:rPr>
          <w:sz w:val="21"/>
          <w:szCs w:val="21"/>
        </w:rPr>
        <w:t>HOA, Harvard Oxford Atlas; ACC, anterior cingulate cortex; dlPFC, dorsolateral prefrontal cortex; vlPFC, ventrolateral prefrontal cortex.</w:t>
      </w:r>
    </w:p>
    <w:sectPr w:rsidR="001D336B" w:rsidRPr="00E8321F" w:rsidSect="00E8321F">
      <w:headerReference w:type="first" r:id="rId8"/>
      <w:pgSz w:w="12240" w:h="15840"/>
      <w:pgMar w:top="1370" w:right="1440" w:bottom="1346" w:left="1440" w:header="615"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2FAC4" w14:textId="77777777" w:rsidR="000809B5" w:rsidRDefault="000809B5" w:rsidP="0015797D">
      <w:r>
        <w:separator/>
      </w:r>
    </w:p>
  </w:endnote>
  <w:endnote w:type="continuationSeparator" w:id="0">
    <w:p w14:paraId="79F5F51D" w14:textId="77777777" w:rsidR="000809B5" w:rsidRDefault="000809B5" w:rsidP="001579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Times New Roman (Headings CS)">
    <w:altName w:val="Times New Roman"/>
    <w:panose1 w:val="020B0604020202020204"/>
    <w:charset w:val="00"/>
    <w:family w:val="roman"/>
    <w:pitch w:val="variable"/>
    <w:sig w:usb0="E0002AEF" w:usb1="C0007841" w:usb2="00000009" w:usb3="00000000" w:csb0="000001F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716FF" w14:textId="77777777" w:rsidR="000809B5" w:rsidRDefault="000809B5" w:rsidP="0015797D">
      <w:r>
        <w:separator/>
      </w:r>
    </w:p>
  </w:footnote>
  <w:footnote w:type="continuationSeparator" w:id="0">
    <w:p w14:paraId="4F6968E5" w14:textId="77777777" w:rsidR="000809B5" w:rsidRDefault="000809B5" w:rsidP="001579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73505" w14:textId="77777777" w:rsidR="005A2D28" w:rsidRPr="00882B35" w:rsidRDefault="0015797D" w:rsidP="00882B35">
    <w:pPr>
      <w:pStyle w:val="Header"/>
      <w:ind w:left="-284"/>
      <w:jc w:val="right"/>
      <w:rPr>
        <w:color w:val="BFBFBF" w:themeColor="background1" w:themeShade="BF"/>
        <w:sz w:val="21"/>
        <w:szCs w:val="21"/>
      </w:rPr>
    </w:pPr>
    <w:r w:rsidRPr="00882B35">
      <w:rPr>
        <w:color w:val="BFBFBF" w:themeColor="background1" w:themeShade="BF"/>
        <w:sz w:val="21"/>
        <w:szCs w:val="21"/>
      </w:rPr>
      <w:t xml:space="preserve">Supplementary </w:t>
    </w:r>
    <w:r w:rsidRPr="00882B35">
      <w:rPr>
        <w:color w:val="BFBFBF" w:themeColor="background1" w:themeShade="BF"/>
        <w:sz w:val="21"/>
        <w:szCs w:val="21"/>
        <w:lang w:val="en-US"/>
      </w:rPr>
      <w:t>M</w:t>
    </w:r>
    <w:r w:rsidRPr="00882B35">
      <w:rPr>
        <w:color w:val="BFBFBF" w:themeColor="background1" w:themeShade="BF"/>
        <w:sz w:val="21"/>
        <w:szCs w:val="21"/>
      </w:rPr>
      <w:t xml:space="preserve">aterial: </w:t>
    </w:r>
  </w:p>
  <w:p w14:paraId="697C94A0" w14:textId="42AE53F2" w:rsidR="0015797D" w:rsidRPr="00882B35" w:rsidRDefault="005A2D28" w:rsidP="00882B35">
    <w:pPr>
      <w:pStyle w:val="Header"/>
      <w:ind w:left="567"/>
      <w:jc w:val="right"/>
      <w:rPr>
        <w:color w:val="BFBFBF" w:themeColor="background1" w:themeShade="BF"/>
        <w:sz w:val="21"/>
        <w:szCs w:val="21"/>
        <w:lang w:val="en-US"/>
      </w:rPr>
    </w:pPr>
    <w:r w:rsidRPr="00882B35">
      <w:rPr>
        <w:color w:val="BFBFBF" w:themeColor="background1" w:themeShade="BF"/>
        <w:sz w:val="21"/>
        <w:szCs w:val="21"/>
      </w:rPr>
      <w:t>A randomized pharmacological fMRI trial investigating D-cycloserine and brain plasticity mechanisms in learned pain responses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03987"/>
    <w:multiLevelType w:val="hybridMultilevel"/>
    <w:tmpl w:val="57ACE864"/>
    <w:lvl w:ilvl="0" w:tplc="F8EC34EE">
      <w:start w:val="1"/>
      <w:numFmt w:val="decimal"/>
      <w:lvlText w:val="%1."/>
      <w:lvlJc w:val="left"/>
      <w:pPr>
        <w:ind w:left="0" w:firstLine="0"/>
      </w:pPr>
      <w:rPr>
        <w:rFonts w:ascii="Times New Roman" w:hAnsi="Times New Roman" w:hint="default"/>
        <w:b w:val="0"/>
        <w:i w:val="0"/>
        <w:caps w:val="0"/>
        <w:strike w:val="0"/>
        <w:dstrike w:val="0"/>
        <w:vanish w:val="0"/>
        <w:color w:val="auto"/>
        <w:sz w:val="24"/>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5B2DF1"/>
    <w:multiLevelType w:val="multilevel"/>
    <w:tmpl w:val="CB563F9E"/>
    <w:lvl w:ilvl="0">
      <w:start w:val="1"/>
      <w:numFmt w:val="decimal"/>
      <w:pStyle w:val="ListParagraph"/>
      <w:lvlText w:val="%1."/>
      <w:lvlJc w:val="left"/>
      <w:pPr>
        <w:ind w:left="0" w:firstLine="0"/>
      </w:pPr>
      <w:rPr>
        <w:rFonts w:ascii="Times New Roman" w:hAnsi="Times New Roman" w:hint="default"/>
        <w:b/>
        <w:i w:val="0"/>
        <w:sz w:val="24"/>
      </w:rPr>
    </w:lvl>
    <w:lvl w:ilvl="1">
      <w:start w:val="1"/>
      <w:numFmt w:val="decimal"/>
      <w:lvlText w:val="%1.%2."/>
      <w:lvlJc w:val="left"/>
      <w:pPr>
        <w:ind w:left="567" w:firstLine="0"/>
      </w:pPr>
      <w:rPr>
        <w:rFonts w:ascii="Times New Roman" w:hAnsi="Times New Roman" w:hint="default"/>
        <w:b w:val="0"/>
        <w:i/>
        <w:sz w:val="24"/>
      </w:rPr>
    </w:lvl>
    <w:lvl w:ilvl="2">
      <w:start w:val="1"/>
      <w:numFmt w:val="decimal"/>
      <w:lvlText w:val="%1.%2.%3."/>
      <w:lvlJc w:val="left"/>
      <w:pPr>
        <w:ind w:left="1134" w:firstLine="0"/>
      </w:pPr>
      <w:rPr>
        <w:rFonts w:ascii="Times New Roman" w:hAnsi="Times New Roman" w:hint="default"/>
        <w:b w:val="0"/>
        <w:i/>
        <w:sz w:val="24"/>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4BA54AC5"/>
    <w:multiLevelType w:val="hybridMultilevel"/>
    <w:tmpl w:val="05D2A8D4"/>
    <w:lvl w:ilvl="0" w:tplc="74369F66">
      <w:start w:val="1"/>
      <w:numFmt w:val="decimal"/>
      <w:lvlText w:val="%1."/>
      <w:lvlJc w:val="left"/>
      <w:pPr>
        <w:ind w:left="0" w:firstLine="0"/>
      </w:pPr>
      <w:rPr>
        <w:rFonts w:ascii="Times New Roman" w:hAnsi="Times New Roman" w:hint="default"/>
        <w:b/>
        <w:i w:val="0"/>
        <w:caps w:val="0"/>
        <w:strike w:val="0"/>
        <w:dstrike w:val="0"/>
        <w:vanish w:val="0"/>
        <w:color w:val="auto"/>
        <w:sz w:val="24"/>
        <w:u w:val="none"/>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93471009">
    <w:abstractNumId w:val="2"/>
  </w:num>
  <w:num w:numId="2" w16cid:durableId="893587989">
    <w:abstractNumId w:val="2"/>
  </w:num>
  <w:num w:numId="3" w16cid:durableId="1123115817">
    <w:abstractNumId w:val="2"/>
  </w:num>
  <w:num w:numId="4" w16cid:durableId="1767772816">
    <w:abstractNumId w:val="2"/>
  </w:num>
  <w:num w:numId="5" w16cid:durableId="1562865157">
    <w:abstractNumId w:val="0"/>
  </w:num>
  <w:num w:numId="6" w16cid:durableId="1627856914">
    <w:abstractNumId w:val="1"/>
  </w:num>
  <w:num w:numId="7" w16cid:durableId="225728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97D"/>
    <w:rsid w:val="00073291"/>
    <w:rsid w:val="000809B5"/>
    <w:rsid w:val="000C387C"/>
    <w:rsid w:val="000F7A93"/>
    <w:rsid w:val="0015797D"/>
    <w:rsid w:val="00191EE4"/>
    <w:rsid w:val="001D336B"/>
    <w:rsid w:val="001F6AE7"/>
    <w:rsid w:val="00232E74"/>
    <w:rsid w:val="002743F6"/>
    <w:rsid w:val="00403872"/>
    <w:rsid w:val="00417F24"/>
    <w:rsid w:val="00482F6F"/>
    <w:rsid w:val="00526622"/>
    <w:rsid w:val="005A2D28"/>
    <w:rsid w:val="005E36D7"/>
    <w:rsid w:val="005F2C2E"/>
    <w:rsid w:val="006203A7"/>
    <w:rsid w:val="007929BB"/>
    <w:rsid w:val="007C1025"/>
    <w:rsid w:val="00874EC0"/>
    <w:rsid w:val="00882B35"/>
    <w:rsid w:val="008E56A5"/>
    <w:rsid w:val="00900D4F"/>
    <w:rsid w:val="009E2FE9"/>
    <w:rsid w:val="009F5659"/>
    <w:rsid w:val="00A27A7F"/>
    <w:rsid w:val="00A90D48"/>
    <w:rsid w:val="00B57677"/>
    <w:rsid w:val="00BC68C4"/>
    <w:rsid w:val="00CA319A"/>
    <w:rsid w:val="00D543A9"/>
    <w:rsid w:val="00D90AD8"/>
    <w:rsid w:val="00DB11D9"/>
    <w:rsid w:val="00DE4D2D"/>
    <w:rsid w:val="00E37832"/>
    <w:rsid w:val="00E8321F"/>
    <w:rsid w:val="00FB3E73"/>
    <w:rsid w:val="00FF7856"/>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62724681"/>
  <w15:chartTrackingRefBased/>
  <w15:docId w15:val="{ECEB7230-C872-F04A-A254-EBD086495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97D"/>
    <w:rPr>
      <w:rFonts w:ascii="Times New Roman" w:eastAsia="Times New Roman" w:hAnsi="Times New Roman" w:cs="Times New Roman"/>
      <w:lang w:eastAsia="en-GB"/>
    </w:rPr>
  </w:style>
  <w:style w:type="paragraph" w:styleId="Heading1">
    <w:name w:val="heading 1"/>
    <w:aliases w:val="Heading1"/>
    <w:basedOn w:val="Normal"/>
    <w:next w:val="Normal"/>
    <w:link w:val="Heading1Char"/>
    <w:uiPriority w:val="9"/>
    <w:qFormat/>
    <w:rsid w:val="005E36D7"/>
    <w:pPr>
      <w:keepNext/>
      <w:keepLines/>
      <w:spacing w:before="360" w:after="120" w:line="360" w:lineRule="auto"/>
      <w:outlineLvl w:val="0"/>
    </w:pPr>
    <w:rPr>
      <w:rFonts w:eastAsiaTheme="majorEastAsia" w:cstheme="majorBidi"/>
      <w:b/>
      <w:color w:val="000000" w:themeColor="text1"/>
      <w:szCs w:val="32"/>
      <w:lang w:eastAsia="en-US"/>
    </w:rPr>
  </w:style>
  <w:style w:type="paragraph" w:styleId="Heading2">
    <w:name w:val="heading 2"/>
    <w:basedOn w:val="Normal"/>
    <w:next w:val="Normal"/>
    <w:link w:val="Heading2Char"/>
    <w:uiPriority w:val="9"/>
    <w:unhideWhenUsed/>
    <w:qFormat/>
    <w:rsid w:val="00417F24"/>
    <w:pPr>
      <w:keepNext/>
      <w:keepLines/>
      <w:spacing w:before="360" w:after="200" w:line="360" w:lineRule="auto"/>
      <w:jc w:val="both"/>
      <w:outlineLvl w:val="1"/>
    </w:pPr>
    <w:rPr>
      <w:rFonts w:ascii="Garamond" w:eastAsiaTheme="majorEastAsia" w:hAnsi="Garamond" w:cstheme="majorBidi"/>
      <w:b/>
      <w:i/>
      <w:szCs w:val="26"/>
      <w:lang w:eastAsia="en-US"/>
    </w:rPr>
  </w:style>
  <w:style w:type="paragraph" w:styleId="Heading3">
    <w:name w:val="heading 3"/>
    <w:basedOn w:val="Normal"/>
    <w:next w:val="Normal"/>
    <w:link w:val="Heading3Char"/>
    <w:uiPriority w:val="9"/>
    <w:unhideWhenUsed/>
    <w:qFormat/>
    <w:rsid w:val="00D543A9"/>
    <w:pPr>
      <w:keepNext/>
      <w:keepLines/>
      <w:spacing w:before="40" w:after="160" w:line="360" w:lineRule="auto"/>
      <w:jc w:val="both"/>
      <w:outlineLvl w:val="2"/>
    </w:pPr>
    <w:rPr>
      <w:rFonts w:ascii="Garamond" w:eastAsiaTheme="majorEastAsia" w:hAnsi="Garamond" w:cstheme="majorBidi"/>
      <w:i/>
      <w:lang w:eastAsia="en-US"/>
    </w:rPr>
  </w:style>
  <w:style w:type="paragraph" w:styleId="Heading4">
    <w:name w:val="heading 4"/>
    <w:aliases w:val="Heading 1 Ch"/>
    <w:basedOn w:val="Normal"/>
    <w:next w:val="Normal"/>
    <w:link w:val="Heading4Char"/>
    <w:uiPriority w:val="9"/>
    <w:unhideWhenUsed/>
    <w:qFormat/>
    <w:rsid w:val="008E56A5"/>
    <w:pPr>
      <w:keepNext/>
      <w:keepLines/>
      <w:spacing w:before="1200" w:after="480" w:line="360" w:lineRule="auto"/>
      <w:jc w:val="right"/>
      <w:outlineLvl w:val="3"/>
    </w:pPr>
    <w:rPr>
      <w:rFonts w:ascii="Garamond" w:eastAsiaTheme="majorEastAsia" w:hAnsi="Garamond" w:cstheme="majorBidi"/>
      <w:b/>
      <w:iCs/>
      <w:color w:val="255120"/>
      <w:sz w:val="40"/>
      <w:lang w:val="en-US" w:eastAsia="en-US"/>
    </w:rPr>
  </w:style>
  <w:style w:type="paragraph" w:styleId="Heading5">
    <w:name w:val="heading 5"/>
    <w:aliases w:val="Heading for t"/>
    <w:basedOn w:val="Normal"/>
    <w:next w:val="Normal"/>
    <w:link w:val="Heading5Char"/>
    <w:uiPriority w:val="9"/>
    <w:semiHidden/>
    <w:unhideWhenUsed/>
    <w:qFormat/>
    <w:rsid w:val="00482F6F"/>
    <w:pPr>
      <w:keepNext/>
      <w:keepLines/>
      <w:spacing w:before="40" w:after="840" w:line="360" w:lineRule="auto"/>
      <w:jc w:val="center"/>
      <w:outlineLvl w:val="4"/>
    </w:pPr>
    <w:rPr>
      <w:rFonts w:ascii="Garamond" w:eastAsiaTheme="majorEastAsia" w:hAnsi="Garamond" w:cstheme="majorBidi"/>
      <w:color w:val="30602A"/>
      <w:sz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basedOn w:val="DefaultParagraphFont"/>
    <w:link w:val="Heading1"/>
    <w:uiPriority w:val="9"/>
    <w:rsid w:val="005E36D7"/>
    <w:rPr>
      <w:rFonts w:ascii="Times New Roman" w:eastAsiaTheme="majorEastAsia" w:hAnsi="Times New Roman" w:cstheme="majorBidi"/>
      <w:b/>
      <w:color w:val="000000" w:themeColor="text1"/>
      <w:szCs w:val="32"/>
    </w:rPr>
  </w:style>
  <w:style w:type="character" w:customStyle="1" w:styleId="Heading2Char">
    <w:name w:val="Heading 2 Char"/>
    <w:basedOn w:val="DefaultParagraphFont"/>
    <w:link w:val="Heading2"/>
    <w:uiPriority w:val="9"/>
    <w:rsid w:val="00417F24"/>
    <w:rPr>
      <w:rFonts w:ascii="Garamond" w:eastAsiaTheme="majorEastAsia" w:hAnsi="Garamond" w:cstheme="majorBidi"/>
      <w:b/>
      <w:i/>
      <w:szCs w:val="26"/>
    </w:rPr>
  </w:style>
  <w:style w:type="character" w:customStyle="1" w:styleId="Heading3Char">
    <w:name w:val="Heading 3 Char"/>
    <w:basedOn w:val="DefaultParagraphFont"/>
    <w:link w:val="Heading3"/>
    <w:uiPriority w:val="9"/>
    <w:rsid w:val="00D543A9"/>
    <w:rPr>
      <w:rFonts w:ascii="Garamond" w:eastAsiaTheme="majorEastAsia" w:hAnsi="Garamond" w:cstheme="majorBidi"/>
      <w:i/>
    </w:rPr>
  </w:style>
  <w:style w:type="paragraph" w:styleId="Title">
    <w:name w:val="Title"/>
    <w:basedOn w:val="Normal"/>
    <w:next w:val="Normal"/>
    <w:link w:val="TitleChar"/>
    <w:uiPriority w:val="10"/>
    <w:qFormat/>
    <w:rsid w:val="00FB3E73"/>
    <w:pPr>
      <w:spacing w:before="120" w:after="120"/>
      <w:contextualSpacing/>
      <w:jc w:val="center"/>
    </w:pPr>
    <w:rPr>
      <w:rFonts w:ascii="Garamond" w:eastAsiaTheme="majorEastAsia" w:hAnsi="Garamond" w:cs="Times New Roman (Headings CS)"/>
      <w:b/>
      <w:kern w:val="28"/>
      <w:sz w:val="28"/>
      <w:szCs w:val="56"/>
      <w:lang w:eastAsia="en-US"/>
    </w:rPr>
  </w:style>
  <w:style w:type="character" w:customStyle="1" w:styleId="TitleChar">
    <w:name w:val="Title Char"/>
    <w:basedOn w:val="DefaultParagraphFont"/>
    <w:link w:val="Title"/>
    <w:uiPriority w:val="10"/>
    <w:rsid w:val="00FB3E73"/>
    <w:rPr>
      <w:rFonts w:ascii="Garamond" w:eastAsiaTheme="majorEastAsia" w:hAnsi="Garamond" w:cs="Times New Roman (Headings CS)"/>
      <w:b/>
      <w:kern w:val="28"/>
      <w:sz w:val="28"/>
      <w:szCs w:val="56"/>
    </w:rPr>
  </w:style>
  <w:style w:type="character" w:styleId="Strong">
    <w:name w:val="Strong"/>
    <w:aliases w:val="Chapter"/>
    <w:basedOn w:val="Heading1Char"/>
    <w:uiPriority w:val="22"/>
    <w:qFormat/>
    <w:rsid w:val="008E56A5"/>
    <w:rPr>
      <w:rFonts w:ascii="Garamond" w:eastAsiaTheme="majorEastAsia" w:hAnsi="Garamond" w:cs="Times New Roman (Headings CS)"/>
      <w:b/>
      <w:bCs/>
      <w:i w:val="0"/>
      <w:color w:val="385623" w:themeColor="accent6" w:themeShade="80"/>
      <w:sz w:val="40"/>
      <w:szCs w:val="32"/>
    </w:rPr>
  </w:style>
  <w:style w:type="character" w:customStyle="1" w:styleId="Heading4Char">
    <w:name w:val="Heading 4 Char"/>
    <w:aliases w:val="Heading 1 Ch Char"/>
    <w:basedOn w:val="DefaultParagraphFont"/>
    <w:link w:val="Heading4"/>
    <w:uiPriority w:val="9"/>
    <w:rsid w:val="008E56A5"/>
    <w:rPr>
      <w:rFonts w:ascii="Garamond" w:eastAsiaTheme="majorEastAsia" w:hAnsi="Garamond" w:cstheme="majorBidi"/>
      <w:b/>
      <w:iCs/>
      <w:color w:val="255120"/>
      <w:sz w:val="40"/>
      <w:lang w:val="en-US"/>
    </w:rPr>
  </w:style>
  <w:style w:type="paragraph" w:customStyle="1" w:styleId="h1">
    <w:name w:val="h1"/>
    <w:basedOn w:val="Heading4"/>
    <w:qFormat/>
    <w:rsid w:val="001F6AE7"/>
  </w:style>
  <w:style w:type="character" w:customStyle="1" w:styleId="Heading5Char">
    <w:name w:val="Heading 5 Char"/>
    <w:aliases w:val="Heading for t Char"/>
    <w:basedOn w:val="DefaultParagraphFont"/>
    <w:link w:val="Heading5"/>
    <w:uiPriority w:val="9"/>
    <w:semiHidden/>
    <w:rsid w:val="00482F6F"/>
    <w:rPr>
      <w:rFonts w:ascii="Garamond" w:eastAsiaTheme="majorEastAsia" w:hAnsi="Garamond" w:cstheme="majorBidi"/>
      <w:color w:val="30602A"/>
      <w:sz w:val="32"/>
      <w:lang w:val="en-US"/>
    </w:rPr>
  </w:style>
  <w:style w:type="paragraph" w:customStyle="1" w:styleId="StyleT">
    <w:name w:val="StyleT"/>
    <w:basedOn w:val="Heading1"/>
    <w:qFormat/>
    <w:rsid w:val="007929BB"/>
    <w:pPr>
      <w:spacing w:before="600" w:after="840" w:line="240" w:lineRule="auto"/>
    </w:pPr>
    <w:rPr>
      <w:b w:val="0"/>
      <w:color w:val="30602A"/>
      <w:sz w:val="32"/>
    </w:rPr>
  </w:style>
  <w:style w:type="paragraph" w:styleId="TOC1">
    <w:name w:val="toc 1"/>
    <w:basedOn w:val="Normal"/>
    <w:next w:val="Normal"/>
    <w:autoRedefine/>
    <w:uiPriority w:val="39"/>
    <w:unhideWhenUsed/>
    <w:rsid w:val="00482F6F"/>
    <w:pPr>
      <w:tabs>
        <w:tab w:val="right" w:leader="dot" w:pos="9016"/>
      </w:tabs>
      <w:spacing w:before="240" w:after="100" w:line="360" w:lineRule="auto"/>
      <w:ind w:left="-227"/>
      <w:jc w:val="both"/>
    </w:pPr>
    <w:rPr>
      <w:rFonts w:ascii="Garamond" w:eastAsiaTheme="minorHAnsi" w:hAnsi="Garamond" w:cs="Times New Roman (Body CS)"/>
      <w:color w:val="30602A"/>
      <w:sz w:val="28"/>
      <w:lang w:val="en-US" w:eastAsia="en-US"/>
    </w:rPr>
  </w:style>
  <w:style w:type="paragraph" w:styleId="TOC2">
    <w:name w:val="toc 2"/>
    <w:basedOn w:val="Normal"/>
    <w:next w:val="Normal"/>
    <w:autoRedefine/>
    <w:uiPriority w:val="39"/>
    <w:unhideWhenUsed/>
    <w:rsid w:val="00482F6F"/>
    <w:pPr>
      <w:tabs>
        <w:tab w:val="right" w:leader="dot" w:pos="9016"/>
      </w:tabs>
      <w:spacing w:before="240" w:after="100" w:line="360" w:lineRule="auto"/>
    </w:pPr>
    <w:rPr>
      <w:rFonts w:ascii="Garamond" w:eastAsiaTheme="minorHAnsi" w:hAnsi="Garamond" w:cs="Times New Roman (Body CS)"/>
      <w:sz w:val="22"/>
      <w:szCs w:val="30"/>
      <w:lang w:val="en-US" w:eastAsia="en-US"/>
    </w:rPr>
  </w:style>
  <w:style w:type="character" w:styleId="Emphasis">
    <w:name w:val="Emphasis"/>
    <w:aliases w:val="Section"/>
    <w:basedOn w:val="DefaultParagraphFont"/>
    <w:uiPriority w:val="20"/>
    <w:qFormat/>
    <w:rsid w:val="005E36D7"/>
    <w:rPr>
      <w:rFonts w:ascii="Garamond" w:hAnsi="Garamond"/>
      <w:b/>
      <w:i w:val="0"/>
      <w:iCs/>
    </w:rPr>
  </w:style>
  <w:style w:type="paragraph" w:styleId="ListParagraph">
    <w:name w:val="List Paragraph"/>
    <w:basedOn w:val="Normal"/>
    <w:uiPriority w:val="34"/>
    <w:qFormat/>
    <w:rsid w:val="00A90D48"/>
    <w:pPr>
      <w:numPr>
        <w:numId w:val="7"/>
      </w:numPr>
      <w:spacing w:before="240" w:after="240" w:line="480" w:lineRule="auto"/>
      <w:contextualSpacing/>
    </w:pPr>
    <w:rPr>
      <w:i/>
      <w:lang w:val="en-US" w:eastAsia="en-US"/>
    </w:rPr>
  </w:style>
  <w:style w:type="table" w:styleId="PlainTable3">
    <w:name w:val="Plain Table 3"/>
    <w:basedOn w:val="TableNormal"/>
    <w:uiPriority w:val="43"/>
    <w:rsid w:val="00D90AD8"/>
    <w:pPr>
      <w:jc w:val="center"/>
    </w:pPr>
    <w:rPr>
      <w:rFonts w:ascii="Garamond" w:hAnsi="Garamond" w:cs="Times New Roman (Body CS)"/>
      <w:sz w:val="20"/>
      <w:lang w:val="en-US"/>
    </w:rPr>
    <w:tblPr>
      <w:tblStyleRowBandSize w:val="1"/>
      <w:tblStyleColBandSize w:val="1"/>
    </w:tblPr>
    <w:tcPr>
      <w:shd w:val="clear" w:color="auto" w:fill="auto"/>
      <w:vAlign w:val="center"/>
    </w:tc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aliases w:val="MIA"/>
    <w:basedOn w:val="TableNormal"/>
    <w:uiPriority w:val="42"/>
    <w:rsid w:val="00D90AD8"/>
    <w:pPr>
      <w:jc w:val="center"/>
    </w:pPr>
    <w:rPr>
      <w:rFonts w:ascii="Garamond" w:hAnsi="Garamond" w:cs="Times New Roman (Body CS)"/>
      <w:sz w:val="20"/>
      <w:lang w:val="en-US"/>
    </w:rPr>
    <w:tblPr>
      <w:tblStyleRowBandSize w:val="1"/>
      <w:tblStyleColBandSize w:val="1"/>
      <w:tblBorders>
        <w:top w:val="single" w:sz="4" w:space="0" w:color="7F7F7F" w:themeColor="text1" w:themeTint="80"/>
        <w:bottom w:val="single" w:sz="4" w:space="0" w:color="7F7F7F" w:themeColor="text1" w:themeTint="80"/>
      </w:tblBorders>
    </w:tblPr>
    <w:tcPr>
      <w:vAlign w:val="center"/>
    </w:tc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526622"/>
    <w:pPr>
      <w:jc w:val="both"/>
    </w:pPr>
    <w:rPr>
      <w:rFonts w:ascii="Garamond" w:hAnsi="Garamond" w:cs="Times New Roman (Body CS)"/>
      <w:sz w:val="22"/>
      <w:lang w:val="en-US"/>
    </w:rPr>
  </w:style>
  <w:style w:type="paragraph" w:styleId="Header">
    <w:name w:val="header"/>
    <w:basedOn w:val="Normal"/>
    <w:link w:val="HeaderChar"/>
    <w:uiPriority w:val="99"/>
    <w:unhideWhenUsed/>
    <w:rsid w:val="0015797D"/>
    <w:pPr>
      <w:tabs>
        <w:tab w:val="center" w:pos="4513"/>
        <w:tab w:val="right" w:pos="9026"/>
      </w:tabs>
    </w:pPr>
  </w:style>
  <w:style w:type="character" w:customStyle="1" w:styleId="HeaderChar">
    <w:name w:val="Header Char"/>
    <w:basedOn w:val="DefaultParagraphFont"/>
    <w:link w:val="Header"/>
    <w:uiPriority w:val="99"/>
    <w:rsid w:val="0015797D"/>
    <w:rPr>
      <w:rFonts w:ascii="Times New Roman" w:eastAsia="Times New Roman" w:hAnsi="Times New Roman" w:cs="Times New Roman"/>
      <w:lang w:eastAsia="en-GB"/>
    </w:rPr>
  </w:style>
  <w:style w:type="paragraph" w:styleId="Footer">
    <w:name w:val="footer"/>
    <w:basedOn w:val="Normal"/>
    <w:link w:val="FooterChar"/>
    <w:uiPriority w:val="99"/>
    <w:unhideWhenUsed/>
    <w:rsid w:val="0015797D"/>
    <w:pPr>
      <w:tabs>
        <w:tab w:val="center" w:pos="4513"/>
        <w:tab w:val="right" w:pos="9026"/>
      </w:tabs>
    </w:pPr>
  </w:style>
  <w:style w:type="character" w:customStyle="1" w:styleId="FooterChar">
    <w:name w:val="Footer Char"/>
    <w:basedOn w:val="DefaultParagraphFont"/>
    <w:link w:val="Footer"/>
    <w:uiPriority w:val="99"/>
    <w:rsid w:val="0015797D"/>
    <w:rPr>
      <w:rFonts w:ascii="Times New Roman" w:eastAsia="Times New Roman" w:hAnsi="Times New Roman" w:cs="Times New Roman"/>
      <w:lang w:eastAsia="en-GB"/>
    </w:rPr>
  </w:style>
  <w:style w:type="paragraph" w:styleId="Revision">
    <w:name w:val="Revision"/>
    <w:hidden/>
    <w:uiPriority w:val="99"/>
    <w:semiHidden/>
    <w:rsid w:val="00E37832"/>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520</Words>
  <Characters>2967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Thomaïdou, A.M. (Mia)</dc:creator>
  <cp:keywords/>
  <dc:description/>
  <cp:lastModifiedBy>Microsoft Office User</cp:lastModifiedBy>
  <cp:revision>14</cp:revision>
  <dcterms:created xsi:type="dcterms:W3CDTF">2022-09-13T11:08:00Z</dcterms:created>
  <dcterms:modified xsi:type="dcterms:W3CDTF">2022-09-21T09:18:00Z</dcterms:modified>
</cp:coreProperties>
</file>