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24FD6A" w14:textId="77777777" w:rsidR="00147E07" w:rsidRPr="003F4234" w:rsidRDefault="00147E07" w:rsidP="00147E07">
      <w:pPr>
        <w:spacing w:before="240" w:after="0" w:line="48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F4234">
        <w:rPr>
          <w:rFonts w:ascii="Times New Roman" w:eastAsia="Times New Roman" w:hAnsi="Times New Roman" w:cs="Times New Roman"/>
          <w:b/>
          <w:sz w:val="28"/>
          <w:szCs w:val="28"/>
        </w:rPr>
        <w:t>Transfer efficiency and impact on disease phenotype of differing methods of gut microbiome transfer</w:t>
      </w:r>
    </w:p>
    <w:p w14:paraId="3B1A96A9" w14:textId="77777777" w:rsidR="00147E07" w:rsidRPr="00063499" w:rsidRDefault="00147E07" w:rsidP="00147E07">
      <w:pPr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63499">
        <w:rPr>
          <w:rFonts w:ascii="Times New Roman" w:hAnsi="Times New Roman" w:cs="Times New Roman"/>
          <w:bCs/>
          <w:sz w:val="24"/>
          <w:szCs w:val="24"/>
        </w:rPr>
        <w:t>Chunye Zhang</w:t>
      </w:r>
      <w:r w:rsidRPr="00063499">
        <w:rPr>
          <w:rFonts w:ascii="Times New Roman" w:hAnsi="Times New Roman" w:cs="Times New Roman"/>
          <w:bCs/>
          <w:sz w:val="24"/>
          <w:szCs w:val="24"/>
          <w:vertAlign w:val="superscript"/>
        </w:rPr>
        <w:t>1</w:t>
      </w:r>
      <w:r w:rsidRPr="00063499">
        <w:rPr>
          <w:rFonts w:ascii="Times New Roman" w:hAnsi="Times New Roman" w:cs="Times New Roman"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</w:rPr>
        <w:t>Yushu Shi</w:t>
      </w:r>
      <w:r w:rsidRPr="00063499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perscript"/>
        </w:rPr>
        <w:t>2</w:t>
      </w:r>
      <w:r w:rsidRPr="0006349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 Matthew Burch</w:t>
      </w:r>
      <w:r w:rsidRPr="00063499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perscript"/>
        </w:rPr>
        <w:t>1</w:t>
      </w:r>
      <w:r w:rsidRPr="0006349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 Benjamin Olthoff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perscript"/>
        </w:rPr>
        <w:t>3</w:t>
      </w:r>
      <w:r w:rsidRPr="0006349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</w:t>
      </w:r>
      <w:r w:rsidRPr="00063499">
        <w:rPr>
          <w:rFonts w:ascii="Times New Roman" w:hAnsi="Times New Roman" w:cs="Times New Roman"/>
          <w:bCs/>
          <w:sz w:val="24"/>
          <w:szCs w:val="24"/>
        </w:rPr>
        <w:t>Aaron C. Ericsson</w:t>
      </w:r>
      <w:r w:rsidRPr="00063499">
        <w:rPr>
          <w:rFonts w:ascii="Times New Roman" w:hAnsi="Times New Roman" w:cs="Times New Roman"/>
          <w:bCs/>
          <w:sz w:val="24"/>
          <w:szCs w:val="24"/>
          <w:vertAlign w:val="superscript"/>
        </w:rPr>
        <w:t>1,4,5,</w:t>
      </w: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>6,</w:t>
      </w:r>
      <w:r w:rsidRPr="00063499">
        <w:rPr>
          <w:rFonts w:ascii="Times New Roman" w:hAnsi="Times New Roman" w:cs="Times New Roman"/>
          <w:sz w:val="24"/>
          <w:szCs w:val="24"/>
        </w:rPr>
        <w:t xml:space="preserve"> *</w:t>
      </w:r>
      <w:r w:rsidRPr="00063499">
        <w:rPr>
          <w:rFonts w:ascii="Times New Roman" w:hAnsi="Times New Roman" w:cs="Times New Roman"/>
          <w:bCs/>
          <w:sz w:val="24"/>
          <w:szCs w:val="24"/>
        </w:rPr>
        <w:t>, Craig L. Franklin</w:t>
      </w:r>
      <w:r w:rsidRPr="00063499">
        <w:rPr>
          <w:rFonts w:ascii="Times New Roman" w:hAnsi="Times New Roman" w:cs="Times New Roman"/>
          <w:bCs/>
          <w:sz w:val="24"/>
          <w:szCs w:val="24"/>
          <w:vertAlign w:val="superscript"/>
        </w:rPr>
        <w:t>1,4,5,</w:t>
      </w: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>6,</w:t>
      </w:r>
      <w:r w:rsidRPr="00063499">
        <w:rPr>
          <w:rFonts w:ascii="Times New Roman" w:hAnsi="Times New Roman" w:cs="Times New Roman"/>
          <w:sz w:val="24"/>
          <w:szCs w:val="24"/>
        </w:rPr>
        <w:t xml:space="preserve"> *</w:t>
      </w:r>
    </w:p>
    <w:p w14:paraId="0612B25B" w14:textId="77777777" w:rsidR="00147E07" w:rsidRDefault="00147E07" w:rsidP="00147E07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3499">
        <w:rPr>
          <w:rFonts w:ascii="Times New Roman" w:hAnsi="Times New Roman" w:cs="Times New Roman"/>
          <w:sz w:val="24"/>
          <w:szCs w:val="24"/>
          <w:vertAlign w:val="superscript"/>
        </w:rPr>
        <w:t xml:space="preserve">1 </w:t>
      </w:r>
      <w:r w:rsidRPr="00063499">
        <w:rPr>
          <w:rFonts w:ascii="Times New Roman" w:hAnsi="Times New Roman" w:cs="Times New Roman"/>
          <w:sz w:val="24"/>
          <w:szCs w:val="24"/>
        </w:rPr>
        <w:t xml:space="preserve">Department of Veterinary Pathobiology, University of Missouri, Columbia, </w:t>
      </w:r>
      <w:r>
        <w:rPr>
          <w:rFonts w:ascii="Times New Roman" w:hAnsi="Times New Roman" w:cs="Times New Roman"/>
          <w:sz w:val="24"/>
          <w:szCs w:val="24"/>
        </w:rPr>
        <w:t xml:space="preserve">MO </w:t>
      </w:r>
      <w:r w:rsidRPr="00063499">
        <w:rPr>
          <w:rFonts w:ascii="Times New Roman" w:hAnsi="Times New Roman" w:cs="Times New Roman"/>
          <w:sz w:val="24"/>
          <w:szCs w:val="24"/>
        </w:rPr>
        <w:t xml:space="preserve">65201, USA. </w:t>
      </w:r>
    </w:p>
    <w:p w14:paraId="16510230" w14:textId="77777777" w:rsidR="00147E07" w:rsidRPr="00063499" w:rsidRDefault="00147E07" w:rsidP="00147E07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349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06349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9D161F">
        <w:rPr>
          <w:rFonts w:ascii="Times New Roman" w:hAnsi="Times New Roman" w:cs="Times New Roman"/>
          <w:color w:val="000000" w:themeColor="text1"/>
          <w:sz w:val="24"/>
          <w:szCs w:val="24"/>
        </w:rPr>
        <w:t>Department of Statistics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9D16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University of Missouri, Columbia, MO 65201</w:t>
      </w:r>
      <w:r w:rsidRPr="00063499">
        <w:rPr>
          <w:rFonts w:ascii="Times New Roman" w:hAnsi="Times New Roman" w:cs="Times New Roman"/>
          <w:sz w:val="24"/>
          <w:szCs w:val="24"/>
        </w:rPr>
        <w:t>, USA.</w:t>
      </w:r>
    </w:p>
    <w:p w14:paraId="3CCD9699" w14:textId="77777777" w:rsidR="00147E07" w:rsidRPr="00063499" w:rsidRDefault="00147E07" w:rsidP="00147E07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06349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063499">
        <w:rPr>
          <w:rFonts w:ascii="Times New Roman" w:hAnsi="Times New Roman" w:cs="Times New Roman"/>
          <w:sz w:val="24"/>
          <w:szCs w:val="24"/>
        </w:rPr>
        <w:t>Comparative Medicine Program, University of Missouri, Columbia, MO 65201, USA.</w:t>
      </w:r>
    </w:p>
    <w:p w14:paraId="36173709" w14:textId="77777777" w:rsidR="00147E07" w:rsidRPr="00063499" w:rsidRDefault="00147E07" w:rsidP="00147E07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063499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063499">
        <w:rPr>
          <w:rFonts w:ascii="Times New Roman" w:hAnsi="Times New Roman" w:cs="Times New Roman"/>
          <w:sz w:val="24"/>
          <w:szCs w:val="24"/>
        </w:rPr>
        <w:t>University of Missouri College of Veterinary Medicine, Columbia, MO 65201, USA.</w:t>
      </w:r>
    </w:p>
    <w:p w14:paraId="33A72ABD" w14:textId="77777777" w:rsidR="00147E07" w:rsidRPr="00063499" w:rsidRDefault="00147E07" w:rsidP="00147E07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Pr="00063499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063499">
        <w:rPr>
          <w:rFonts w:ascii="Times New Roman" w:hAnsi="Times New Roman" w:cs="Times New Roman"/>
          <w:sz w:val="24"/>
          <w:szCs w:val="24"/>
        </w:rPr>
        <w:t>University of Missouri Metagenomics Center, Columbia, MO 65201, USA.</w:t>
      </w:r>
    </w:p>
    <w:p w14:paraId="2F1F5FAA" w14:textId="77777777" w:rsidR="00147E07" w:rsidRPr="00063499" w:rsidRDefault="00147E07" w:rsidP="00147E07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Pr="00063499">
        <w:rPr>
          <w:rFonts w:ascii="Times New Roman" w:hAnsi="Times New Roman" w:cs="Times New Roman"/>
          <w:sz w:val="24"/>
          <w:szCs w:val="24"/>
        </w:rPr>
        <w:t xml:space="preserve"> Mutant Mouse Resource and Research Center, University of Missouri, 4011 Discovery Drive, Columbia, MO 65201, USA.</w:t>
      </w:r>
    </w:p>
    <w:p w14:paraId="414C2B73" w14:textId="55357443" w:rsidR="00147E07" w:rsidRDefault="00147E07" w:rsidP="00147E07">
      <w:pPr>
        <w:rPr>
          <w:rStyle w:val="Hyperlink"/>
          <w:rFonts w:ascii="Times New Roman" w:eastAsiaTheme="minorHAnsi" w:hAnsi="Times New Roman" w:cs="Times New Roman"/>
          <w:color w:val="000000" w:themeColor="text1"/>
          <w:sz w:val="24"/>
          <w:szCs w:val="24"/>
          <w:u w:val="none"/>
          <w:lang w:eastAsia="en-US"/>
        </w:rPr>
      </w:pPr>
      <w:r w:rsidRPr="00063499">
        <w:rPr>
          <w:rFonts w:ascii="Times New Roman" w:hAnsi="Times New Roman" w:cs="Times New Roman"/>
          <w:sz w:val="24"/>
          <w:szCs w:val="24"/>
        </w:rPr>
        <w:t xml:space="preserve">*Co-corresponding authors: Dr. </w:t>
      </w:r>
      <w:r w:rsidRPr="000634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Aaron Ericsson, </w:t>
      </w:r>
      <w:hyperlink r:id="rId6" w:history="1">
        <w:r w:rsidRPr="00063499">
          <w:rPr>
            <w:rStyle w:val="Hyperlink"/>
            <w:rFonts w:ascii="Times New Roman" w:eastAsiaTheme="minorHAnsi" w:hAnsi="Times New Roman" w:cs="Times New Roman"/>
            <w:color w:val="000000" w:themeColor="text1"/>
            <w:sz w:val="24"/>
            <w:szCs w:val="24"/>
            <w:lang w:eastAsia="en-US"/>
          </w:rPr>
          <w:t>ericssona@missouri.edu</w:t>
        </w:r>
      </w:hyperlink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0634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Dr. Craig Franklin, </w:t>
      </w:r>
      <w:hyperlink r:id="rId7" w:history="1">
        <w:r w:rsidRPr="00063499">
          <w:rPr>
            <w:rStyle w:val="Hyperlink"/>
            <w:rFonts w:ascii="Times New Roman" w:eastAsiaTheme="minorHAnsi" w:hAnsi="Times New Roman" w:cs="Times New Roman"/>
            <w:color w:val="000000" w:themeColor="text1"/>
            <w:sz w:val="24"/>
            <w:szCs w:val="24"/>
            <w:lang w:eastAsia="en-US"/>
          </w:rPr>
          <w:t>FranklinC@missouri.edu</w:t>
        </w:r>
      </w:hyperlink>
    </w:p>
    <w:p w14:paraId="7EBA1FDA" w14:textId="77777777" w:rsidR="00147E07" w:rsidRDefault="00147E07">
      <w:pPr>
        <w:rPr>
          <w:rStyle w:val="Hyperlink"/>
          <w:rFonts w:ascii="Times New Roman" w:eastAsiaTheme="minorHAnsi" w:hAnsi="Times New Roman" w:cs="Times New Roman"/>
          <w:color w:val="000000" w:themeColor="text1"/>
          <w:sz w:val="24"/>
          <w:szCs w:val="24"/>
          <w:u w:val="none"/>
          <w:lang w:eastAsia="en-US"/>
        </w:rPr>
      </w:pPr>
      <w:r>
        <w:rPr>
          <w:rStyle w:val="Hyperlink"/>
          <w:rFonts w:ascii="Times New Roman" w:eastAsiaTheme="minorHAnsi" w:hAnsi="Times New Roman" w:cs="Times New Roman"/>
          <w:color w:val="000000" w:themeColor="text1"/>
          <w:sz w:val="24"/>
          <w:szCs w:val="24"/>
          <w:u w:val="none"/>
          <w:lang w:eastAsia="en-US"/>
        </w:rPr>
        <w:br w:type="page"/>
      </w:r>
    </w:p>
    <w:p w14:paraId="53B8021A" w14:textId="2ED86A41" w:rsidR="00147E07" w:rsidRDefault="00147E07" w:rsidP="00147E07">
      <w:pPr>
        <w:rPr>
          <w:rStyle w:val="Hyperlink"/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  <w:u w:val="none"/>
          <w:lang w:eastAsia="en-US"/>
        </w:rPr>
      </w:pPr>
      <w:r w:rsidRPr="00147E07">
        <w:rPr>
          <w:rStyle w:val="Hyperlink"/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  <w:u w:val="none"/>
          <w:lang w:eastAsia="en-US"/>
        </w:rPr>
        <w:lastRenderedPageBreak/>
        <w:t>SUPPLEMENTARY</w:t>
      </w:r>
      <w:r>
        <w:rPr>
          <w:rStyle w:val="Hyperlink"/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  <w:u w:val="none"/>
          <w:lang w:eastAsia="en-US"/>
        </w:rPr>
        <w:t xml:space="preserve"> DATA</w:t>
      </w:r>
    </w:p>
    <w:p w14:paraId="042135AC" w14:textId="77777777" w:rsidR="00045A97" w:rsidRDefault="00045A97" w:rsidP="00045A97">
      <w:pPr>
        <w:pStyle w:val="Heading1"/>
        <w:shd w:val="clear" w:color="auto" w:fill="FFFFFF"/>
        <w:spacing w:before="0" w:beforeAutospacing="0" w:after="480" w:afterAutospacing="0" w:line="480" w:lineRule="auto"/>
        <w:rPr>
          <w:color w:val="111111"/>
          <w:sz w:val="24"/>
          <w:szCs w:val="24"/>
        </w:rPr>
      </w:pPr>
    </w:p>
    <w:p w14:paraId="709F8C2C" w14:textId="404AAC36" w:rsidR="00045A97" w:rsidRPr="003D3C1F" w:rsidRDefault="00045A97" w:rsidP="00045A97">
      <w:pPr>
        <w:pStyle w:val="Heading1"/>
        <w:shd w:val="clear" w:color="auto" w:fill="FFFFFF"/>
        <w:spacing w:before="0" w:beforeAutospacing="0" w:after="480" w:afterAutospacing="0" w:line="480" w:lineRule="auto"/>
        <w:rPr>
          <w:b w:val="0"/>
          <w:bCs w:val="0"/>
          <w:color w:val="111111"/>
          <w:sz w:val="24"/>
          <w:szCs w:val="24"/>
        </w:rPr>
      </w:pPr>
      <w:r w:rsidRPr="003D3C1F">
        <w:rPr>
          <w:color w:val="111111"/>
          <w:sz w:val="24"/>
          <w:szCs w:val="24"/>
        </w:rPr>
        <w:t>Supplementary Figure 1.  Principal Coordinate Analysis plot of</w:t>
      </w:r>
      <w:r>
        <w:rPr>
          <w:color w:val="111111"/>
          <w:sz w:val="24"/>
          <w:szCs w:val="24"/>
        </w:rPr>
        <w:t xml:space="preserve"> fecal samples from 3-week-old mice following GM transfer by different methods</w:t>
      </w:r>
      <w:r w:rsidRPr="003D3C1F">
        <w:rPr>
          <w:color w:val="111111"/>
          <w:sz w:val="24"/>
          <w:szCs w:val="24"/>
        </w:rPr>
        <w:t xml:space="preserve">. </w:t>
      </w:r>
      <w:r w:rsidRPr="003D3C1F">
        <w:rPr>
          <w:b w:val="0"/>
          <w:bCs w:val="0"/>
          <w:color w:val="111111"/>
          <w:sz w:val="24"/>
          <w:szCs w:val="24"/>
        </w:rPr>
        <w:t xml:space="preserve">a </w:t>
      </w:r>
      <w:r w:rsidR="00B62516">
        <w:rPr>
          <w:b w:val="0"/>
          <w:bCs w:val="0"/>
          <w:color w:val="111111"/>
          <w:sz w:val="24"/>
          <w:szCs w:val="24"/>
        </w:rPr>
        <w:t xml:space="preserve">Following transfer of </w:t>
      </w:r>
      <w:r w:rsidRPr="003D3C1F">
        <w:rPr>
          <w:b w:val="0"/>
          <w:bCs w:val="0"/>
          <w:color w:val="111111"/>
          <w:sz w:val="24"/>
          <w:szCs w:val="24"/>
        </w:rPr>
        <w:t>high richness GM4 to B6J mice via embryo transfer (ET), cross fostering (CF), and co-housing (CH)</w:t>
      </w:r>
      <w:r w:rsidR="00B62516">
        <w:rPr>
          <w:b w:val="0"/>
          <w:bCs w:val="0"/>
          <w:color w:val="111111"/>
          <w:sz w:val="24"/>
          <w:szCs w:val="24"/>
        </w:rPr>
        <w:t xml:space="preserve">, fecal samples of </w:t>
      </w:r>
      <w:r w:rsidRPr="003D3C1F">
        <w:rPr>
          <w:b w:val="0"/>
          <w:bCs w:val="0"/>
          <w:color w:val="111111"/>
          <w:sz w:val="24"/>
          <w:szCs w:val="24"/>
        </w:rPr>
        <w:t>3</w:t>
      </w:r>
      <w:r w:rsidR="00B62516">
        <w:rPr>
          <w:b w:val="0"/>
          <w:bCs w:val="0"/>
          <w:color w:val="111111"/>
          <w:sz w:val="24"/>
          <w:szCs w:val="24"/>
        </w:rPr>
        <w:t xml:space="preserve">-week-old mice were </w:t>
      </w:r>
      <w:r w:rsidRPr="003D3C1F">
        <w:rPr>
          <w:b w:val="0"/>
          <w:bCs w:val="0"/>
          <w:color w:val="111111"/>
          <w:sz w:val="24"/>
          <w:szCs w:val="24"/>
        </w:rPr>
        <w:t>compared to CD-1(GM4) donor</w:t>
      </w:r>
      <w:r w:rsidR="00B62516">
        <w:rPr>
          <w:b w:val="0"/>
          <w:bCs w:val="0"/>
          <w:color w:val="111111"/>
          <w:sz w:val="24"/>
          <w:szCs w:val="24"/>
        </w:rPr>
        <w:t>s</w:t>
      </w:r>
      <w:r w:rsidRPr="003D3C1F">
        <w:rPr>
          <w:b w:val="0"/>
          <w:bCs w:val="0"/>
          <w:color w:val="111111"/>
          <w:sz w:val="24"/>
          <w:szCs w:val="24"/>
        </w:rPr>
        <w:t>.</w:t>
      </w:r>
      <w:r w:rsidR="0078193A">
        <w:rPr>
          <w:b w:val="0"/>
          <w:bCs w:val="0"/>
          <w:color w:val="111111"/>
          <w:sz w:val="24"/>
          <w:szCs w:val="24"/>
        </w:rPr>
        <w:t xml:space="preserve"> This analysis revealed a main effect of transfer method</w:t>
      </w:r>
      <w:r w:rsidRPr="003D3C1F">
        <w:rPr>
          <w:b w:val="0"/>
          <w:bCs w:val="0"/>
          <w:color w:val="111111"/>
          <w:sz w:val="24"/>
          <w:szCs w:val="24"/>
        </w:rPr>
        <w:t xml:space="preserve"> (</w:t>
      </w:r>
      <w:r w:rsidRPr="00ED3D9C">
        <w:rPr>
          <w:b w:val="0"/>
          <w:bCs w:val="0"/>
          <w:i/>
          <w:iCs/>
          <w:color w:val="111111"/>
          <w:sz w:val="24"/>
          <w:szCs w:val="24"/>
        </w:rPr>
        <w:t>p</w:t>
      </w:r>
      <w:r w:rsidRPr="003D3C1F">
        <w:rPr>
          <w:b w:val="0"/>
          <w:bCs w:val="0"/>
          <w:color w:val="111111"/>
          <w:sz w:val="24"/>
          <w:szCs w:val="24"/>
        </w:rPr>
        <w:t xml:space="preserve"> = 0.0001; F = 38.51, Bray-Curtis)</w:t>
      </w:r>
      <w:r w:rsidR="0078193A">
        <w:rPr>
          <w:b w:val="0"/>
          <w:bCs w:val="0"/>
          <w:color w:val="111111"/>
          <w:sz w:val="24"/>
          <w:szCs w:val="24"/>
        </w:rPr>
        <w:t xml:space="preserve"> with marked separation of the CH group</w:t>
      </w:r>
      <w:r w:rsidRPr="003D3C1F">
        <w:rPr>
          <w:b w:val="0"/>
          <w:bCs w:val="0"/>
          <w:color w:val="111111"/>
          <w:sz w:val="24"/>
          <w:szCs w:val="24"/>
        </w:rPr>
        <w:t xml:space="preserve">; b </w:t>
      </w:r>
      <w:r w:rsidR="00B62516">
        <w:rPr>
          <w:b w:val="0"/>
          <w:bCs w:val="0"/>
          <w:color w:val="111111"/>
          <w:sz w:val="24"/>
          <w:szCs w:val="24"/>
        </w:rPr>
        <w:t xml:space="preserve">Following transfer of </w:t>
      </w:r>
      <w:r w:rsidRPr="003D3C1F">
        <w:rPr>
          <w:b w:val="0"/>
          <w:bCs w:val="0"/>
          <w:color w:val="111111"/>
          <w:sz w:val="24"/>
          <w:szCs w:val="24"/>
        </w:rPr>
        <w:t xml:space="preserve">low richness GM1 to B6N mice via embryo transfer (ET), cross fostering (CF), and co-housing (CH) </w:t>
      </w:r>
      <w:r w:rsidR="00B62516">
        <w:rPr>
          <w:b w:val="0"/>
          <w:bCs w:val="0"/>
          <w:color w:val="111111"/>
          <w:sz w:val="24"/>
          <w:szCs w:val="24"/>
        </w:rPr>
        <w:t xml:space="preserve">fecal samples of </w:t>
      </w:r>
      <w:r w:rsidRPr="003D3C1F">
        <w:rPr>
          <w:b w:val="0"/>
          <w:bCs w:val="0"/>
          <w:color w:val="111111"/>
          <w:sz w:val="24"/>
          <w:szCs w:val="24"/>
        </w:rPr>
        <w:t>3</w:t>
      </w:r>
      <w:r w:rsidR="00B62516">
        <w:rPr>
          <w:b w:val="0"/>
          <w:bCs w:val="0"/>
          <w:color w:val="111111"/>
          <w:sz w:val="24"/>
          <w:szCs w:val="24"/>
        </w:rPr>
        <w:t xml:space="preserve">-week-old mice were compared to </w:t>
      </w:r>
      <w:r w:rsidRPr="003D3C1F">
        <w:rPr>
          <w:b w:val="0"/>
          <w:bCs w:val="0"/>
          <w:color w:val="111111"/>
          <w:sz w:val="24"/>
          <w:szCs w:val="24"/>
        </w:rPr>
        <w:t>CD-1(GM1) donor</w:t>
      </w:r>
      <w:r w:rsidR="00B62516">
        <w:rPr>
          <w:b w:val="0"/>
          <w:bCs w:val="0"/>
          <w:color w:val="111111"/>
          <w:sz w:val="24"/>
          <w:szCs w:val="24"/>
        </w:rPr>
        <w:t>s</w:t>
      </w:r>
      <w:r w:rsidRPr="003D3C1F">
        <w:rPr>
          <w:b w:val="0"/>
          <w:bCs w:val="0"/>
          <w:color w:val="111111"/>
          <w:sz w:val="24"/>
          <w:szCs w:val="24"/>
        </w:rPr>
        <w:t xml:space="preserve">. </w:t>
      </w:r>
      <w:r w:rsidR="0078193A">
        <w:rPr>
          <w:b w:val="0"/>
          <w:bCs w:val="0"/>
          <w:color w:val="111111"/>
          <w:sz w:val="24"/>
          <w:szCs w:val="24"/>
        </w:rPr>
        <w:t xml:space="preserve">This analysis </w:t>
      </w:r>
      <w:r w:rsidR="0078193A">
        <w:rPr>
          <w:b w:val="0"/>
          <w:bCs w:val="0"/>
          <w:color w:val="111111"/>
          <w:sz w:val="24"/>
          <w:szCs w:val="24"/>
        </w:rPr>
        <w:t xml:space="preserve">also </w:t>
      </w:r>
      <w:r w:rsidR="0078193A">
        <w:rPr>
          <w:b w:val="0"/>
          <w:bCs w:val="0"/>
          <w:color w:val="111111"/>
          <w:sz w:val="24"/>
          <w:szCs w:val="24"/>
        </w:rPr>
        <w:t>revealed a main effect of transfer method</w:t>
      </w:r>
      <w:r w:rsidR="0078193A" w:rsidRPr="003D3C1F">
        <w:rPr>
          <w:b w:val="0"/>
          <w:bCs w:val="0"/>
          <w:color w:val="111111"/>
          <w:sz w:val="24"/>
          <w:szCs w:val="24"/>
        </w:rPr>
        <w:t xml:space="preserve"> </w:t>
      </w:r>
      <w:r w:rsidRPr="003D3C1F">
        <w:rPr>
          <w:b w:val="0"/>
          <w:bCs w:val="0"/>
          <w:color w:val="111111"/>
          <w:sz w:val="24"/>
          <w:szCs w:val="24"/>
        </w:rPr>
        <w:t>(</w:t>
      </w:r>
      <w:r w:rsidRPr="00ED3D9C">
        <w:rPr>
          <w:b w:val="0"/>
          <w:bCs w:val="0"/>
          <w:i/>
          <w:iCs/>
          <w:color w:val="111111"/>
          <w:sz w:val="24"/>
          <w:szCs w:val="24"/>
        </w:rPr>
        <w:t>p</w:t>
      </w:r>
      <w:r w:rsidRPr="003D3C1F">
        <w:rPr>
          <w:b w:val="0"/>
          <w:bCs w:val="0"/>
          <w:color w:val="111111"/>
          <w:sz w:val="24"/>
          <w:szCs w:val="24"/>
        </w:rPr>
        <w:t xml:space="preserve"> = 0.0001; F = 16.43, Bray-Curtis)</w:t>
      </w:r>
      <w:r w:rsidR="0078193A">
        <w:rPr>
          <w:b w:val="0"/>
          <w:bCs w:val="0"/>
          <w:color w:val="111111"/>
          <w:sz w:val="24"/>
          <w:szCs w:val="24"/>
        </w:rPr>
        <w:t xml:space="preserve"> </w:t>
      </w:r>
      <w:r w:rsidR="0078193A">
        <w:rPr>
          <w:b w:val="0"/>
          <w:bCs w:val="0"/>
          <w:color w:val="111111"/>
          <w:sz w:val="24"/>
          <w:szCs w:val="24"/>
        </w:rPr>
        <w:t>with marked separation of the CH group</w:t>
      </w:r>
      <w:r w:rsidRPr="003D3C1F">
        <w:rPr>
          <w:b w:val="0"/>
          <w:bCs w:val="0"/>
          <w:color w:val="111111"/>
          <w:sz w:val="24"/>
          <w:szCs w:val="24"/>
        </w:rPr>
        <w:t>.</w:t>
      </w:r>
    </w:p>
    <w:p w14:paraId="15906480" w14:textId="2BA99406" w:rsidR="00147E07" w:rsidRDefault="00147E07" w:rsidP="00147E07">
      <w:pPr>
        <w:rPr>
          <w:rStyle w:val="Hyperlink"/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  <w:u w:val="none"/>
          <w:lang w:eastAsia="en-US"/>
        </w:rPr>
      </w:pPr>
      <w:r>
        <w:rPr>
          <w:rFonts w:ascii="Times New Roman" w:eastAsiaTheme="minorHAnsi" w:hAnsi="Times New Roman" w:cs="Times New Roman"/>
          <w:b/>
          <w:bCs/>
          <w:noProof/>
          <w:color w:val="000000" w:themeColor="text1"/>
          <w:sz w:val="24"/>
          <w:szCs w:val="24"/>
          <w:lang w:eastAsia="en-US"/>
        </w:rPr>
        <w:drawing>
          <wp:inline distT="0" distB="0" distL="0" distR="0" wp14:anchorId="4D2A802A" wp14:editId="0BFAB2CA">
            <wp:extent cx="6298962" cy="2038350"/>
            <wp:effectExtent l="0" t="0" r="6985" b="0"/>
            <wp:docPr id="2" name="Picture 2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hart, scatter chart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8061" cy="2041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A07D34" w14:textId="77777777" w:rsidR="00147E07" w:rsidRPr="00147E07" w:rsidRDefault="00147E07" w:rsidP="00147E07">
      <w:pPr>
        <w:rPr>
          <w:rStyle w:val="Hyperlink"/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  <w:u w:val="none"/>
          <w:lang w:eastAsia="en-US"/>
        </w:rPr>
      </w:pPr>
    </w:p>
    <w:sectPr w:rsidR="00147E07" w:rsidRPr="00147E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31EB39" w14:textId="77777777" w:rsidR="00147E07" w:rsidRDefault="00147E07" w:rsidP="00147E07">
      <w:pPr>
        <w:spacing w:after="0" w:line="240" w:lineRule="auto"/>
      </w:pPr>
      <w:r>
        <w:separator/>
      </w:r>
    </w:p>
  </w:endnote>
  <w:endnote w:type="continuationSeparator" w:id="0">
    <w:p w14:paraId="4F703415" w14:textId="77777777" w:rsidR="00147E07" w:rsidRDefault="00147E07" w:rsidP="00147E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36A1CA" w14:textId="77777777" w:rsidR="00147E07" w:rsidRDefault="00147E07" w:rsidP="00147E07">
      <w:pPr>
        <w:spacing w:after="0" w:line="240" w:lineRule="auto"/>
      </w:pPr>
      <w:r>
        <w:separator/>
      </w:r>
    </w:p>
  </w:footnote>
  <w:footnote w:type="continuationSeparator" w:id="0">
    <w:p w14:paraId="2BCA43DA" w14:textId="77777777" w:rsidR="00147E07" w:rsidRDefault="00147E07" w:rsidP="00147E0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LY0tDSxMDQzsjC1tDRV0lEKTi0uzszPAykwrAUA3x0LACwAAAA="/>
  </w:docVars>
  <w:rsids>
    <w:rsidRoot w:val="002B031B"/>
    <w:rsid w:val="00045A97"/>
    <w:rsid w:val="00147E07"/>
    <w:rsid w:val="00182F3A"/>
    <w:rsid w:val="00285793"/>
    <w:rsid w:val="002B031B"/>
    <w:rsid w:val="002F1EC2"/>
    <w:rsid w:val="003D3C1F"/>
    <w:rsid w:val="005F1AFA"/>
    <w:rsid w:val="0078193A"/>
    <w:rsid w:val="00B62516"/>
    <w:rsid w:val="00C55A57"/>
    <w:rsid w:val="00C63A06"/>
    <w:rsid w:val="00DF69D8"/>
    <w:rsid w:val="00ED3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64F584"/>
  <w15:chartTrackingRefBased/>
  <w15:docId w15:val="{54405F46-0BE3-4F54-BB2B-5D367FAAD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7E07"/>
    <w:rPr>
      <w:rFonts w:eastAsiaTheme="minorEastAsia"/>
      <w:lang w:eastAsia="zh-CN"/>
    </w:rPr>
  </w:style>
  <w:style w:type="paragraph" w:styleId="Heading1">
    <w:name w:val="heading 1"/>
    <w:basedOn w:val="Normal"/>
    <w:link w:val="Heading1Char"/>
    <w:uiPriority w:val="9"/>
    <w:qFormat/>
    <w:rsid w:val="003D3C1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47E07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47E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7E07"/>
    <w:rPr>
      <w:rFonts w:eastAsiaTheme="minorEastAsia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147E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7E07"/>
    <w:rPr>
      <w:rFonts w:eastAsiaTheme="minorEastAsia"/>
      <w:lang w:eastAsia="zh-CN"/>
    </w:rPr>
  </w:style>
  <w:style w:type="character" w:customStyle="1" w:styleId="Heading1Char">
    <w:name w:val="Heading 1 Char"/>
    <w:basedOn w:val="DefaultParagraphFont"/>
    <w:link w:val="Heading1"/>
    <w:uiPriority w:val="9"/>
    <w:rsid w:val="003D3C1F"/>
    <w:rPr>
      <w:rFonts w:ascii="Times New Roman" w:eastAsia="Times New Roman" w:hAnsi="Times New Roman" w:cs="Times New Roman"/>
      <w:b/>
      <w:bCs/>
      <w:kern w:val="36"/>
      <w:sz w:val="48"/>
      <w:szCs w:val="4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309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"/><Relationship Id="rId3" Type="http://schemas.openxmlformats.org/officeDocument/2006/relationships/webSettings" Target="webSettings.xml"/><Relationship Id="rId7" Type="http://schemas.openxmlformats.org/officeDocument/2006/relationships/hyperlink" Target="about:blan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about:blank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257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Yang, Ming</dc:creator>
  <cp:keywords/>
  <dc:description/>
  <cp:lastModifiedBy>Franklin, Craig</cp:lastModifiedBy>
  <cp:revision>13</cp:revision>
  <dcterms:created xsi:type="dcterms:W3CDTF">2021-12-14T01:38:00Z</dcterms:created>
  <dcterms:modified xsi:type="dcterms:W3CDTF">2021-12-16T15:44:00Z</dcterms:modified>
</cp:coreProperties>
</file>