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CFE" w:rsidRPr="00F85882" w:rsidRDefault="00F85882" w:rsidP="00086573">
      <w:pPr>
        <w:widowControl w:val="0"/>
        <w:spacing w:line="480" w:lineRule="auto"/>
        <w:jc w:val="both"/>
        <w:rPr>
          <w:b/>
        </w:rPr>
      </w:pPr>
      <w:r>
        <w:rPr>
          <w:b/>
        </w:rPr>
        <w:t>C</w:t>
      </w:r>
      <w:r w:rsidR="000C6CFE" w:rsidRPr="00F85882">
        <w:rPr>
          <w:b/>
        </w:rPr>
        <w:t>onstruction</w:t>
      </w:r>
      <w:r>
        <w:rPr>
          <w:b/>
        </w:rPr>
        <w:t xml:space="preserve"> of PPI Network Topology</w:t>
      </w:r>
    </w:p>
    <w:p w:rsidR="000C6CFE" w:rsidRDefault="000C6CFE" w:rsidP="00086573">
      <w:pPr>
        <w:widowControl w:val="0"/>
        <w:spacing w:line="480" w:lineRule="auto"/>
        <w:jc w:val="both"/>
      </w:pPr>
      <w:r>
        <w:t xml:space="preserve">Protein-protein interaction data was integrated from </w:t>
      </w:r>
      <w:proofErr w:type="spellStart"/>
      <w:r>
        <w:t>STRINGdb</w:t>
      </w:r>
      <w:proofErr w:type="spellEnd"/>
      <w:r>
        <w:t xml:space="preserve"> version 11</w:t>
      </w:r>
      <w:r w:rsidR="00EB0A90">
        <w:fldChar w:fldCharType="begin"/>
      </w:r>
      <w:r w:rsidR="00EB0A90">
        <w:instrText xml:space="preserve"> ADDIN EN.CITE &lt;EndNote&gt;&lt;Cite&gt;&lt;Author&gt;Szklarczyk&lt;/Author&gt;&lt;Year&gt;2019&lt;/Year&gt;&lt;RecNum&gt;1&lt;/RecNum&gt;&lt;DisplayText&gt;&lt;style face="superscript"&gt;1&lt;/style&gt;&lt;/DisplayText&gt;&lt;record&gt;&lt;rec-number&gt;1&lt;/rec-number&gt;&lt;foreign-keys&gt;&lt;key app="EN" db-id="55z9s2zflxffxeewsswpvxrlps5es2dvztww" timestamp="1646251066"&gt;1&lt;/key&gt;&lt;/foreign-keys&gt;&lt;ref-type name="Journal Article"&gt;17&lt;/ref-type&gt;&lt;contributors&gt;&lt;authors&gt;&lt;author&gt;Szklarczyk, Damian&lt;/author&gt;&lt;author&gt;Gable, Annika L&lt;/author&gt;&lt;author&gt;Lyon, David&lt;/author&gt;&lt;author&gt;Junge, Alexander&lt;/author&gt;&lt;author&gt;Wyder, Stefan&lt;/author&gt;&lt;author&gt;Huerta-Cepas, Jaime&lt;/author&gt;&lt;author&gt;Simonovic, Milan&lt;/author&gt;&lt;author&gt;Doncheva, Nadezhda T&lt;/author&gt;&lt;author&gt;Morris, John H&lt;/author&gt;&lt;author&gt;Bork, Peer&lt;/author&gt;&lt;/authors&gt;&lt;/contributors&gt;&lt;titles&gt;&lt;title&gt;STRING v11: protein–protein association networks with increased coverage, supporting functional discovery in genome-wide experimental datasets&lt;/title&gt;&lt;secondary-title&gt;Nucleic acids research&lt;/secondary-title&gt;&lt;/titles&gt;&lt;periodical&gt;&lt;full-title&gt;Nucleic acids research&lt;/full-title&gt;&lt;/periodical&gt;&lt;pages&gt;D607-D613&lt;/pages&gt;&lt;volume&gt;47&lt;/volume&gt;&lt;number&gt;D1&lt;/number&gt;&lt;dates&gt;&lt;year&gt;2019&lt;/year&gt;&lt;/dates&gt;&lt;isbn&gt;0305-1048&lt;/isbn&gt;&lt;urls&gt;&lt;/urls&gt;&lt;/record&gt;&lt;/Cite&gt;&lt;/EndNote&gt;</w:instrText>
      </w:r>
      <w:r w:rsidR="00EB0A90">
        <w:fldChar w:fldCharType="separate"/>
      </w:r>
      <w:r w:rsidR="00EB0A90" w:rsidRPr="00EB0A90">
        <w:rPr>
          <w:noProof/>
          <w:vertAlign w:val="superscript"/>
        </w:rPr>
        <w:t>1</w:t>
      </w:r>
      <w:r w:rsidR="00EB0A90">
        <w:fldChar w:fldCharType="end"/>
      </w:r>
      <w:r>
        <w:t xml:space="preserve">. Interaction data was provided as a list of edges, with start- and end-vertices corresponding to individual proteins of each interaction. To ensure high-confidence interactions, an experiment score cut-off of &gt;0.9 was applied. Additionally, a previously described PPI </w:t>
      </w:r>
      <w:proofErr w:type="spellStart"/>
      <w:r>
        <w:t>sparsification</w:t>
      </w:r>
      <w:proofErr w:type="spellEnd"/>
      <w:r>
        <w:t xml:space="preserve"> procedure was applied to remove likely false positive interactions based on GO subcellular localization terms</w:t>
      </w:r>
      <w:r w:rsidR="00EB0A90">
        <w:fldChar w:fldCharType="begin"/>
      </w:r>
      <w:r w:rsidR="00EB0A90">
        <w:instrText xml:space="preserve"> ADDIN EN.CITE &lt;EndNote&gt;&lt;Cite&gt;&lt;Author&gt;Banerji&lt;/Author&gt;&lt;Year&gt;2013&lt;/Year&gt;&lt;RecNum&gt;2&lt;/RecNum&gt;&lt;DisplayText&gt;&lt;style face="superscript"&gt;2&lt;/style&gt;&lt;/DisplayText&gt;&lt;record&gt;&lt;rec-number&gt;2&lt;/rec-number&gt;&lt;foreign-keys&gt;&lt;key app="EN" db-id="55z9s2zflxffxeewsswpvxrlps5es2dvztww" timestamp="1646251114"&gt;2&lt;/key&gt;&lt;/foreign-keys&gt;&lt;ref-type name="Journal Article"&gt;17&lt;/ref-type&gt;&lt;contributors&gt;&lt;authors&gt;&lt;author&gt;Banerji, Christopher RS&lt;/author&gt;&lt;author&gt;Miranda-Saavedra, Diego&lt;/author&gt;&lt;author&gt;Severini, Simone&lt;/author&gt;&lt;author&gt;Widschwendter, Martin&lt;/author&gt;&lt;author&gt;Enver, Tariq&lt;/author&gt;&lt;author&gt;Zhou, Joseph X&lt;/author&gt;&lt;author&gt;Teschendorff, Andrew E&lt;/author&gt;&lt;/authors&gt;&lt;/contributors&gt;&lt;titles&gt;&lt;title&gt;Cellular network entropy as the energy potential in Waddington&amp;apos;s differentiation landscape&lt;/title&gt;&lt;secondary-title&gt;Scientific reports&lt;/secondary-title&gt;&lt;/titles&gt;&lt;periodical&gt;&lt;full-title&gt;Scientific reports&lt;/full-title&gt;&lt;/periodical&gt;&lt;pages&gt;1-7&lt;/pages&gt;&lt;volume&gt;3&lt;/volume&gt;&lt;number&gt;1&lt;/number&gt;&lt;dates&gt;&lt;year&gt;2013&lt;/year&gt;&lt;/dates&gt;&lt;isbn&gt;2045-2322&lt;/isbn&gt;&lt;urls&gt;&lt;/urls&gt;&lt;/record&gt;&lt;/Cite&gt;&lt;/EndNote&gt;</w:instrText>
      </w:r>
      <w:r w:rsidR="00EB0A90">
        <w:fldChar w:fldCharType="separate"/>
      </w:r>
      <w:r w:rsidR="00EB0A90" w:rsidRPr="00EB0A90">
        <w:rPr>
          <w:noProof/>
          <w:vertAlign w:val="superscript"/>
        </w:rPr>
        <w:t>2</w:t>
      </w:r>
      <w:r w:rsidR="00EB0A90">
        <w:fldChar w:fldCharType="end"/>
      </w:r>
      <w:r>
        <w:t>.</w:t>
      </w:r>
    </w:p>
    <w:p w:rsidR="000C6CFE" w:rsidRPr="00F85882" w:rsidRDefault="000C6CFE" w:rsidP="00086573">
      <w:pPr>
        <w:widowControl w:val="0"/>
        <w:spacing w:line="480" w:lineRule="auto"/>
        <w:jc w:val="both"/>
        <w:rPr>
          <w:i/>
          <w:u w:val="single"/>
        </w:rPr>
      </w:pPr>
      <w:r w:rsidRPr="00F85882">
        <w:rPr>
          <w:i/>
          <w:u w:val="single"/>
        </w:rPr>
        <w:t>1-Dimensional graph model</w:t>
      </w:r>
    </w:p>
    <w:p w:rsidR="000C6CFE" w:rsidRDefault="000C6CFE" w:rsidP="00086573">
      <w:pPr>
        <w:widowControl w:val="0"/>
        <w:spacing w:line="480" w:lineRule="auto"/>
        <w:jc w:val="both"/>
      </w:pPr>
      <w:r>
        <w:t xml:space="preserve">To represent </w:t>
      </w:r>
      <w:r w:rsidR="00BC0ACA">
        <w:t xml:space="preserve">the PPI network as </w:t>
      </w:r>
      <w:r>
        <w:t>a (1-dimensional) graph, an adjacency matrix of size |V|</w:t>
      </w:r>
      <w:r w:rsidR="00F85882" w:rsidRPr="00F85882">
        <w:t>×</w:t>
      </w:r>
      <w:r>
        <w:t xml:space="preserve">|V| was defined with entries of 1 or 0 corresponding to the presence of an edge between vertices. After taking the largest strongly connected component, this graph served as a the topological basis for the 1-dimensional (1D) </w:t>
      </w:r>
      <w:r w:rsidR="00BC0ACA">
        <w:t>interaction</w:t>
      </w:r>
      <w:r>
        <w:t xml:space="preserve"> network model.</w:t>
      </w:r>
    </w:p>
    <w:p w:rsidR="000C6CFE" w:rsidRPr="00F85882" w:rsidRDefault="000C6CFE" w:rsidP="00086573">
      <w:pPr>
        <w:widowControl w:val="0"/>
        <w:spacing w:line="480" w:lineRule="auto"/>
        <w:jc w:val="both"/>
        <w:rPr>
          <w:i/>
          <w:u w:val="single"/>
        </w:rPr>
      </w:pPr>
      <w:r w:rsidRPr="00F85882">
        <w:rPr>
          <w:i/>
          <w:u w:val="single"/>
        </w:rPr>
        <w:t xml:space="preserve">2-Dimensional simplicial complex </w:t>
      </w:r>
      <w:r w:rsidR="002F12CB">
        <w:rPr>
          <w:i/>
          <w:u w:val="single"/>
        </w:rPr>
        <w:t xml:space="preserve">(hypergraph) </w:t>
      </w:r>
      <w:r w:rsidRPr="00F85882">
        <w:rPr>
          <w:i/>
          <w:u w:val="single"/>
        </w:rPr>
        <w:t>model</w:t>
      </w:r>
    </w:p>
    <w:p w:rsidR="000C6CFE" w:rsidRDefault="000C6CFE" w:rsidP="00086573">
      <w:pPr>
        <w:widowControl w:val="0"/>
        <w:spacing w:line="480" w:lineRule="auto"/>
        <w:jc w:val="both"/>
      </w:pPr>
      <w:r>
        <w:t xml:space="preserve">Extension of the </w:t>
      </w:r>
      <w:r w:rsidR="002F12CB">
        <w:t>1D</w:t>
      </w:r>
      <w:r>
        <w:t xml:space="preserve"> graph to </w:t>
      </w:r>
      <w:r w:rsidR="00BC0ACA">
        <w:t xml:space="preserve">a hypergraph </w:t>
      </w:r>
      <w:r>
        <w:t xml:space="preserve">was accomplished by defining </w:t>
      </w:r>
      <w:r w:rsidR="00BC0ACA">
        <w:t xml:space="preserve">a 2-dimensional simplicial complex with </w:t>
      </w:r>
      <w:r>
        <w:t>2-dimensional faces where triangles were formed by three vertices sharing three respective edges. Each triangle was identified by its unique triplet of vertices. The resulting 2-dimensional simplicial complex was used as the topological basis for the 2-dimensional (2D) interaction network model.</w:t>
      </w:r>
    </w:p>
    <w:p w:rsidR="000C6CFE" w:rsidRDefault="000C6CFE" w:rsidP="00086573">
      <w:pPr>
        <w:widowControl w:val="0"/>
        <w:spacing w:line="480" w:lineRule="auto"/>
        <w:jc w:val="both"/>
      </w:pPr>
    </w:p>
    <w:p w:rsidR="000C6CFE" w:rsidRPr="00F85882" w:rsidRDefault="00F85882" w:rsidP="00086573">
      <w:pPr>
        <w:widowControl w:val="0"/>
        <w:spacing w:line="480" w:lineRule="auto"/>
        <w:jc w:val="both"/>
        <w:rPr>
          <w:b/>
        </w:rPr>
      </w:pPr>
      <w:r>
        <w:rPr>
          <w:b/>
        </w:rPr>
        <w:t>Weighted PPI Network Model</w:t>
      </w:r>
    </w:p>
    <w:p w:rsidR="008A3794" w:rsidRDefault="000C6CFE" w:rsidP="00086573">
      <w:pPr>
        <w:widowControl w:val="0"/>
        <w:spacing w:line="480" w:lineRule="auto"/>
        <w:jc w:val="both"/>
      </w:pPr>
      <w:r>
        <w:t xml:space="preserve">The weighted network was defined on the intersection of the gene expression data and the PPI topology, that is vertices without matching gene expression data or genes without corresponding vertices in the PPI network were discarded. From the resulting network </w:t>
      </w:r>
      <w:r>
        <w:lastRenderedPageBreak/>
        <w:t>containing the intersection of the data, the largest strongly connected component was taken as the graph model. In the 2D model, faces were identified as described above. Weights were then assigned to the vertices, edges, and faces if present.</w:t>
      </w:r>
    </w:p>
    <w:p w:rsidR="000C6CFE" w:rsidRPr="00F85882" w:rsidRDefault="000C6CFE" w:rsidP="00086573">
      <w:pPr>
        <w:widowControl w:val="0"/>
        <w:spacing w:line="480" w:lineRule="auto"/>
        <w:jc w:val="both"/>
        <w:rPr>
          <w:i/>
          <w:u w:val="single"/>
        </w:rPr>
      </w:pPr>
      <w:r w:rsidRPr="00F85882">
        <w:rPr>
          <w:i/>
          <w:u w:val="single"/>
        </w:rPr>
        <w:t>Stochastic interaction network weights</w:t>
      </w:r>
    </w:p>
    <w:p w:rsidR="000C6CFE" w:rsidRDefault="000C6CFE" w:rsidP="00086573">
      <w:pPr>
        <w:widowControl w:val="0"/>
        <w:spacing w:line="480" w:lineRule="auto"/>
        <w:jc w:val="both"/>
      </w:pPr>
      <w:r>
        <w:t xml:space="preserve">For a given sample of gene expression, vertex weights were defined as the (pre-processed) expression value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rsidR="00F85882">
        <w:rPr>
          <w:rFonts w:eastAsiaTheme="minorEastAsia"/>
        </w:rPr>
        <w:t xml:space="preserve"> </w:t>
      </w:r>
      <w:r>
        <w:t>of the gene corresponding to vertex</w:t>
      </w:r>
      <w:r w:rsidR="00F85882">
        <w:t xml:space="preserve"> </w:t>
      </w:r>
      <m:oMath>
        <m:r>
          <w:rPr>
            <w:rFonts w:ascii="Cambria Math" w:hAnsi="Cambria Math"/>
          </w:rPr>
          <m:t>i</m:t>
        </m:r>
      </m:oMath>
      <w:r>
        <w:t xml:space="preserve"> in the PPI network as a direct estimate of protein level</w:t>
      </w:r>
      <w:r w:rsidR="00EB0A90">
        <w:fldChar w:fldCharType="begin"/>
      </w:r>
      <w:r w:rsidR="00EB0A90">
        <w:instrText xml:space="preserve"> ADDIN EN.CITE &lt;EndNote&gt;&lt;Cite&gt;&lt;Author&gt;Gry&lt;/Author&gt;&lt;Year&gt;2009&lt;/Year&gt;&lt;RecNum&gt;3&lt;/RecNum&gt;&lt;DisplayText&gt;&lt;style face="superscript"&gt;3&lt;/style&gt;&lt;/DisplayText&gt;&lt;record&gt;&lt;rec-number&gt;3&lt;/rec-number&gt;&lt;foreign-keys&gt;&lt;key app="EN" db-id="55z9s2zflxffxeewsswpvxrlps5es2dvztww" timestamp="1646251145"&gt;3&lt;/key&gt;&lt;/foreign-keys&gt;&lt;ref-type name="Journal Article"&gt;17&lt;/ref-type&gt;&lt;contributors&gt;&lt;authors&gt;&lt;author&gt;Gry, Marcus&lt;/author&gt;&lt;author&gt;Rimini, Rebecca&lt;/author&gt;&lt;author&gt;Strömberg, Sara&lt;/author&gt;&lt;author&gt;Asplund, Anna&lt;/author&gt;&lt;author&gt;Pontén, Fredrik&lt;/author&gt;&lt;author&gt;Uhlén, Mathias&lt;/author&gt;&lt;author&gt;Nilsson, Peter&lt;/author&gt;&lt;/authors&gt;&lt;/contributors&gt;&lt;titles&gt;&lt;title&gt;Correlations between RNA and protein expression profiles in 23 human cell lines&lt;/title&gt;&lt;secondary-title&gt;BMC genomics&lt;/secondary-title&gt;&lt;/titles&gt;&lt;periodical&gt;&lt;full-title&gt;BMC genomics&lt;/full-title&gt;&lt;/periodical&gt;&lt;pages&gt;1-14&lt;/pages&gt;&lt;volume&gt;10&lt;/volume&gt;&lt;number&gt;1&lt;/number&gt;&lt;dates&gt;&lt;year&gt;2009&lt;/year&gt;&lt;/dates&gt;&lt;isbn&gt;1471-2164&lt;/isbn&gt;&lt;urls&gt;&lt;/urls&gt;&lt;/record&gt;&lt;/Cite&gt;&lt;/EndNote&gt;</w:instrText>
      </w:r>
      <w:r w:rsidR="00EB0A90">
        <w:fldChar w:fldCharType="separate"/>
      </w:r>
      <w:r w:rsidR="00EB0A90" w:rsidRPr="00EB0A90">
        <w:rPr>
          <w:noProof/>
          <w:vertAlign w:val="superscript"/>
        </w:rPr>
        <w:t>3</w:t>
      </w:r>
      <w:r w:rsidR="00EB0A90">
        <w:fldChar w:fldCharType="end"/>
      </w:r>
      <w:r>
        <w:t>:</w:t>
      </w:r>
    </w:p>
    <w:p w:rsidR="000C6CFE" w:rsidRDefault="00F85882" w:rsidP="00086573">
      <w:pPr>
        <w:widowControl w:val="0"/>
        <w:spacing w:line="480" w:lineRule="auto"/>
        <w:jc w:val="both"/>
      </w:pPr>
      <m:oMathPara>
        <m:oMath>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oMath>
      </m:oMathPara>
    </w:p>
    <w:p w:rsidR="000C6CFE" w:rsidRDefault="004F6D1D" w:rsidP="00086573">
      <w:pPr>
        <w:widowControl w:val="0"/>
        <w:spacing w:line="480" w:lineRule="auto"/>
        <w:jc w:val="both"/>
      </w:pPr>
      <w:r>
        <w:tab/>
      </w:r>
      <w:r w:rsidR="000C6CFE">
        <w:t>Interaction probabilities were defined (as previously described</w:t>
      </w:r>
      <w:r w:rsidR="00EB0A90">
        <w:fldChar w:fldCharType="begin"/>
      </w:r>
      <w:r w:rsidR="00EB0A90">
        <w:instrText xml:space="preserve"> ADDIN EN.CITE &lt;EndNote&gt;&lt;Cite&gt;&lt;Author&gt;Teschendorff&lt;/Author&gt;&lt;Year&gt;2014&lt;/Year&gt;&lt;RecNum&gt;4&lt;/RecNum&gt;&lt;DisplayText&gt;&lt;style face="superscript"&gt;4&lt;/style&gt;&lt;/DisplayText&gt;&lt;record&gt;&lt;rec-number&gt;4&lt;/rec-number&gt;&lt;foreign-keys&gt;&lt;key app="EN" db-id="55z9s2zflxffxeewsswpvxrlps5es2dvztww" timestamp="1646251170"&gt;4&lt;/key&gt;&lt;/foreign-keys&gt;&lt;ref-type name="Journal Article"&gt;17&lt;/ref-type&gt;&lt;contributors&gt;&lt;authors&gt;&lt;author&gt;Teschendorff, Andrew E&lt;/author&gt;&lt;author&gt;Sollich, Peter&lt;/author&gt;&lt;author&gt;Kuehn, Reimer&lt;/author&gt;&lt;/authors&gt;&lt;/contributors&gt;&lt;titles&gt;&lt;title&gt;Signalling entropy: A novel network-theoretical framework for systems analysis and interpretation of functional omic data&lt;/title&gt;&lt;secondary-title&gt;Methods&lt;/secondary-title&gt;&lt;/titles&gt;&lt;periodical&gt;&lt;full-title&gt;Methods&lt;/full-title&gt;&lt;/periodical&gt;&lt;pages&gt;282-293&lt;/pages&gt;&lt;volume&gt;67&lt;/volume&gt;&lt;number&gt;3&lt;/number&gt;&lt;dates&gt;&lt;year&gt;2014&lt;/year&gt;&lt;/dates&gt;&lt;isbn&gt;1046-2023&lt;/isbn&gt;&lt;urls&gt;&lt;/urls&gt;&lt;/record&gt;&lt;/Cite&gt;&lt;/EndNote&gt;</w:instrText>
      </w:r>
      <w:r w:rsidR="00EB0A90">
        <w:fldChar w:fldCharType="separate"/>
      </w:r>
      <w:r w:rsidR="00EB0A90" w:rsidRPr="00EB0A90">
        <w:rPr>
          <w:noProof/>
          <w:vertAlign w:val="superscript"/>
        </w:rPr>
        <w:t>4</w:t>
      </w:r>
      <w:r w:rsidR="00EB0A90">
        <w:fldChar w:fldCharType="end"/>
      </w:r>
      <w:r w:rsidR="000C6CFE">
        <w:t>) using the mass action law, which states the rate of interaction is proportional to the amount of the reactant proteins, corresponding to the product of the expression values of the two vertices of a given edge. These mass-action products were then normalized by the sum of all outgoing products at each vertex. The normalized mass-action products</w:t>
      </w:r>
      <w:r w:rsidR="00F85882">
        <w:t xml:space="preserve">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rsidR="000C6CFE">
        <w:t xml:space="preserve"> represent the probability of interaction of a given protein with each of its interacting partners, similar to the transition probability of a Markov random walk:</w:t>
      </w:r>
    </w:p>
    <w:p w:rsidR="000C6CFE" w:rsidRPr="000037C6" w:rsidRDefault="002260E8" w:rsidP="00086573">
      <w:pPr>
        <w:widowControl w:val="0"/>
        <w:spacing w:line="480" w:lineRule="auto"/>
        <w:jc w:val="both"/>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ij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i</m:t>
                  </m:r>
                </m:sub>
              </m:sSub>
              <m:sSub>
                <m:sSubPr>
                  <m:ctrlPr>
                    <w:rPr>
                      <w:rFonts w:ascii="Cambria Math" w:hAnsi="Cambria Math"/>
                      <w:i/>
                    </w:rPr>
                  </m:ctrlPr>
                </m:sSubPr>
                <m:e>
                  <m:r>
                    <w:rPr>
                      <w:rFonts w:ascii="Cambria Math" w:hAnsi="Cambria Math"/>
                    </w:rPr>
                    <m:t>E</m:t>
                  </m:r>
                </m:e>
                <m:sub>
                  <m:r>
                    <w:rPr>
                      <w:rFonts w:ascii="Cambria Math" w:hAnsi="Cambria Math"/>
                    </w:rPr>
                    <m:t>j</m:t>
                  </m:r>
                </m:sub>
              </m:sSub>
            </m:num>
            <m:den>
              <m:nary>
                <m:naryPr>
                  <m:chr m:val="∑"/>
                  <m:limLoc m:val="undOvr"/>
                  <m:supHide m:val="1"/>
                  <m:ctrlPr>
                    <w:rPr>
                      <w:rFonts w:ascii="Cambria Math" w:hAnsi="Cambria Math"/>
                      <w:i/>
                    </w:rPr>
                  </m:ctrlPr>
                </m:naryPr>
                <m:sub>
                  <m:r>
                    <w:rPr>
                      <w:rFonts w:ascii="Cambria Math" w:hAnsi="Cambria Math"/>
                    </w:rPr>
                    <m:t>k∈N</m:t>
                  </m:r>
                  <m:d>
                    <m:dPr>
                      <m:ctrlPr>
                        <w:rPr>
                          <w:rFonts w:ascii="Cambria Math" w:hAnsi="Cambria Math"/>
                          <w:i/>
                        </w:rPr>
                      </m:ctrlPr>
                    </m:dPr>
                    <m:e>
                      <m:r>
                        <w:rPr>
                          <w:rFonts w:ascii="Cambria Math" w:hAnsi="Cambria Math"/>
                        </w:rPr>
                        <m:t>i</m:t>
                      </m:r>
                    </m:e>
                  </m:d>
                </m:sub>
                <m:sup/>
                <m:e>
                  <m:sSub>
                    <m:sSubPr>
                      <m:ctrlPr>
                        <w:rPr>
                          <w:rFonts w:ascii="Cambria Math" w:hAnsi="Cambria Math"/>
                          <w:i/>
                        </w:rPr>
                      </m:ctrlPr>
                    </m:sSubPr>
                    <m:e>
                      <m:r>
                        <w:rPr>
                          <w:rFonts w:ascii="Cambria Math" w:hAnsi="Cambria Math"/>
                        </w:rPr>
                        <m:t>E</m:t>
                      </m:r>
                    </m:e>
                    <m:sub>
                      <m:r>
                        <w:rPr>
                          <w:rFonts w:ascii="Cambria Math" w:hAnsi="Cambria Math"/>
                        </w:rPr>
                        <m:t>i</m:t>
                      </m:r>
                    </m:sub>
                  </m:sSub>
                  <m:sSub>
                    <m:sSubPr>
                      <m:ctrlPr>
                        <w:rPr>
                          <w:rFonts w:ascii="Cambria Math" w:hAnsi="Cambria Math"/>
                          <w:i/>
                        </w:rPr>
                      </m:ctrlPr>
                    </m:sSubPr>
                    <m:e>
                      <m:r>
                        <w:rPr>
                          <w:rFonts w:ascii="Cambria Math" w:hAnsi="Cambria Math"/>
                        </w:rPr>
                        <m:t>E</m:t>
                      </m:r>
                    </m:e>
                    <m:sub>
                      <m:r>
                        <w:rPr>
                          <w:rFonts w:ascii="Cambria Math" w:hAnsi="Cambria Math"/>
                        </w:rPr>
                        <m:t>k</m:t>
                      </m:r>
                    </m:sub>
                  </m:sSub>
                </m:e>
              </m:nary>
            </m:den>
          </m:f>
          <m:r>
            <w:rPr>
              <w:rFonts w:ascii="Cambria Math" w:hAnsi="Cambria Math"/>
            </w:rPr>
            <m:t>,</m:t>
          </m:r>
        </m:oMath>
      </m:oMathPara>
    </w:p>
    <w:p w:rsidR="000037C6" w:rsidRDefault="000037C6" w:rsidP="00086573">
      <w:pPr>
        <w:widowControl w:val="0"/>
        <w:spacing w:line="480" w:lineRule="auto"/>
        <w:jc w:val="both"/>
      </w:pPr>
      <w:r>
        <w:t xml:space="preserve">where </w:t>
      </w:r>
      <m:oMath>
        <m:r>
          <w:rPr>
            <w:rFonts w:ascii="Cambria Math" w:hAnsi="Cambria Math"/>
          </w:rPr>
          <m:t>N</m:t>
        </m:r>
        <m:d>
          <m:dPr>
            <m:ctrlPr>
              <w:rPr>
                <w:rFonts w:ascii="Cambria Math" w:hAnsi="Cambria Math"/>
                <w:i/>
              </w:rPr>
            </m:ctrlPr>
          </m:dPr>
          <m:e>
            <m:r>
              <w:rPr>
                <w:rFonts w:ascii="Cambria Math" w:hAnsi="Cambria Math"/>
              </w:rPr>
              <m:t>i</m:t>
            </m:r>
          </m:e>
        </m:d>
      </m:oMath>
      <w:r>
        <w:rPr>
          <w:rFonts w:eastAsiaTheme="minorEastAsia"/>
        </w:rPr>
        <w:t xml:space="preserve"> denotes the</w:t>
      </w:r>
      <w:r w:rsidR="00300B21">
        <w:rPr>
          <w:rFonts w:eastAsiaTheme="minorEastAsia"/>
        </w:rPr>
        <w:t xml:space="preserve"> indices</w:t>
      </w:r>
      <w:r>
        <w:rPr>
          <w:rFonts w:eastAsiaTheme="minorEastAsia"/>
        </w:rPr>
        <w:t xml:space="preserve"> </w:t>
      </w:r>
      <w:r w:rsidR="00300B21">
        <w:rPr>
          <w:rFonts w:eastAsiaTheme="minorEastAsia"/>
        </w:rPr>
        <w:t xml:space="preserve">of </w:t>
      </w:r>
      <w:r w:rsidR="00CA4091">
        <w:rPr>
          <w:rFonts w:eastAsiaTheme="minorEastAsia"/>
        </w:rPr>
        <w:t xml:space="preserve">neighboring </w:t>
      </w:r>
      <w:r>
        <w:rPr>
          <w:rFonts w:eastAsiaTheme="minorEastAsia"/>
        </w:rPr>
        <w:t xml:space="preserve">vertices </w:t>
      </w:r>
      <w:r w:rsidR="00CA4091">
        <w:rPr>
          <w:rFonts w:eastAsiaTheme="minorEastAsia"/>
        </w:rPr>
        <w:t>adjacent to</w:t>
      </w:r>
      <w:r>
        <w:rPr>
          <w:rFonts w:eastAsiaTheme="minorEastAsia"/>
        </w:rPr>
        <w:t xml:space="preserve"> vertex </w:t>
      </w:r>
      <m:oMath>
        <m:r>
          <w:rPr>
            <w:rFonts w:ascii="Cambria Math" w:hAnsi="Cambria Math"/>
          </w:rPr>
          <m:t>i</m:t>
        </m:r>
      </m:oMath>
      <w:r>
        <w:rPr>
          <w:rFonts w:eastAsiaTheme="minorEastAsia"/>
        </w:rPr>
        <w:t>.</w:t>
      </w:r>
    </w:p>
    <w:p w:rsidR="000C6CFE" w:rsidRDefault="004F6D1D" w:rsidP="00086573">
      <w:pPr>
        <w:widowControl w:val="0"/>
        <w:spacing w:line="480" w:lineRule="auto"/>
        <w:jc w:val="both"/>
      </w:pPr>
      <w:r>
        <w:tab/>
      </w:r>
      <w:r w:rsidR="000C6CFE">
        <w:t>We then utilize</w:t>
      </w:r>
      <w:r w:rsidR="00F85882">
        <w:t>d</w:t>
      </w:r>
      <w:r w:rsidR="000C6CFE">
        <w:t xml:space="preserve"> the interaction probability to define geometric weights on edges using a resistance transformation, defined as the inverse of the product of the out-degree</w:t>
      </w:r>
      <w:r w:rsidR="00F85882">
        <w:t xml:space="preserve"> </w:t>
      </w:r>
      <m:oMath>
        <m:sSub>
          <m:sSubPr>
            <m:ctrlPr>
              <w:rPr>
                <w:rFonts w:ascii="Cambria Math" w:hAnsi="Cambria Math"/>
                <w:i/>
              </w:rPr>
            </m:ctrlPr>
          </m:sSubPr>
          <m:e>
            <m:r>
              <w:rPr>
                <w:rFonts w:ascii="Cambria Math" w:hAnsi="Cambria Math"/>
              </w:rPr>
              <m:t>deg</m:t>
            </m:r>
          </m:e>
          <m:sub>
            <m:r>
              <w:rPr>
                <w:rFonts w:ascii="Cambria Math" w:hAnsi="Cambria Math"/>
              </w:rPr>
              <m:t>out</m:t>
            </m:r>
          </m:sub>
        </m:sSub>
      </m:oMath>
      <w:r w:rsidR="000C6CFE">
        <w:t xml:space="preserve"> of the </w:t>
      </w:r>
      <w:r w:rsidR="000037C6">
        <w:t xml:space="preserve">start </w:t>
      </w:r>
      <w:r w:rsidR="000C6CFE">
        <w:t>vertex times the interaction probability</w:t>
      </w:r>
      <w:r w:rsidR="00CA4091">
        <w:t xml:space="preserve">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rsidR="00CA4091">
        <w:t xml:space="preserve"> o</w:t>
      </w:r>
      <w:r w:rsidR="000C6CFE">
        <w:t>f that edge:</w:t>
      </w:r>
    </w:p>
    <w:p w:rsidR="00F85882" w:rsidRDefault="00F85882" w:rsidP="00086573">
      <w:pPr>
        <w:widowControl w:val="0"/>
        <w:spacing w:line="480" w:lineRule="auto"/>
        <w:jc w:val="both"/>
      </w:pPr>
      <m:oMathPara>
        <m:oMath>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ij</m:t>
                  </m:r>
                </m:sub>
              </m:sSub>
            </m:e>
          </m:d>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deg</m:t>
                      </m:r>
                    </m:e>
                    <m:sub>
                      <m:r>
                        <w:rPr>
                          <w:rFonts w:ascii="Cambria Math" w:hAnsi="Cambria Math"/>
                        </w:rPr>
                        <m:t>out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ij</m:t>
                      </m:r>
                    </m:sub>
                  </m:sSub>
                </m:e>
              </m:d>
            </m:e>
            <m:sup>
              <m:r>
                <w:rPr>
                  <w:rFonts w:ascii="Cambria Math" w:hAnsi="Cambria Math"/>
                </w:rPr>
                <m:t>-1</m:t>
              </m:r>
            </m:sup>
          </m:sSup>
          <m:r>
            <w:rPr>
              <w:rFonts w:ascii="Cambria Math" w:hAnsi="Cambria Math"/>
            </w:rPr>
            <m:t>.</m:t>
          </m:r>
        </m:oMath>
      </m:oMathPara>
    </w:p>
    <w:p w:rsidR="000C6CFE" w:rsidRDefault="000C6CFE" w:rsidP="00086573">
      <w:pPr>
        <w:widowControl w:val="0"/>
        <w:spacing w:line="480" w:lineRule="auto"/>
        <w:jc w:val="both"/>
      </w:pPr>
      <w:r>
        <w:t xml:space="preserve">This resistance transformation directly relates to commuting times of a random walk and </w:t>
      </w:r>
      <w:r>
        <w:lastRenderedPageBreak/>
        <w:t>satisfies metric properties except for the symmetry condition</w:t>
      </w:r>
      <w:r w:rsidR="00EB0A90">
        <w:fldChar w:fldCharType="begin"/>
      </w:r>
      <w:r w:rsidR="00E83730">
        <w:instrText xml:space="preserve"> ADDIN EN.CITE &lt;EndNote&gt;&lt;Cite&gt;&lt;Author&gt;Göbel&lt;/Author&gt;&lt;Year&gt;1974&lt;/Year&gt;&lt;RecNum&gt;5&lt;/RecNum&gt;&lt;DisplayText&gt;&lt;style face="superscript"&gt;5,6&lt;/style&gt;&lt;/DisplayText&gt;&lt;record&gt;&lt;rec-number&gt;5&lt;/rec-number&gt;&lt;foreign-keys&gt;&lt;key app="EN" db-id="55z9s2zflxffxeewsswpvxrlps5es2dvztww" timestamp="1646251221"&gt;5&lt;/key&gt;&lt;/foreign-keys&gt;&lt;ref-type name="Journal Article"&gt;17&lt;/ref-type&gt;&lt;contributors&gt;&lt;authors&gt;&lt;author&gt;Göbel, F&lt;/author&gt;&lt;author&gt;Jagers, AA&lt;/author&gt;&lt;/authors&gt;&lt;/contributors&gt;&lt;titles&gt;&lt;title&gt;Random walks on graphs&lt;/title&gt;&lt;secondary-title&gt;Stochastic processes and their applications&lt;/secondary-title&gt;&lt;/titles&gt;&lt;periodical&gt;&lt;full-title&gt;Stochastic processes and their applications&lt;/full-title&gt;&lt;/periodical&gt;&lt;pages&gt;311-336&lt;/pages&gt;&lt;volume&gt;2&lt;/volume&gt;&lt;number&gt;4&lt;/number&gt;&lt;dates&gt;&lt;year&gt;1974&lt;/year&gt;&lt;/dates&gt;&lt;isbn&gt;0304-4149&lt;/isbn&gt;&lt;urls&gt;&lt;/urls&gt;&lt;/record&gt;&lt;/Cite&gt;&lt;Cite&gt;&lt;Author&gt;Devriendt&lt;/Author&gt;&lt;Year&gt;2022&lt;/Year&gt;&lt;RecNum&gt;6&lt;/RecNum&gt;&lt;record&gt;&lt;rec-number&gt;6&lt;/rec-number&gt;&lt;foreign-keys&gt;&lt;key app="EN" db-id="55z9s2zflxffxeewsswpvxrlps5es2dvztww" timestamp="1646251245"&gt;6&lt;/key&gt;&lt;/foreign-keys&gt;&lt;ref-type name="Journal Article"&gt;17&lt;/ref-type&gt;&lt;contributors&gt;&lt;authors&gt;&lt;author&gt;Devriendt, Karel&lt;/author&gt;&lt;/authors&gt;&lt;/contributors&gt;&lt;titles&gt;&lt;title&gt;Effective resistance is more than distance: Laplacians, Simplices and the Schur complement&lt;/title&gt;&lt;secondary-title&gt;Linear Algebra and its Applications&lt;/secondary-title&gt;&lt;/titles&gt;&lt;periodical&gt;&lt;full-title&gt;Linear Algebra and its Applications&lt;/full-title&gt;&lt;/periodical&gt;&lt;dates&gt;&lt;year&gt;2022&lt;/year&gt;&lt;/dates&gt;&lt;isbn&gt;0024-3795&lt;/isbn&gt;&lt;urls&gt;&lt;/urls&gt;&lt;/record&gt;&lt;/Cite&gt;&lt;/EndNote&gt;</w:instrText>
      </w:r>
      <w:r w:rsidR="00EB0A90">
        <w:fldChar w:fldCharType="separate"/>
      </w:r>
      <w:r w:rsidR="00E83730" w:rsidRPr="00E83730">
        <w:rPr>
          <w:noProof/>
          <w:vertAlign w:val="superscript"/>
        </w:rPr>
        <w:t>5,6</w:t>
      </w:r>
      <w:r w:rsidR="00EB0A90">
        <w:fldChar w:fldCharType="end"/>
      </w:r>
      <w:r>
        <w:t>. Intuitively, a low interaction probability equates to a large resistance and vice versa, thereby ascribing a geometric ``distance'' from interaction probability which we consider as edge weights. By using this definition, the network inherently becomes a directed network (even if the topology was originally undirected) because the probability of interaction and resulting resistance metric between two proteins is generally not equal in both directions.</w:t>
      </w:r>
    </w:p>
    <w:p w:rsidR="000C6CFE" w:rsidRDefault="004F6D1D" w:rsidP="00086573">
      <w:pPr>
        <w:widowControl w:val="0"/>
        <w:spacing w:line="480" w:lineRule="auto"/>
        <w:jc w:val="both"/>
      </w:pPr>
      <w:r>
        <w:tab/>
      </w:r>
      <w:r w:rsidR="000C6CFE">
        <w:t xml:space="preserve">In the 2D </w:t>
      </w:r>
      <w:r w:rsidR="00300B21">
        <w:t xml:space="preserve">(hypergraph) </w:t>
      </w:r>
      <w:r w:rsidR="000C6CFE">
        <w:t>model, faces were defined as all sets of 3 vertices with shared edges among all vertices. In the directed network, faces are only considered in the feedforward (+) or feedback (</w:t>
      </w:r>
      <w:r w:rsidR="005734FC">
        <w:t>–</w:t>
      </w:r>
      <w:r w:rsidR="000C6CFE">
        <w:t xml:space="preserve">) orientations with respect to a given edge (Fig. </w:t>
      </w:r>
      <w:r w:rsidR="00AD1157">
        <w:t xml:space="preserve">2 </w:t>
      </w:r>
      <w:r w:rsidR="00E83730">
        <w:t>of</w:t>
      </w:r>
      <w:r w:rsidR="00AD1157">
        <w:t xml:space="preserve"> main text</w:t>
      </w:r>
      <w:r w:rsidR="000C6CFE">
        <w:t>). Face weights were defined directly from the edge weights of a face as the geometric mean of the edge weights squared, analogous to area as the square of length. Because of face orientation, weights of edges in the relevant orientation were considered and the orientation was used to ascribed a positive or negative sign to the face weight:</w:t>
      </w:r>
    </w:p>
    <w:p w:rsidR="000C6CFE" w:rsidRPr="008A3794" w:rsidRDefault="00AD1157" w:rsidP="00086573">
      <w:pPr>
        <w:widowControl w:val="0"/>
        <w:spacing w:line="480" w:lineRule="auto"/>
        <w:jc w:val="both"/>
        <w:rPr>
          <w:rFonts w:eastAsiaTheme="minorEastAsia"/>
        </w:rPr>
      </w:pPr>
      <m:oMathPara>
        <m:oMath>
          <m:r>
            <w:rPr>
              <w:rFonts w:ascii="Cambria Math" w:eastAsiaTheme="minorEastAsia" w:hAnsi="Cambria Math"/>
            </w:rPr>
            <m:t>w</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ijk</m:t>
                  </m:r>
                </m:sub>
                <m:sup>
                  <m:r>
                    <w:rPr>
                      <w:rFonts w:ascii="Cambria Math" w:eastAsiaTheme="minorEastAsia" w:hAnsi="Cambria Math"/>
                    </w:rPr>
                    <m:t>+</m:t>
                  </m:r>
                </m:sup>
              </m:sSubSup>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ij</m:t>
                      </m:r>
                    </m:sub>
                  </m:sSub>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ik</m:t>
                      </m:r>
                    </m:sub>
                  </m:sSub>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kj</m:t>
                      </m:r>
                    </m:sub>
                  </m:sSub>
                  <m:r>
                    <w:rPr>
                      <w:rFonts w:ascii="Cambria Math" w:eastAsiaTheme="minorEastAsia" w:hAnsi="Cambria Math"/>
                    </w:rPr>
                    <m:t>)</m:t>
                  </m:r>
                </m:e>
              </m:d>
            </m:e>
            <m:sup>
              <m:r>
                <w:rPr>
                  <w:rFonts w:ascii="Cambria Math" w:eastAsiaTheme="minorEastAsia" w:hAnsi="Cambria Math"/>
                </w:rPr>
                <m:t>2/3</m:t>
              </m:r>
            </m:sup>
          </m:sSup>
          <m:r>
            <w:rPr>
              <w:rFonts w:ascii="Cambria Math" w:eastAsiaTheme="minorEastAsia" w:hAnsi="Cambria Math"/>
            </w:rPr>
            <m:t>,      w</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ijk</m:t>
                  </m:r>
                </m:sub>
                <m:sup>
                  <m:r>
                    <w:rPr>
                      <w:rFonts w:ascii="Cambria Math" w:eastAsiaTheme="minorEastAsia" w:hAnsi="Cambria Math"/>
                    </w:rPr>
                    <m:t>-</m:t>
                  </m:r>
                </m:sup>
              </m:sSubSup>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ij</m:t>
                      </m:r>
                    </m:sub>
                  </m:sSub>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jk</m:t>
                      </m:r>
                    </m:sub>
                  </m:sSub>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ki</m:t>
                      </m:r>
                    </m:sub>
                  </m:sSub>
                  <m:r>
                    <w:rPr>
                      <w:rFonts w:ascii="Cambria Math" w:eastAsiaTheme="minorEastAsia" w:hAnsi="Cambria Math"/>
                    </w:rPr>
                    <m:t>)</m:t>
                  </m:r>
                </m:e>
              </m:d>
            </m:e>
            <m:sup>
              <m:r>
                <w:rPr>
                  <w:rFonts w:ascii="Cambria Math" w:eastAsiaTheme="minorEastAsia" w:hAnsi="Cambria Math"/>
                </w:rPr>
                <m:t>2/3</m:t>
              </m:r>
            </m:sup>
          </m:sSup>
          <m:r>
            <w:rPr>
              <w:rFonts w:ascii="Cambria Math" w:eastAsiaTheme="minorEastAsia" w:hAnsi="Cambria Math"/>
            </w:rPr>
            <m:t>.</m:t>
          </m:r>
        </m:oMath>
      </m:oMathPara>
    </w:p>
    <w:p w:rsidR="000C6CFE" w:rsidRDefault="000C6CFE" w:rsidP="00086573">
      <w:pPr>
        <w:widowControl w:val="0"/>
        <w:spacing w:line="480" w:lineRule="auto"/>
        <w:jc w:val="both"/>
      </w:pPr>
    </w:p>
    <w:p w:rsidR="000C6CFE" w:rsidRPr="00AD1157" w:rsidRDefault="000C6CFE" w:rsidP="00086573">
      <w:pPr>
        <w:widowControl w:val="0"/>
        <w:spacing w:line="480" w:lineRule="auto"/>
        <w:jc w:val="both"/>
        <w:rPr>
          <w:i/>
          <w:u w:val="single"/>
        </w:rPr>
      </w:pPr>
      <w:r w:rsidRPr="00AD1157">
        <w:rPr>
          <w:i/>
          <w:u w:val="single"/>
        </w:rPr>
        <w:t>Network Forman-Ricci curvature computation</w:t>
      </w:r>
    </w:p>
    <w:p w:rsidR="000C6CFE" w:rsidRDefault="000C6CFE" w:rsidP="00086573">
      <w:pPr>
        <w:widowControl w:val="0"/>
        <w:spacing w:line="480" w:lineRule="auto"/>
        <w:jc w:val="both"/>
      </w:pPr>
      <w:proofErr w:type="spellStart"/>
      <w:r>
        <w:t>Eqs</w:t>
      </w:r>
      <w:proofErr w:type="spellEnd"/>
      <w:r>
        <w:t xml:space="preserve">. </w:t>
      </w:r>
      <w:r w:rsidR="00E83730">
        <w:t>(</w:t>
      </w:r>
      <w:r w:rsidR="00CC168A">
        <w:t>2</w:t>
      </w:r>
      <w:r w:rsidR="00E83730">
        <w:t>)</w:t>
      </w:r>
      <w:r>
        <w:t xml:space="preserve"> and </w:t>
      </w:r>
      <w:r w:rsidR="00E83730">
        <w:t>(</w:t>
      </w:r>
      <w:r w:rsidR="00CC168A">
        <w:t>3</w:t>
      </w:r>
      <w:r w:rsidR="00E83730">
        <w:t>)</w:t>
      </w:r>
      <w:r>
        <w:t xml:space="preserve"> </w:t>
      </w:r>
      <w:r w:rsidR="00E83730">
        <w:t>of</w:t>
      </w:r>
      <w:r w:rsidR="004F6D1D">
        <w:t xml:space="preserve"> main text</w:t>
      </w:r>
      <w:r w:rsidR="00BC0ACA">
        <w:t xml:space="preserve"> </w:t>
      </w:r>
      <w:r>
        <w:t xml:space="preserve">were applied as the definitions of Forman-Ricci curvature on the 2D and 1D models, respectively. These combinatorial definitions, which are used to calculate curvature on </w:t>
      </w:r>
      <w:r w:rsidRPr="005734FC">
        <w:rPr>
          <w:i/>
        </w:rPr>
        <w:t>edges</w:t>
      </w:r>
      <w:r>
        <w:t xml:space="preserve">, depend solely on the weights of the edge of interest, incident vertices (and faces in the 2D model), and parallel edges. The resulting edge curvature values were contracted to vertex curvature as the mean of incoming minus outgoing edge curvatures, and a global weighted average of vertex curvature was calculated using the stationary </w:t>
      </w:r>
      <w:r w:rsidR="00996AEE">
        <w:t xml:space="preserve">(invariant) </w:t>
      </w:r>
      <w:r>
        <w:t xml:space="preserve">distribution </w:t>
      </w:r>
      <m:oMath>
        <m:r>
          <w:rPr>
            <w:rFonts w:ascii="Cambria Math" w:hAnsi="Cambria Math"/>
          </w:rPr>
          <m:t>π</m:t>
        </m:r>
      </m:oMath>
      <w:r w:rsidR="001D401D">
        <w:t xml:space="preserve"> </w:t>
      </w:r>
      <w:r>
        <w:t xml:space="preserve">of </w:t>
      </w:r>
      <w:r w:rsidR="00996AEE">
        <w:t xml:space="preserve">the network </w:t>
      </w:r>
      <w:r>
        <w:t xml:space="preserve">as the contribution </w:t>
      </w:r>
      <w:r>
        <w:lastRenderedPageBreak/>
        <w:t xml:space="preserve">of each vertex in the weighted average (Eq. </w:t>
      </w:r>
      <w:r w:rsidR="00E83730">
        <w:t>(</w:t>
      </w:r>
      <w:r w:rsidR="00CC168A">
        <w:t>4</w:t>
      </w:r>
      <w:r w:rsidR="00E83730">
        <w:t>)</w:t>
      </w:r>
      <w:r w:rsidR="004F6D1D">
        <w:t xml:space="preserve"> of main text</w:t>
      </w:r>
      <w:r>
        <w:t xml:space="preserve">). </w:t>
      </w:r>
      <m:oMath>
        <m:r>
          <w:rPr>
            <w:rFonts w:ascii="Cambria Math" w:hAnsi="Cambria Math"/>
          </w:rPr>
          <m:t>π</m:t>
        </m:r>
      </m:oMath>
      <w:r w:rsidR="00996AEE">
        <w:t xml:space="preserve"> was computed as the normalized first eigenvector of the interaction probability matrix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rsidR="00996AEE">
        <w:t xml:space="preserve">, representing the equilibrium distribution of a Markov random walk over the network. </w:t>
      </w:r>
      <w:r>
        <w:t>Altogether, for each sample of gene expression data this approach resulted in a length |E| vector of edge Forman-Ricci curvatures, a length |V| vector of vertex curvatures and a</w:t>
      </w:r>
      <w:r w:rsidR="00BC0ACA">
        <w:t xml:space="preserve"> single</w:t>
      </w:r>
      <w:r>
        <w:t xml:space="preserve"> scalar global weighted average curvature.</w:t>
      </w:r>
    </w:p>
    <w:p w:rsidR="000C6CFE" w:rsidRDefault="000C6CFE" w:rsidP="00086573">
      <w:pPr>
        <w:widowControl w:val="0"/>
        <w:spacing w:line="480" w:lineRule="auto"/>
        <w:jc w:val="both"/>
      </w:pPr>
    </w:p>
    <w:p w:rsidR="000C6CFE" w:rsidRPr="00AD1157" w:rsidRDefault="000C6CFE" w:rsidP="00086573">
      <w:pPr>
        <w:widowControl w:val="0"/>
        <w:spacing w:line="480" w:lineRule="auto"/>
        <w:jc w:val="both"/>
        <w:rPr>
          <w:i/>
          <w:u w:val="single"/>
        </w:rPr>
      </w:pPr>
      <w:r w:rsidRPr="00AD1157">
        <w:rPr>
          <w:i/>
          <w:u w:val="single"/>
        </w:rPr>
        <w:t>Network entropy computation</w:t>
      </w:r>
    </w:p>
    <w:p w:rsidR="000C6CFE" w:rsidRDefault="000C6CFE" w:rsidP="00086573">
      <w:pPr>
        <w:widowControl w:val="0"/>
        <w:spacing w:line="480" w:lineRule="auto"/>
        <w:jc w:val="both"/>
      </w:pPr>
      <w:r>
        <w:t xml:space="preserve">Network entropy was computed using the same interaction probabilities </w:t>
      </w:r>
      <m:oMath>
        <m:sSub>
          <m:sSubPr>
            <m:ctrlPr>
              <w:rPr>
                <w:rFonts w:ascii="Cambria Math" w:hAnsi="Cambria Math"/>
                <w:i/>
              </w:rPr>
            </m:ctrlPr>
          </m:sSubPr>
          <m:e>
            <m:r>
              <w:rPr>
                <w:rFonts w:ascii="Cambria Math" w:hAnsi="Cambria Math"/>
              </w:rPr>
              <m:t>p</m:t>
            </m:r>
          </m:e>
          <m:sub>
            <m:r>
              <w:rPr>
                <w:rFonts w:ascii="Cambria Math" w:hAnsi="Cambria Math"/>
              </w:rPr>
              <m:t>ij</m:t>
            </m:r>
          </m:sub>
        </m:sSub>
      </m:oMath>
      <w:r w:rsidR="005734FC">
        <w:t xml:space="preserve"> d</w:t>
      </w:r>
      <w:r>
        <w:t>escribed above</w:t>
      </w:r>
      <w:r w:rsidR="00E83730">
        <w:fldChar w:fldCharType="begin"/>
      </w:r>
      <w:r w:rsidR="00E83730">
        <w:instrText xml:space="preserve"> ADDIN EN.CITE &lt;EndNote&gt;&lt;Cite&gt;&lt;Author&gt;Teschendorff&lt;/Author&gt;&lt;Year&gt;2014&lt;/Year&gt;&lt;RecNum&gt;4&lt;/RecNum&gt;&lt;DisplayText&gt;&lt;style face="superscript"&gt;4&lt;/style&gt;&lt;/DisplayText&gt;&lt;record&gt;&lt;rec-number&gt;4&lt;/rec-number&gt;&lt;foreign-keys&gt;&lt;key app="EN" db-id="55z9s2zflxffxeewsswpvxrlps5es2dvztww" timestamp="1646251170"&gt;4&lt;/key&gt;&lt;/foreign-keys&gt;&lt;ref-type name="Journal Article"&gt;17&lt;/ref-type&gt;&lt;contributors&gt;&lt;authors&gt;&lt;author&gt;Teschendorff, Andrew E&lt;/author&gt;&lt;author&gt;Sollich, Peter&lt;/author&gt;&lt;author&gt;Kuehn, Reimer&lt;/author&gt;&lt;/authors&gt;&lt;/contributors&gt;&lt;titles&gt;&lt;title&gt;Signalling entropy: A novel network-theoretical framework for systems analysis and interpretation of functional omic data&lt;/title&gt;&lt;secondary-title&gt;Methods&lt;/secondary-title&gt;&lt;/titles&gt;&lt;periodical&gt;&lt;full-title&gt;Methods&lt;/full-title&gt;&lt;/periodical&gt;&lt;pages&gt;282-293&lt;/pages&gt;&lt;volume&gt;67&lt;/volume&gt;&lt;number&gt;3&lt;/number&gt;&lt;dates&gt;&lt;year&gt;2014&lt;/year&gt;&lt;/dates&gt;&lt;isbn&gt;1046-2023&lt;/isbn&gt;&lt;urls&gt;&lt;/urls&gt;&lt;/record&gt;&lt;/Cite&gt;&lt;/EndNote&gt;</w:instrText>
      </w:r>
      <w:r w:rsidR="00E83730">
        <w:fldChar w:fldCharType="separate"/>
      </w:r>
      <w:r w:rsidR="00E83730" w:rsidRPr="00EB0A90">
        <w:rPr>
          <w:noProof/>
          <w:vertAlign w:val="superscript"/>
        </w:rPr>
        <w:t>4</w:t>
      </w:r>
      <w:r w:rsidR="00E83730">
        <w:fldChar w:fldCharType="end"/>
      </w:r>
      <w:r>
        <w:t xml:space="preserve">. From this Markov-chain-like stochastic network, Shannon entropy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t xml:space="preserve"> was computed locally at each vertex; local entropy was then averaged over the stationary distribution </w:t>
      </w:r>
      <m:oMath>
        <m:r>
          <w:rPr>
            <w:rFonts w:ascii="Cambria Math" w:hAnsi="Cambria Math"/>
          </w:rPr>
          <m:t>π</m:t>
        </m:r>
      </m:oMath>
      <w:r>
        <w:t xml:space="preserve"> of the network to compute a global entropy rate </w:t>
      </w:r>
      <m:oMath>
        <m:r>
          <w:rPr>
            <w:rFonts w:ascii="Cambria Math" w:hAnsi="Cambria Math"/>
          </w:rPr>
          <m:t>SR</m:t>
        </m:r>
      </m:oMath>
      <w:r>
        <w:t>:</w:t>
      </w:r>
    </w:p>
    <w:p w:rsidR="000C6CFE" w:rsidRPr="00CA4091" w:rsidRDefault="002260E8" w:rsidP="00086573">
      <w:pPr>
        <w:widowControl w:val="0"/>
        <w:spacing w:line="480" w:lineRule="auto"/>
        <w:jc w:val="both"/>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j∈N(i)</m:t>
              </m:r>
            </m:sub>
            <m:sup/>
            <m:e>
              <m:sSub>
                <m:sSubPr>
                  <m:ctrlPr>
                    <w:rPr>
                      <w:rFonts w:ascii="Cambria Math" w:hAnsi="Cambria Math"/>
                      <w:i/>
                    </w:rPr>
                  </m:ctrlPr>
                </m:sSubPr>
                <m:e>
                  <m:r>
                    <w:rPr>
                      <w:rFonts w:ascii="Cambria Math" w:hAnsi="Cambria Math"/>
                    </w:rPr>
                    <m:t>p</m:t>
                  </m:r>
                </m:e>
                <m:sub>
                  <m:r>
                    <w:rPr>
                      <w:rFonts w:ascii="Cambria Math" w:hAnsi="Cambria Math"/>
                    </w:rPr>
                    <m:t>ij</m:t>
                  </m:r>
                </m:sub>
              </m:sSub>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p</m:t>
                      </m:r>
                    </m:e>
                    <m:sub>
                      <m:r>
                        <w:rPr>
                          <w:rFonts w:ascii="Cambria Math" w:hAnsi="Cambria Math"/>
                        </w:rPr>
                        <m:t>ij</m:t>
                      </m:r>
                    </m:sub>
                  </m:sSub>
                </m:e>
              </m:func>
            </m:e>
          </m:nary>
          <m:r>
            <w:rPr>
              <w:rFonts w:ascii="Cambria Math" w:hAnsi="Cambria Math"/>
            </w:rPr>
            <m:t>,  SR=</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π</m:t>
                  </m:r>
                </m:e>
                <m:sub>
                  <m:r>
                    <w:rPr>
                      <w:rFonts w:ascii="Cambria Math" w:hAnsi="Cambria Math"/>
                    </w:rPr>
                    <m:t>i</m:t>
                  </m:r>
                </m:sub>
              </m:sSub>
              <m:sSub>
                <m:sSubPr>
                  <m:ctrlPr>
                    <w:rPr>
                      <w:rFonts w:ascii="Cambria Math" w:hAnsi="Cambria Math"/>
                      <w:i/>
                    </w:rPr>
                  </m:ctrlPr>
                </m:sSubPr>
                <m:e>
                  <m:r>
                    <w:rPr>
                      <w:rFonts w:ascii="Cambria Math" w:hAnsi="Cambria Math"/>
                    </w:rPr>
                    <m:t>S</m:t>
                  </m:r>
                </m:e>
                <m:sub>
                  <m:r>
                    <w:rPr>
                      <w:rFonts w:ascii="Cambria Math" w:hAnsi="Cambria Math"/>
                    </w:rPr>
                    <m:t>i</m:t>
                  </m:r>
                </m:sub>
              </m:sSub>
            </m:e>
          </m:nary>
          <m:r>
            <w:rPr>
              <w:rFonts w:ascii="Cambria Math" w:hAnsi="Cambria Math"/>
            </w:rPr>
            <m:t>,</m:t>
          </m:r>
        </m:oMath>
      </m:oMathPara>
    </w:p>
    <w:p w:rsidR="00CA4091" w:rsidRDefault="00CA4091" w:rsidP="00086573">
      <w:pPr>
        <w:widowControl w:val="0"/>
        <w:spacing w:line="480" w:lineRule="auto"/>
        <w:jc w:val="both"/>
      </w:pPr>
      <w:r>
        <w:t xml:space="preserve">where stationary distribution </w:t>
      </w:r>
      <m:oMath>
        <m:r>
          <w:rPr>
            <w:rFonts w:ascii="Cambria Math" w:hAnsi="Cambria Math"/>
          </w:rPr>
          <m:t>π</m:t>
        </m:r>
      </m:oMath>
      <w:r>
        <w:rPr>
          <w:rFonts w:eastAsiaTheme="minorEastAsia"/>
        </w:rPr>
        <w:t xml:space="preserve"> </w:t>
      </w:r>
      <w:r w:rsidR="00996AEE">
        <w:rPr>
          <w:rFonts w:eastAsiaTheme="minorEastAsia"/>
        </w:rPr>
        <w:t xml:space="preserve">was </w:t>
      </w:r>
      <w:r>
        <w:rPr>
          <w:rFonts w:eastAsiaTheme="minorEastAsia"/>
        </w:rPr>
        <w:t xml:space="preserve">calculated as </w:t>
      </w:r>
      <w:r w:rsidR="00BC0ACA">
        <w:rPr>
          <w:rFonts w:eastAsiaTheme="minorEastAsia"/>
        </w:rPr>
        <w:t>above</w:t>
      </w:r>
      <w:r>
        <w:rPr>
          <w:rFonts w:eastAsiaTheme="minorEastAsia"/>
        </w:rPr>
        <w:t>.</w:t>
      </w:r>
    </w:p>
    <w:p w:rsidR="000C6CFE" w:rsidRDefault="00996AEE" w:rsidP="00086573">
      <w:pPr>
        <w:widowControl w:val="0"/>
        <w:spacing w:line="480" w:lineRule="auto"/>
        <w:jc w:val="both"/>
      </w:pPr>
      <w:r>
        <w:tab/>
      </w:r>
      <w:r w:rsidR="000C6CFE">
        <w:t xml:space="preserve">Shannon entropy measures the expected information content of a probabilistic event; in </w:t>
      </w:r>
      <w:r>
        <w:t xml:space="preserve">a </w:t>
      </w:r>
      <w:r w:rsidR="000C6CFE">
        <w:t>PPI</w:t>
      </w:r>
      <w:r>
        <w:t xml:space="preserve"> network</w:t>
      </w:r>
      <w:r w:rsidR="000C6CFE">
        <w:t xml:space="preserve"> this can be interpreted as the relative randomness of a protein's interactions with its partners. The maximum possible entropy at a vertex occurs when all neighboring edges have equal probability of interaction and the minimum occurs when all probability lies on a single edge. In this sense, higher entropy describes a less ``committed'' state of the network and decreases as the network ``commits'' to specific proteins and interactions</w:t>
      </w:r>
      <w:r w:rsidR="00EB0A90">
        <w:fldChar w:fldCharType="begin"/>
      </w:r>
      <w:r w:rsidR="00EB0A90">
        <w:instrText xml:space="preserve"> ADDIN EN.CITE &lt;EndNote&gt;&lt;Cite&gt;&lt;Author&gt;Teschendorff&lt;/Author&gt;&lt;Year&gt;2017&lt;/Year&gt;&lt;RecNum&gt;7&lt;/RecNum&gt;&lt;DisplayText&gt;&lt;style face="superscript"&gt;7&lt;/style&gt;&lt;/DisplayText&gt;&lt;record&gt;&lt;rec-number&gt;7&lt;/rec-number&gt;&lt;foreign-keys&gt;&lt;key app="EN" db-id="55z9s2zflxffxeewsswpvxrlps5es2dvztww" timestamp="1646251346"&gt;7&lt;/key&gt;&lt;/foreign-keys&gt;&lt;ref-type name="Journal Article"&gt;17&lt;/ref-type&gt;&lt;contributors&gt;&lt;authors&gt;&lt;author&gt;Teschendorff, Andrew E&lt;/author&gt;&lt;author&gt;Enver, Tariq&lt;/author&gt;&lt;/authors&gt;&lt;/contributors&gt;&lt;titles&gt;&lt;title&gt;Single-cell entropy for accurate estimation of differentiation potency from a cell’s transcriptome&lt;/title&gt;&lt;secondary-title&gt;Nature communications&lt;/secondary-title&gt;&lt;/titles&gt;&lt;periodical&gt;&lt;full-title&gt;Nature communications&lt;/full-title&gt;&lt;/periodical&gt;&lt;pages&gt;1-15&lt;/pages&gt;&lt;volume&gt;8&lt;/volume&gt;&lt;number&gt;1&lt;/number&gt;&lt;dates&gt;&lt;year&gt;2017&lt;/year&gt;&lt;/dates&gt;&lt;isbn&gt;2041-1723&lt;/isbn&gt;&lt;urls&gt;&lt;/urls&gt;&lt;/record&gt;&lt;/Cite&gt;&lt;/EndNote&gt;</w:instrText>
      </w:r>
      <w:r w:rsidR="00EB0A90">
        <w:fldChar w:fldCharType="separate"/>
      </w:r>
      <w:r w:rsidR="00EB0A90" w:rsidRPr="00EB0A90">
        <w:rPr>
          <w:noProof/>
          <w:vertAlign w:val="superscript"/>
        </w:rPr>
        <w:t>7</w:t>
      </w:r>
      <w:r w:rsidR="00EB0A90">
        <w:fldChar w:fldCharType="end"/>
      </w:r>
      <w:r w:rsidR="000C6CFE">
        <w:t>.</w:t>
      </w:r>
    </w:p>
    <w:p w:rsidR="00BC0ACA" w:rsidRDefault="00BC0ACA" w:rsidP="00086573">
      <w:pPr>
        <w:widowControl w:val="0"/>
        <w:spacing w:line="480" w:lineRule="auto"/>
        <w:jc w:val="both"/>
      </w:pPr>
    </w:p>
    <w:p w:rsidR="000C6CFE" w:rsidRPr="00AD1157" w:rsidRDefault="000C6CFE" w:rsidP="00086573">
      <w:pPr>
        <w:widowControl w:val="0"/>
        <w:spacing w:line="480" w:lineRule="auto"/>
        <w:jc w:val="both"/>
        <w:rPr>
          <w:b/>
        </w:rPr>
      </w:pPr>
      <w:r w:rsidRPr="00AD1157">
        <w:rPr>
          <w:b/>
        </w:rPr>
        <w:lastRenderedPageBreak/>
        <w:t>Data</w:t>
      </w:r>
      <w:r w:rsidR="003C7151">
        <w:rPr>
          <w:b/>
        </w:rPr>
        <w:t>sets</w:t>
      </w:r>
      <w:r w:rsidRPr="00AD1157">
        <w:rPr>
          <w:b/>
        </w:rPr>
        <w:t xml:space="preserve"> and computation</w:t>
      </w:r>
    </w:p>
    <w:p w:rsidR="000C6CFE" w:rsidRDefault="000C6CFE" w:rsidP="00086573">
      <w:pPr>
        <w:widowControl w:val="0"/>
        <w:spacing w:line="480" w:lineRule="auto"/>
        <w:jc w:val="both"/>
      </w:pPr>
      <w:r>
        <w:t>Publicly available single-cell RNA-sequencing (</w:t>
      </w:r>
      <w:proofErr w:type="spellStart"/>
      <w:r>
        <w:t>scRNA-seq</w:t>
      </w:r>
      <w:proofErr w:type="spellEnd"/>
      <w:r>
        <w:t>) datasets were downloaded from NCBI GEO database, accession codes: GSE75748, GSE72056, GSE81861, GSE130019. Pre-processing of raw RNA read counts included quantile normalization, in order to normalize relative counts between samples, and log</w:t>
      </w:r>
      <w:r w:rsidR="00AD1157" w:rsidRPr="00AD1157">
        <w:rPr>
          <w:vertAlign w:val="subscript"/>
        </w:rPr>
        <w:t>2</w:t>
      </w:r>
      <w:r>
        <w:t>-transformation to reduce the influence of highly expressed genes.</w:t>
      </w:r>
    </w:p>
    <w:p w:rsidR="000C6CFE" w:rsidRDefault="000C6CFE" w:rsidP="00086573">
      <w:pPr>
        <w:widowControl w:val="0"/>
        <w:spacing w:line="480" w:lineRule="auto"/>
        <w:jc w:val="both"/>
      </w:pPr>
    </w:p>
    <w:p w:rsidR="000C6CFE" w:rsidRPr="00AD1157" w:rsidRDefault="000C6CFE" w:rsidP="00086573">
      <w:pPr>
        <w:widowControl w:val="0"/>
        <w:spacing w:line="480" w:lineRule="auto"/>
        <w:jc w:val="both"/>
        <w:rPr>
          <w:i/>
          <w:u w:val="single"/>
        </w:rPr>
      </w:pPr>
      <w:r w:rsidRPr="00AD1157">
        <w:rPr>
          <w:i/>
          <w:u w:val="single"/>
        </w:rPr>
        <w:t>GSE75748: Stem cell differentiation</w:t>
      </w:r>
    </w:p>
    <w:p w:rsidR="000C6CFE" w:rsidRDefault="000C6CFE" w:rsidP="00086573">
      <w:pPr>
        <w:widowControl w:val="0"/>
        <w:spacing w:line="480" w:lineRule="auto"/>
        <w:jc w:val="both"/>
      </w:pPr>
      <w:r>
        <w:t xml:space="preserve">This dataset contains two </w:t>
      </w:r>
      <w:proofErr w:type="spellStart"/>
      <w:r>
        <w:t>scRNA-seq</w:t>
      </w:r>
      <w:proofErr w:type="spellEnd"/>
      <w:r>
        <w:t xml:space="preserve"> experiments examining human stem cell differentiation</w:t>
      </w:r>
      <w:r w:rsidR="00EB0A90">
        <w:fldChar w:fldCharType="begin"/>
      </w:r>
      <w:r w:rsidR="00EB0A90">
        <w:instrText xml:space="preserve"> ADDIN EN.CITE &lt;EndNote&gt;&lt;Cite&gt;&lt;Author&gt;Chu&lt;/Author&gt;&lt;Year&gt;2016&lt;/Year&gt;&lt;RecNum&gt;8&lt;/RecNum&gt;&lt;DisplayText&gt;&lt;style face="superscript"&gt;8&lt;/style&gt;&lt;/DisplayText&gt;&lt;record&gt;&lt;rec-number&gt;8&lt;/rec-number&gt;&lt;foreign-keys&gt;&lt;key app="EN" db-id="55z9s2zflxffxeewsswpvxrlps5es2dvztww" timestamp="1646251368"&gt;8&lt;/key&gt;&lt;/foreign-keys&gt;&lt;ref-type name="Journal Article"&gt;17&lt;/ref-type&gt;&lt;contributors&gt;&lt;authors&gt;&lt;author&gt;Chu, Li-Fang&lt;/author&gt;&lt;author&gt;Leng, Ning&lt;/author&gt;&lt;author&gt;Zhang, Jue&lt;/author&gt;&lt;author&gt;Hou, Zhonggang&lt;/author&gt;&lt;author&gt;Mamott, Daniel&lt;/author&gt;&lt;author&gt;Vereide, David T&lt;/author&gt;&lt;author&gt;Choi, Jeea&lt;/author&gt;&lt;author&gt;Kendziorski, Christina&lt;/author&gt;&lt;author&gt;Stewart, Ron&lt;/author&gt;&lt;author&gt;Thomson, James A&lt;/author&gt;&lt;/authors&gt;&lt;/contributors&gt;&lt;titles&gt;&lt;title&gt;Single-cell RNA-seq reveals novel regulators of human embryonic stem cell differentiation to definitive endoderm&lt;/title&gt;&lt;secondary-title&gt;Genome biology&lt;/secondary-title&gt;&lt;/titles&gt;&lt;periodical&gt;&lt;full-title&gt;Genome biology&lt;/full-title&gt;&lt;/periodical&gt;&lt;pages&gt;1-20&lt;/pages&gt;&lt;volume&gt;17&lt;/volume&gt;&lt;number&gt;1&lt;/number&gt;&lt;dates&gt;&lt;year&gt;2016&lt;/year&gt;&lt;/dates&gt;&lt;isbn&gt;1474-760X&lt;/isbn&gt;&lt;urls&gt;&lt;/urls&gt;&lt;/record&gt;&lt;/Cite&gt;&lt;/EndNote&gt;</w:instrText>
      </w:r>
      <w:r w:rsidR="00EB0A90">
        <w:fldChar w:fldCharType="separate"/>
      </w:r>
      <w:r w:rsidR="00EB0A90" w:rsidRPr="00EB0A90">
        <w:rPr>
          <w:noProof/>
          <w:vertAlign w:val="superscript"/>
        </w:rPr>
        <w:t>8</w:t>
      </w:r>
      <w:r w:rsidR="00EB0A90">
        <w:fldChar w:fldCharType="end"/>
      </w:r>
      <w:r>
        <w:t xml:space="preserve">. The first experiment is a cell-type experiment consisting of n=1,018 single cells derived from human embryonic stem cells and identified as one of 6 cell types: </w:t>
      </w:r>
      <w:proofErr w:type="spellStart"/>
      <w:r w:rsidRPr="001D401D">
        <w:rPr>
          <w:i/>
        </w:rPr>
        <w:t>hESC</w:t>
      </w:r>
      <w:proofErr w:type="spellEnd"/>
      <w:r>
        <w:t xml:space="preserve"> human embryonic stem cell, </w:t>
      </w:r>
      <w:r w:rsidRPr="001D401D">
        <w:rPr>
          <w:i/>
        </w:rPr>
        <w:t>NPC</w:t>
      </w:r>
      <w:r>
        <w:t xml:space="preserve"> neuronal progenitor cell, </w:t>
      </w:r>
      <w:r w:rsidRPr="001D401D">
        <w:rPr>
          <w:i/>
        </w:rPr>
        <w:t>DEP</w:t>
      </w:r>
      <w:r>
        <w:t xml:space="preserve"> definitive endoderm progenitor, </w:t>
      </w:r>
      <w:r w:rsidRPr="001D401D">
        <w:rPr>
          <w:i/>
        </w:rPr>
        <w:t>TB</w:t>
      </w:r>
      <w:r>
        <w:t xml:space="preserve"> trophoblast-like cell, </w:t>
      </w:r>
      <w:r w:rsidRPr="001D401D">
        <w:rPr>
          <w:i/>
        </w:rPr>
        <w:t>HFF</w:t>
      </w:r>
      <w:r>
        <w:t xml:space="preserve"> human foreskin fibroblast, </w:t>
      </w:r>
      <w:r w:rsidRPr="001D401D">
        <w:rPr>
          <w:i/>
        </w:rPr>
        <w:t>EC</w:t>
      </w:r>
      <w:r>
        <w:t xml:space="preserve"> endothelial cell. The second experiment is a time-course experiment consisting of n=758 single cells induced to differentiate from H9 stem cells and collected at specific time intervals: 0h, 12h, 36h, 72h, 96h.</w:t>
      </w:r>
    </w:p>
    <w:p w:rsidR="000C6CFE" w:rsidRDefault="000C6CFE" w:rsidP="00086573">
      <w:pPr>
        <w:widowControl w:val="0"/>
        <w:spacing w:line="480" w:lineRule="auto"/>
        <w:jc w:val="both"/>
      </w:pPr>
    </w:p>
    <w:p w:rsidR="000C6CFE" w:rsidRPr="00AD1157" w:rsidRDefault="000C6CFE" w:rsidP="00086573">
      <w:pPr>
        <w:widowControl w:val="0"/>
        <w:spacing w:line="480" w:lineRule="auto"/>
        <w:jc w:val="both"/>
        <w:rPr>
          <w:i/>
          <w:u w:val="single"/>
        </w:rPr>
      </w:pPr>
      <w:r w:rsidRPr="00AD1157">
        <w:rPr>
          <w:i/>
          <w:u w:val="single"/>
        </w:rPr>
        <w:t>GSE72056: Melanoma</w:t>
      </w:r>
    </w:p>
    <w:p w:rsidR="000C6CFE" w:rsidRDefault="000C6CFE" w:rsidP="00086573">
      <w:pPr>
        <w:widowControl w:val="0"/>
        <w:spacing w:line="480" w:lineRule="auto"/>
        <w:jc w:val="both"/>
      </w:pPr>
      <w:r>
        <w:t xml:space="preserve">This dataset contains </w:t>
      </w:r>
      <w:proofErr w:type="spellStart"/>
      <w:r>
        <w:t>scRNA-seq</w:t>
      </w:r>
      <w:proofErr w:type="spellEnd"/>
      <w:r>
        <w:t xml:space="preserve"> data of melanoma patient samples including tumor cells and match</w:t>
      </w:r>
      <w:r w:rsidR="00996AEE">
        <w:t>ed</w:t>
      </w:r>
      <w:r>
        <w:t xml:space="preserve"> normal cells</w:t>
      </w:r>
      <w:r w:rsidR="00EB0A90">
        <w:fldChar w:fldCharType="begin"/>
      </w:r>
      <w:r w:rsidR="00EB0A90">
        <w:instrText xml:space="preserve"> ADDIN EN.CITE &lt;EndNote&gt;&lt;Cite&gt;&lt;Author&gt;Tirosh&lt;/Author&gt;&lt;Year&gt;2016&lt;/Year&gt;&lt;RecNum&gt;9&lt;/RecNum&gt;&lt;DisplayText&gt;&lt;style face="superscript"&gt;9&lt;/style&gt;&lt;/DisplayText&gt;&lt;record&gt;&lt;rec-number&gt;9&lt;/rec-number&gt;&lt;foreign-keys&gt;&lt;key app="EN" db-id="55z9s2zflxffxeewsswpvxrlps5es2dvztww" timestamp="1646251388"&gt;9&lt;/key&gt;&lt;/foreign-keys&gt;&lt;ref-type name="Journal Article"&gt;17&lt;/ref-type&gt;&lt;contributors&gt;&lt;authors&gt;&lt;author&gt;Tirosh, Itay&lt;/author&gt;&lt;author&gt;Izar, Benjamin&lt;/author&gt;&lt;author&gt;Prakadan, Sanjay M&lt;/author&gt;&lt;author&gt;Wadsworth, Marc H&lt;/author&gt;&lt;author&gt;Treacy, Daniel&lt;/author&gt;&lt;author&gt;Trombetta, John J&lt;/author&gt;&lt;author&gt;Rotem, Asaf&lt;/author&gt;&lt;author&gt;Rodman, Christopher&lt;/author&gt;&lt;author&gt;Lian, Christine&lt;/author&gt;&lt;author&gt;Murphy, George&lt;/author&gt;&lt;/authors&gt;&lt;/contributors&gt;&lt;titles&gt;&lt;title&gt;Dissecting the multicellular ecosystem of metastatic melanoma by single-cell RNA-seq&lt;/title&gt;&lt;secondary-title&gt;Science&lt;/secondary-title&gt;&lt;/titles&gt;&lt;periodical&gt;&lt;full-title&gt;Science&lt;/full-title&gt;&lt;/periodical&gt;&lt;pages&gt;189-196&lt;/pages&gt;&lt;volume&gt;352&lt;/volume&gt;&lt;number&gt;6282&lt;/number&gt;&lt;dates&gt;&lt;year&gt;2016&lt;/year&gt;&lt;/dates&gt;&lt;isbn&gt;0036-8075&lt;/isbn&gt;&lt;urls&gt;&lt;/urls&gt;&lt;/record&gt;&lt;/Cite&gt;&lt;/EndNote&gt;</w:instrText>
      </w:r>
      <w:r w:rsidR="00EB0A90">
        <w:fldChar w:fldCharType="separate"/>
      </w:r>
      <w:r w:rsidR="00EB0A90" w:rsidRPr="00EB0A90">
        <w:rPr>
          <w:noProof/>
          <w:vertAlign w:val="superscript"/>
        </w:rPr>
        <w:t>9</w:t>
      </w:r>
      <w:r w:rsidR="00EB0A90">
        <w:fldChar w:fldCharType="end"/>
      </w:r>
      <w:r>
        <w:t xml:space="preserve">. The data contains a total of n=4,513 single cells from 19 patients, including </w:t>
      </w:r>
      <w:proofErr w:type="spellStart"/>
      <w:r>
        <w:t>n</w:t>
      </w:r>
      <w:r w:rsidR="001D401D">
        <w:rPr>
          <w:vertAlign w:val="subscript"/>
        </w:rPr>
        <w:t>n</w:t>
      </w:r>
      <w:proofErr w:type="spellEnd"/>
      <w:r>
        <w:t>=3,256 normal cells and</w:t>
      </w:r>
      <w:r w:rsidR="001D401D">
        <w:t xml:space="preserve"> </w:t>
      </w:r>
      <w:r>
        <w:t>n</w:t>
      </w:r>
      <w:r w:rsidR="001D401D">
        <w:rPr>
          <w:vertAlign w:val="subscript"/>
        </w:rPr>
        <w:t>t</w:t>
      </w:r>
      <w:r>
        <w:t>=1,257 tumor cells. To compare within or between patients, a filter was applied to remove patients with less than 5 normal or 5 tumor samples, leaving 12 patients and n=3,424 cells total (</w:t>
      </w:r>
      <w:proofErr w:type="spellStart"/>
      <w:r>
        <w:t>n</w:t>
      </w:r>
      <w:r w:rsidR="001D401D">
        <w:rPr>
          <w:vertAlign w:val="subscript"/>
        </w:rPr>
        <w:t>n</w:t>
      </w:r>
      <w:proofErr w:type="spellEnd"/>
      <w:r>
        <w:t xml:space="preserve">=2294, </w:t>
      </w:r>
      <w:proofErr w:type="spellStart"/>
      <w:r>
        <w:t>n</w:t>
      </w:r>
      <w:r w:rsidR="001D401D">
        <w:rPr>
          <w:vertAlign w:val="subscript"/>
        </w:rPr>
        <w:t>t</w:t>
      </w:r>
      <w:proofErr w:type="spellEnd"/>
      <w:r>
        <w:t>=1,130).</w:t>
      </w:r>
    </w:p>
    <w:p w:rsidR="000C6CFE" w:rsidRPr="001D401D" w:rsidRDefault="000C6CFE" w:rsidP="00086573">
      <w:pPr>
        <w:widowControl w:val="0"/>
        <w:spacing w:line="480" w:lineRule="auto"/>
        <w:jc w:val="both"/>
        <w:rPr>
          <w:i/>
          <w:u w:val="single"/>
        </w:rPr>
      </w:pPr>
      <w:r w:rsidRPr="001D401D">
        <w:rPr>
          <w:i/>
          <w:u w:val="single"/>
        </w:rPr>
        <w:lastRenderedPageBreak/>
        <w:t>GSE81861: Colorectal cancer</w:t>
      </w:r>
    </w:p>
    <w:p w:rsidR="000C6CFE" w:rsidRDefault="000C6CFE" w:rsidP="00086573">
      <w:pPr>
        <w:widowControl w:val="0"/>
        <w:spacing w:line="480" w:lineRule="auto"/>
        <w:jc w:val="both"/>
      </w:pPr>
      <w:r>
        <w:t xml:space="preserve">This dataset contains </w:t>
      </w:r>
      <w:proofErr w:type="spellStart"/>
      <w:r>
        <w:t>scRNA-seq</w:t>
      </w:r>
      <w:proofErr w:type="spellEnd"/>
      <w:r>
        <w:t xml:space="preserve"> data of colorectal cancer patient samples including tumor cells and matching normal cells</w:t>
      </w:r>
      <w:r w:rsidR="00EB0A90">
        <w:fldChar w:fldCharType="begin"/>
      </w:r>
      <w:r w:rsidR="00EB0A90">
        <w:instrText xml:space="preserve"> ADDIN EN.CITE &lt;EndNote&gt;&lt;Cite&gt;&lt;Author&gt;Li&lt;/Author&gt;&lt;Year&gt;2017&lt;/Year&gt;&lt;RecNum&gt;10&lt;/RecNum&gt;&lt;DisplayText&gt;&lt;style face="superscript"&gt;10&lt;/style&gt;&lt;/DisplayText&gt;&lt;record&gt;&lt;rec-number&gt;10&lt;/rec-number&gt;&lt;foreign-keys&gt;&lt;key app="EN" db-id="55z9s2zflxffxeewsswpvxrlps5es2dvztww" timestamp="1646251420"&gt;10&lt;/key&gt;&lt;/foreign-keys&gt;&lt;ref-type name="Journal Article"&gt;17&lt;/ref-type&gt;&lt;contributors&gt;&lt;authors&gt;&lt;author&gt;Li, Huipeng&lt;/author&gt;&lt;author&gt;Courtois, Elise T&lt;/author&gt;&lt;author&gt;Sengupta, Debarka&lt;/author&gt;&lt;author&gt;Tan, Yuliana&lt;/author&gt;&lt;author&gt;Chen, Kok Hao&lt;/author&gt;&lt;author&gt;Goh, Jolene Jie Lin&lt;/author&gt;&lt;author&gt;Kong, Say Li&lt;/author&gt;&lt;author&gt;Chua, Clarinda&lt;/author&gt;&lt;author&gt;Hon, Lim Kiat&lt;/author&gt;&lt;author&gt;Tan, Wah Siew&lt;/author&gt;&lt;/authors&gt;&lt;/contributors&gt;&lt;titles&gt;&lt;title&gt;Reference component analysis of single-cell transcriptomes elucidates cellular heterogeneity in human colorectal tumors&lt;/title&gt;&lt;secondary-title&gt;Nature genetics&lt;/secondary-title&gt;&lt;/titles&gt;&lt;periodical&gt;&lt;full-title&gt;Nature genetics&lt;/full-title&gt;&lt;/periodical&gt;&lt;pages&gt;708-718&lt;/pages&gt;&lt;volume&gt;49&lt;/volume&gt;&lt;number&gt;5&lt;/number&gt;&lt;dates&gt;&lt;year&gt;2017&lt;/year&gt;&lt;/dates&gt;&lt;isbn&gt;1546-1718&lt;/isbn&gt;&lt;urls&gt;&lt;/urls&gt;&lt;/record&gt;&lt;/Cite&gt;&lt;/EndNote&gt;</w:instrText>
      </w:r>
      <w:r w:rsidR="00EB0A90">
        <w:fldChar w:fldCharType="separate"/>
      </w:r>
      <w:r w:rsidR="00EB0A90" w:rsidRPr="00EB0A90">
        <w:rPr>
          <w:noProof/>
          <w:vertAlign w:val="superscript"/>
        </w:rPr>
        <w:t>10</w:t>
      </w:r>
      <w:r w:rsidR="00EB0A90">
        <w:fldChar w:fldCharType="end"/>
      </w:r>
      <w:r>
        <w:t>. The data contains a total of n=641 single cells, including n</w:t>
      </w:r>
      <w:r w:rsidR="001D401D">
        <w:rPr>
          <w:vertAlign w:val="subscript"/>
        </w:rPr>
        <w:t>n</w:t>
      </w:r>
      <w:r>
        <w:t xml:space="preserve">=266 normal cells and </w:t>
      </w:r>
      <w:proofErr w:type="spellStart"/>
      <w:r>
        <w:t>n</w:t>
      </w:r>
      <w:r w:rsidR="001D401D">
        <w:rPr>
          <w:vertAlign w:val="subscript"/>
        </w:rPr>
        <w:t>t</w:t>
      </w:r>
      <w:proofErr w:type="spellEnd"/>
      <w:r>
        <w:t xml:space="preserve">=375 tumor cells. Each cell was labelled as one of 7 cell types: epithelial, fibroblast, endothelial, </w:t>
      </w:r>
      <w:proofErr w:type="spellStart"/>
      <w:r>
        <w:t>Bcell</w:t>
      </w:r>
      <w:proofErr w:type="spellEnd"/>
      <w:r>
        <w:t xml:space="preserve">, </w:t>
      </w:r>
      <w:proofErr w:type="spellStart"/>
      <w:r>
        <w:t>Tcell</w:t>
      </w:r>
      <w:proofErr w:type="spellEnd"/>
      <w:r>
        <w:t>, macrophage, mast cell. Any cell with no labelled cell type was discarded. Additionally, any cell types with less than 5 normal or 5 tumor samples were removed from analysis. For comparison to epithelial cells</w:t>
      </w:r>
      <w:r w:rsidR="00996AEE">
        <w:t xml:space="preserve">, </w:t>
      </w:r>
      <w:r>
        <w:t xml:space="preserve">the primary cell type in intestinal mucosa from which colorectal adenocarcinoma arises </w:t>
      </w:r>
      <w:r w:rsidR="001D401D">
        <w:t>(</w:t>
      </w:r>
      <w:r>
        <w:t>n</w:t>
      </w:r>
      <w:r w:rsidR="001D401D" w:rsidRPr="001D401D">
        <w:rPr>
          <w:vertAlign w:val="subscript"/>
        </w:rPr>
        <w:t>e</w:t>
      </w:r>
      <w:r>
        <w:t>=475), all non-epithelial cells (n</w:t>
      </w:r>
      <w:r w:rsidR="001D401D" w:rsidRPr="001D401D">
        <w:rPr>
          <w:vertAlign w:val="subscript"/>
        </w:rPr>
        <w:t>ne</w:t>
      </w:r>
      <w:r>
        <w:t>=145) were combined into a single group.</w:t>
      </w:r>
    </w:p>
    <w:p w:rsidR="000C6CFE" w:rsidRDefault="000C6CFE" w:rsidP="00086573">
      <w:pPr>
        <w:widowControl w:val="0"/>
        <w:spacing w:line="480" w:lineRule="auto"/>
        <w:jc w:val="both"/>
      </w:pPr>
    </w:p>
    <w:p w:rsidR="000C6CFE" w:rsidRPr="001D401D" w:rsidRDefault="000C6CFE" w:rsidP="00086573">
      <w:pPr>
        <w:widowControl w:val="0"/>
        <w:spacing w:line="480" w:lineRule="auto"/>
        <w:jc w:val="both"/>
        <w:rPr>
          <w:i/>
          <w:u w:val="single"/>
        </w:rPr>
      </w:pPr>
      <w:r w:rsidRPr="001D401D">
        <w:rPr>
          <w:i/>
          <w:u w:val="single"/>
        </w:rPr>
        <w:t>GSE130019: Ewing sarcoma cell line</w:t>
      </w:r>
    </w:p>
    <w:p w:rsidR="000C6CFE" w:rsidRDefault="000C6CFE" w:rsidP="00086573">
      <w:pPr>
        <w:widowControl w:val="0"/>
        <w:spacing w:line="480" w:lineRule="auto"/>
        <w:jc w:val="both"/>
      </w:pPr>
      <w:r>
        <w:t xml:space="preserve">This dataset contains a </w:t>
      </w:r>
      <w:proofErr w:type="spellStart"/>
      <w:r>
        <w:t>scRNA-seq</w:t>
      </w:r>
      <w:proofErr w:type="spellEnd"/>
      <w:r>
        <w:t xml:space="preserve"> experiment examining a Ewing sarcoma cell line</w:t>
      </w:r>
      <w:r w:rsidR="00EB0A90">
        <w:fldChar w:fldCharType="begin"/>
      </w:r>
      <w:r w:rsidR="00EB0A90">
        <w:instrText xml:space="preserve"> ADDIN EN.CITE &lt;EndNote&gt;&lt;Cite&gt;&lt;Author&gt;Aynaud&lt;/Author&gt;&lt;Year&gt;2020&lt;/Year&gt;&lt;RecNum&gt;11&lt;/RecNum&gt;&lt;DisplayText&gt;&lt;style face="superscript"&gt;11&lt;/style&gt;&lt;/DisplayText&gt;&lt;record&gt;&lt;rec-number&gt;11&lt;/rec-number&gt;&lt;foreign-keys&gt;&lt;key app="EN" db-id="55z9s2zflxffxeewsswpvxrlps5es2dvztww" timestamp="1646251445"&gt;11&lt;/key&gt;&lt;/foreign-keys&gt;&lt;ref-type name="Journal Article"&gt;17&lt;/ref-type&gt;&lt;contributors&gt;&lt;authors&gt;&lt;author&gt;Aynaud, Marie-Ming&lt;/author&gt;&lt;author&gt;Mirabeau, Olivier&lt;/author&gt;&lt;author&gt;Gruel, Nadege&lt;/author&gt;&lt;author&gt;Grossetête, Sandrine&lt;/author&gt;&lt;author&gt;Boeva, Valentina&lt;/author&gt;&lt;author&gt;Durand, Simon&lt;/author&gt;&lt;author&gt;Surdez, Didier&lt;/author&gt;&lt;author&gt;Saulnier, Olivier&lt;/author&gt;&lt;author&gt;Zaïdi, Sakina&lt;/author&gt;&lt;author&gt;Gribkova, Svetlana&lt;/author&gt;&lt;/authors&gt;&lt;/contributors&gt;&lt;titles&gt;&lt;title&gt;Transcriptional programs define intratumoral heterogeneity of Ewing sarcoma at single-cell resolution&lt;/title&gt;&lt;secondary-title&gt;Cell Reports&lt;/secondary-title&gt;&lt;/titles&gt;&lt;periodical&gt;&lt;full-title&gt;Cell Reports&lt;/full-title&gt;&lt;/periodical&gt;&lt;pages&gt;1767-1779. e6&lt;/pages&gt;&lt;volume&gt;30&lt;/volume&gt;&lt;number&gt;6&lt;/number&gt;&lt;dates&gt;&lt;year&gt;2020&lt;/year&gt;&lt;/dates&gt;&lt;isbn&gt;2211-1247&lt;/isbn&gt;&lt;urls&gt;&lt;/urls&gt;&lt;/record&gt;&lt;/Cite&gt;&lt;/EndNote&gt;</w:instrText>
      </w:r>
      <w:r w:rsidR="00EB0A90">
        <w:fldChar w:fldCharType="separate"/>
      </w:r>
      <w:r w:rsidR="00EB0A90" w:rsidRPr="00EB0A90">
        <w:rPr>
          <w:noProof/>
          <w:vertAlign w:val="superscript"/>
        </w:rPr>
        <w:t>11</w:t>
      </w:r>
      <w:r w:rsidR="00EB0A90">
        <w:fldChar w:fldCharType="end"/>
      </w:r>
      <w:r>
        <w:t>. A576 cell lines with EWS1-FLI1 fusion mutation, an oncogene specific to Ewing sarcoma, were treated with DOX to suppress the expression of the fusion gene for 7 days, then were released from DOX treatment allowing re-expression of the oncogene. Cells (n=598) were collected at time points after DOX cessation: 0d, 2d, 3d, 4d, 7d, 10d, 15d.</w:t>
      </w:r>
    </w:p>
    <w:p w:rsidR="000C6CFE" w:rsidRDefault="000C6CFE" w:rsidP="00086573">
      <w:pPr>
        <w:widowControl w:val="0"/>
        <w:spacing w:line="480" w:lineRule="auto"/>
        <w:jc w:val="both"/>
      </w:pPr>
    </w:p>
    <w:p w:rsidR="000C6CFE" w:rsidRPr="001D401D" w:rsidRDefault="000C6CFE" w:rsidP="00086573">
      <w:pPr>
        <w:widowControl w:val="0"/>
        <w:spacing w:line="480" w:lineRule="auto"/>
        <w:jc w:val="both"/>
        <w:rPr>
          <w:i/>
          <w:u w:val="single"/>
        </w:rPr>
      </w:pPr>
      <w:r w:rsidRPr="001D401D">
        <w:rPr>
          <w:i/>
          <w:u w:val="single"/>
        </w:rPr>
        <w:t>Pathway enrichment analysis</w:t>
      </w:r>
    </w:p>
    <w:p w:rsidR="000C6CFE" w:rsidRDefault="000C6CFE" w:rsidP="00086573">
      <w:pPr>
        <w:widowControl w:val="0"/>
        <w:spacing w:line="480" w:lineRule="auto"/>
        <w:jc w:val="both"/>
      </w:pPr>
      <w:r>
        <w:t xml:space="preserve">To determine the biological function of genes corresponding to proteins of interest in the PPI network, we apply a pathway enrichment analysis </w:t>
      </w:r>
      <w:r w:rsidR="00996AEE">
        <w:t>that</w:t>
      </w:r>
      <w:r>
        <w:t xml:space="preserve"> statistically associates a set of genes with molecular pathways of known biological function. Pathway enrichment analysis was performed by first performing a non-parametric Wilcoxon rank-sum test on the vertex curvature of each gene between conditions (i.e. normal cells vs. tumor cells) </w:t>
      </w:r>
      <w:r>
        <w:lastRenderedPageBreak/>
        <w:t xml:space="preserve">to compute </w:t>
      </w:r>
      <w:r w:rsidR="00996AEE">
        <w:t xml:space="preserve">the </w:t>
      </w:r>
      <w:r>
        <w:t xml:space="preserve">ratio of mean vertex curvature </w:t>
      </w:r>
      <w:r w:rsidR="001D401D">
        <w:sym w:font="Symbol" w:char="F044"/>
      </w:r>
      <w:r w:rsidR="001D401D">
        <w:t xml:space="preserve">Ric </w:t>
      </w:r>
      <w:r w:rsidR="00996AEE">
        <w:t xml:space="preserve">and significance </w:t>
      </w:r>
      <w:r w:rsidR="00996AEE" w:rsidRPr="00996AEE">
        <w:rPr>
          <w:i/>
        </w:rPr>
        <w:t>p</w:t>
      </w:r>
      <w:r w:rsidR="00996AEE">
        <w:t xml:space="preserve">-value </w:t>
      </w:r>
      <w:r>
        <w:t xml:space="preserve">between the conditions. False discovery rate (FDR) was adjusted from the </w:t>
      </w:r>
      <w:r w:rsidR="001D401D" w:rsidRPr="001D401D">
        <w:rPr>
          <w:i/>
        </w:rPr>
        <w:t>p</w:t>
      </w:r>
      <w:r>
        <w:t xml:space="preserve">-value using the </w:t>
      </w:r>
      <w:proofErr w:type="spellStart"/>
      <w:r>
        <w:t>Benjamini</w:t>
      </w:r>
      <w:proofErr w:type="spellEnd"/>
      <w:r>
        <w:t>-Hochberg step-up procedure</w:t>
      </w:r>
      <w:r w:rsidR="00EB0A90">
        <w:fldChar w:fldCharType="begin"/>
      </w:r>
      <w:r w:rsidR="00EB0A90">
        <w:instrText xml:space="preserve"> ADDIN EN.CITE &lt;EndNote&gt;&lt;Cite&gt;&lt;Author&gt;Benjamini&lt;/Author&gt;&lt;Year&gt;1995&lt;/Year&gt;&lt;RecNum&gt;12&lt;/RecNum&gt;&lt;DisplayText&gt;&lt;style face="superscript"&gt;12&lt;/style&gt;&lt;/DisplayText&gt;&lt;record&gt;&lt;rec-number&gt;12&lt;/rec-number&gt;&lt;foreign-keys&gt;&lt;key app="EN" db-id="55z9s2zflxffxeewsswpvxrlps5es2dvztww" timestamp="1646251468"&gt;12&lt;/key&gt;&lt;/foreign-keys&gt;&lt;ref-type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isbn&gt;0035-9246&lt;/isbn&gt;&lt;urls&gt;&lt;/urls&gt;&lt;/record&gt;&lt;/Cite&gt;&lt;/EndNote&gt;</w:instrText>
      </w:r>
      <w:r w:rsidR="00EB0A90">
        <w:fldChar w:fldCharType="separate"/>
      </w:r>
      <w:r w:rsidR="00EB0A90" w:rsidRPr="00EB0A90">
        <w:rPr>
          <w:noProof/>
          <w:vertAlign w:val="superscript"/>
        </w:rPr>
        <w:t>12</w:t>
      </w:r>
      <w:r w:rsidR="00EB0A90">
        <w:fldChar w:fldCharType="end"/>
      </w:r>
      <w:r>
        <w:t xml:space="preserve">. Selection cutoffs of FDR&lt;0.05 and absolute </w:t>
      </w:r>
      <w:r w:rsidR="001D401D">
        <w:sym w:font="Symbol" w:char="F044"/>
      </w:r>
      <w:r>
        <w:t xml:space="preserve">Ric&gt;2 were applied to select genes with significant effect size, which were further split into increasing or decreasing curvature genes. Then, gene symbols were directly fed into the </w:t>
      </w:r>
      <w:proofErr w:type="spellStart"/>
      <w:r>
        <w:t>Reactome</w:t>
      </w:r>
      <w:proofErr w:type="spellEnd"/>
      <w:r>
        <w:t xml:space="preserve"> online pathway analysis tool</w:t>
      </w:r>
      <w:r w:rsidR="00996AEE">
        <w:t>,</w:t>
      </w:r>
      <w:r>
        <w:t xml:space="preserve"> which determines pathway overrepresentation using a hypergeometric distribution</w:t>
      </w:r>
      <w:r w:rsidR="00EB0A90">
        <w:fldChar w:fldCharType="begin"/>
      </w:r>
      <w:r w:rsidR="00EB0A90">
        <w:instrText xml:space="preserve"> ADDIN EN.CITE &lt;EndNote&gt;&lt;Cite&gt;&lt;Author&gt;Jassal&lt;/Author&gt;&lt;Year&gt;2020&lt;/Year&gt;&lt;RecNum&gt;13&lt;/RecNum&gt;&lt;DisplayText&gt;&lt;style face="superscript"&gt;13&lt;/style&gt;&lt;/DisplayText&gt;&lt;record&gt;&lt;rec-number&gt;13&lt;/rec-number&gt;&lt;foreign-keys&gt;&lt;key app="EN" db-id="55z9s2zflxffxeewsswpvxrlps5es2dvztww" timestamp="1646251490"&gt;13&lt;/key&gt;&lt;/foreign-keys&gt;&lt;ref-type name="Journal Article"&gt;17&lt;/ref-type&gt;&lt;contributors&gt;&lt;authors&gt;&lt;author&gt;Jassal, Bijay&lt;/author&gt;&lt;author&gt;Matthews, Lisa&lt;/author&gt;&lt;author&gt;Viteri, Guilherme&lt;/author&gt;&lt;author&gt;Gong, Chuqiao&lt;/author&gt;&lt;author&gt;Lorente, Pascual&lt;/author&gt;&lt;author&gt;Fabregat, Antonio&lt;/author&gt;&lt;author&gt;Sidiropoulos, Konstantinos&lt;/author&gt;&lt;author&gt;Cook, Justin&lt;/author&gt;&lt;author&gt;Gillespie, Marc&lt;/author&gt;&lt;author&gt;Haw, Robin&lt;/author&gt;&lt;/authors&gt;&lt;/contributors&gt;&lt;titles&gt;&lt;title&gt;The reactome pathway knowledgebase&lt;/title&gt;&lt;secondary-title&gt;Nucleic acids research&lt;/secondary-title&gt;&lt;/titles&gt;&lt;periodical&gt;&lt;full-title&gt;Nucleic acids research&lt;/full-title&gt;&lt;/periodical&gt;&lt;pages&gt;D498-D503&lt;/pages&gt;&lt;volume&gt;48&lt;/volume&gt;&lt;number&gt;D1&lt;/number&gt;&lt;dates&gt;&lt;year&gt;2020&lt;/year&gt;&lt;/dates&gt;&lt;isbn&gt;0305-1048&lt;/isbn&gt;&lt;urls&gt;&lt;/urls&gt;&lt;/record&gt;&lt;/Cite&gt;&lt;/EndNote&gt;</w:instrText>
      </w:r>
      <w:r w:rsidR="00EB0A90">
        <w:fldChar w:fldCharType="separate"/>
      </w:r>
      <w:r w:rsidR="00EB0A90" w:rsidRPr="00EB0A90">
        <w:rPr>
          <w:noProof/>
          <w:vertAlign w:val="superscript"/>
        </w:rPr>
        <w:t>13</w:t>
      </w:r>
      <w:r w:rsidR="00EB0A90">
        <w:fldChar w:fldCharType="end"/>
      </w:r>
      <w:r>
        <w:t>. Enriched pathways were selected based on FDR&lt;0.05 and &gt;10 genes in the pathway.</w:t>
      </w:r>
    </w:p>
    <w:p w:rsidR="000C6CFE" w:rsidRDefault="000C6CFE" w:rsidP="00086573">
      <w:pPr>
        <w:widowControl w:val="0"/>
        <w:spacing w:line="480" w:lineRule="auto"/>
        <w:jc w:val="both"/>
      </w:pPr>
    </w:p>
    <w:p w:rsidR="000C6CFE" w:rsidRPr="001D401D" w:rsidRDefault="000C6CFE" w:rsidP="00086573">
      <w:pPr>
        <w:widowControl w:val="0"/>
        <w:spacing w:line="480" w:lineRule="auto"/>
        <w:jc w:val="both"/>
        <w:rPr>
          <w:i/>
          <w:u w:val="single"/>
        </w:rPr>
      </w:pPr>
      <w:r w:rsidRPr="001D401D">
        <w:rPr>
          <w:i/>
          <w:u w:val="single"/>
        </w:rPr>
        <w:t>Code and computation</w:t>
      </w:r>
    </w:p>
    <w:p w:rsidR="00EB0A90" w:rsidRDefault="000C6CFE" w:rsidP="00086573">
      <w:pPr>
        <w:widowControl w:val="0"/>
        <w:spacing w:line="480" w:lineRule="auto"/>
        <w:jc w:val="both"/>
      </w:pPr>
      <w:r>
        <w:t xml:space="preserve">Data processing and analysis code were written in MATLAB and R. For efficient computation of large gene expression datasets, a parallelized algorithm was employed on a high-performance compute cluster, with the full algorithm running in approximately 6 seconds per sample (i.e. single-cell) of data. All relevant code and data is available </w:t>
      </w:r>
      <w:r w:rsidR="007D5643">
        <w:t>in a GitH</w:t>
      </w:r>
      <w:bookmarkStart w:id="0" w:name="_GoBack"/>
      <w:bookmarkEnd w:id="0"/>
      <w:r w:rsidR="007D5643">
        <w:t xml:space="preserve">ub repository: </w:t>
      </w:r>
      <w:hyperlink r:id="rId6" w:history="1">
        <w:r w:rsidR="007D5643" w:rsidRPr="003F3CB4">
          <w:rPr>
            <w:rStyle w:val="Hyperlink"/>
          </w:rPr>
          <w:t>https://github.com/kevin-murgas/PPI-hypergraph-geometry</w:t>
        </w:r>
      </w:hyperlink>
      <w:r w:rsidR="007D5643">
        <w:t>.</w:t>
      </w:r>
    </w:p>
    <w:p w:rsidR="00EB0A90" w:rsidRDefault="00567667" w:rsidP="00567667">
      <w:r>
        <w:br w:type="page"/>
      </w:r>
    </w:p>
    <w:p w:rsidR="00567667" w:rsidRPr="00567667" w:rsidRDefault="00EB0A90" w:rsidP="00567667">
      <w:pPr>
        <w:pStyle w:val="EndNoteBibliographyTitle"/>
        <w:rPr>
          <w:b/>
          <w:noProof/>
        </w:rPr>
      </w:pPr>
      <w:r>
        <w:lastRenderedPageBreak/>
        <w:fldChar w:fldCharType="begin"/>
      </w:r>
      <w:r>
        <w:instrText xml:space="preserve"> ADDIN EN.REFLIST </w:instrText>
      </w:r>
      <w:r>
        <w:fldChar w:fldCharType="separate"/>
      </w:r>
      <w:r w:rsidR="00567667" w:rsidRPr="00567667">
        <w:rPr>
          <w:b/>
          <w:noProof/>
        </w:rPr>
        <w:t>References</w:t>
      </w:r>
    </w:p>
    <w:p w:rsidR="00567667" w:rsidRPr="00567667" w:rsidRDefault="00567667" w:rsidP="00567667">
      <w:pPr>
        <w:pStyle w:val="EndNoteBibliographyTitle"/>
        <w:rPr>
          <w:b/>
          <w:noProof/>
        </w:rPr>
      </w:pPr>
    </w:p>
    <w:p w:rsidR="00567667" w:rsidRPr="00567667" w:rsidRDefault="00567667" w:rsidP="00567667">
      <w:pPr>
        <w:pStyle w:val="EndNoteBibliography"/>
        <w:ind w:left="720" w:hanging="720"/>
        <w:rPr>
          <w:noProof/>
        </w:rPr>
      </w:pPr>
      <w:r w:rsidRPr="00567667">
        <w:rPr>
          <w:noProof/>
        </w:rPr>
        <w:t>1</w:t>
      </w:r>
      <w:r w:rsidRPr="00567667">
        <w:rPr>
          <w:noProof/>
        </w:rPr>
        <w:tab/>
        <w:t>Szklarczyk, D.</w:t>
      </w:r>
      <w:r w:rsidRPr="00567667">
        <w:rPr>
          <w:i/>
          <w:noProof/>
        </w:rPr>
        <w:t xml:space="preserve"> et al.</w:t>
      </w:r>
      <w:r w:rsidRPr="00567667">
        <w:rPr>
          <w:noProof/>
        </w:rPr>
        <w:t xml:space="preserve"> STRING v11: protein–protein association networks with increased coverage, supporting functional discovery in genome-wide experimental datasets. </w:t>
      </w:r>
      <w:r w:rsidRPr="00567667">
        <w:rPr>
          <w:i/>
          <w:noProof/>
        </w:rPr>
        <w:t>Nucleic acids research</w:t>
      </w:r>
      <w:r w:rsidRPr="00567667">
        <w:rPr>
          <w:noProof/>
        </w:rPr>
        <w:t xml:space="preserve"> </w:t>
      </w:r>
      <w:r w:rsidRPr="00567667">
        <w:rPr>
          <w:b/>
          <w:noProof/>
        </w:rPr>
        <w:t>47</w:t>
      </w:r>
      <w:r w:rsidRPr="00567667">
        <w:rPr>
          <w:noProof/>
        </w:rPr>
        <w:t>, D607-D613 (2019).</w:t>
      </w:r>
    </w:p>
    <w:p w:rsidR="00567667" w:rsidRPr="00567667" w:rsidRDefault="00567667" w:rsidP="00567667">
      <w:pPr>
        <w:pStyle w:val="EndNoteBibliography"/>
        <w:ind w:left="720" w:hanging="720"/>
        <w:rPr>
          <w:noProof/>
        </w:rPr>
      </w:pPr>
      <w:r w:rsidRPr="00567667">
        <w:rPr>
          <w:noProof/>
        </w:rPr>
        <w:t>2</w:t>
      </w:r>
      <w:r w:rsidRPr="00567667">
        <w:rPr>
          <w:noProof/>
        </w:rPr>
        <w:tab/>
        <w:t>Banerji, C. R.</w:t>
      </w:r>
      <w:r w:rsidRPr="00567667">
        <w:rPr>
          <w:i/>
          <w:noProof/>
        </w:rPr>
        <w:t xml:space="preserve"> et al.</w:t>
      </w:r>
      <w:r w:rsidRPr="00567667">
        <w:rPr>
          <w:noProof/>
        </w:rPr>
        <w:t xml:space="preserve"> Cellular network entropy as the energy potential in Waddington's differentiation landscape. </w:t>
      </w:r>
      <w:r w:rsidRPr="00567667">
        <w:rPr>
          <w:i/>
          <w:noProof/>
        </w:rPr>
        <w:t>Scientific reports</w:t>
      </w:r>
      <w:r w:rsidRPr="00567667">
        <w:rPr>
          <w:noProof/>
        </w:rPr>
        <w:t xml:space="preserve"> </w:t>
      </w:r>
      <w:r w:rsidRPr="00567667">
        <w:rPr>
          <w:b/>
          <w:noProof/>
        </w:rPr>
        <w:t>3</w:t>
      </w:r>
      <w:r w:rsidRPr="00567667">
        <w:rPr>
          <w:noProof/>
        </w:rPr>
        <w:t>, 1-7 (2013).</w:t>
      </w:r>
    </w:p>
    <w:p w:rsidR="00567667" w:rsidRPr="00567667" w:rsidRDefault="00567667" w:rsidP="00567667">
      <w:pPr>
        <w:pStyle w:val="EndNoteBibliography"/>
        <w:ind w:left="720" w:hanging="720"/>
        <w:rPr>
          <w:noProof/>
        </w:rPr>
      </w:pPr>
      <w:r w:rsidRPr="00567667">
        <w:rPr>
          <w:noProof/>
        </w:rPr>
        <w:t>3</w:t>
      </w:r>
      <w:r w:rsidRPr="00567667">
        <w:rPr>
          <w:noProof/>
        </w:rPr>
        <w:tab/>
        <w:t>Gry, M.</w:t>
      </w:r>
      <w:r w:rsidRPr="00567667">
        <w:rPr>
          <w:i/>
          <w:noProof/>
        </w:rPr>
        <w:t xml:space="preserve"> et al.</w:t>
      </w:r>
      <w:r w:rsidRPr="00567667">
        <w:rPr>
          <w:noProof/>
        </w:rPr>
        <w:t xml:space="preserve"> Correlations between RNA and protein expression profiles in 23 human cell lines. </w:t>
      </w:r>
      <w:r w:rsidRPr="00567667">
        <w:rPr>
          <w:i/>
          <w:noProof/>
        </w:rPr>
        <w:t>BMC genomics</w:t>
      </w:r>
      <w:r w:rsidRPr="00567667">
        <w:rPr>
          <w:noProof/>
        </w:rPr>
        <w:t xml:space="preserve"> </w:t>
      </w:r>
      <w:r w:rsidRPr="00567667">
        <w:rPr>
          <w:b/>
          <w:noProof/>
        </w:rPr>
        <w:t>10</w:t>
      </w:r>
      <w:r w:rsidRPr="00567667">
        <w:rPr>
          <w:noProof/>
        </w:rPr>
        <w:t>, 1-14 (2009).</w:t>
      </w:r>
    </w:p>
    <w:p w:rsidR="00567667" w:rsidRPr="00567667" w:rsidRDefault="00567667" w:rsidP="00567667">
      <w:pPr>
        <w:pStyle w:val="EndNoteBibliography"/>
        <w:ind w:left="720" w:hanging="720"/>
        <w:rPr>
          <w:noProof/>
        </w:rPr>
      </w:pPr>
      <w:r w:rsidRPr="00567667">
        <w:rPr>
          <w:noProof/>
        </w:rPr>
        <w:t>4</w:t>
      </w:r>
      <w:r w:rsidRPr="00567667">
        <w:rPr>
          <w:noProof/>
        </w:rPr>
        <w:tab/>
        <w:t xml:space="preserve">Teschendorff, A. E., Sollich, P. &amp; Kuehn, R. Signalling entropy: A novel network-theoretical framework for systems analysis and interpretation of functional omic data. </w:t>
      </w:r>
      <w:r w:rsidRPr="00567667">
        <w:rPr>
          <w:i/>
          <w:noProof/>
        </w:rPr>
        <w:t>Methods</w:t>
      </w:r>
      <w:r w:rsidRPr="00567667">
        <w:rPr>
          <w:noProof/>
        </w:rPr>
        <w:t xml:space="preserve"> </w:t>
      </w:r>
      <w:r w:rsidRPr="00567667">
        <w:rPr>
          <w:b/>
          <w:noProof/>
        </w:rPr>
        <w:t>67</w:t>
      </w:r>
      <w:r w:rsidRPr="00567667">
        <w:rPr>
          <w:noProof/>
        </w:rPr>
        <w:t>, 282-293 (2014).</w:t>
      </w:r>
    </w:p>
    <w:p w:rsidR="00567667" w:rsidRPr="00567667" w:rsidRDefault="00567667" w:rsidP="00567667">
      <w:pPr>
        <w:pStyle w:val="EndNoteBibliography"/>
        <w:ind w:left="720" w:hanging="720"/>
        <w:rPr>
          <w:noProof/>
        </w:rPr>
      </w:pPr>
      <w:r w:rsidRPr="00567667">
        <w:rPr>
          <w:noProof/>
        </w:rPr>
        <w:t>5</w:t>
      </w:r>
      <w:r w:rsidRPr="00567667">
        <w:rPr>
          <w:noProof/>
        </w:rPr>
        <w:tab/>
        <w:t xml:space="preserve">Göbel, F. &amp; Jagers, A. Random walks on graphs. </w:t>
      </w:r>
      <w:r w:rsidRPr="00567667">
        <w:rPr>
          <w:i/>
          <w:noProof/>
        </w:rPr>
        <w:t>Stochastic processes and their applications</w:t>
      </w:r>
      <w:r w:rsidRPr="00567667">
        <w:rPr>
          <w:noProof/>
        </w:rPr>
        <w:t xml:space="preserve"> </w:t>
      </w:r>
      <w:r w:rsidRPr="00567667">
        <w:rPr>
          <w:b/>
          <w:noProof/>
        </w:rPr>
        <w:t>2</w:t>
      </w:r>
      <w:r w:rsidRPr="00567667">
        <w:rPr>
          <w:noProof/>
        </w:rPr>
        <w:t>, 311-336 (1974).</w:t>
      </w:r>
    </w:p>
    <w:p w:rsidR="00567667" w:rsidRPr="00567667" w:rsidRDefault="00567667" w:rsidP="00567667">
      <w:pPr>
        <w:pStyle w:val="EndNoteBibliography"/>
        <w:ind w:left="720" w:hanging="720"/>
        <w:rPr>
          <w:noProof/>
        </w:rPr>
      </w:pPr>
      <w:r w:rsidRPr="00567667">
        <w:rPr>
          <w:noProof/>
        </w:rPr>
        <w:t>6</w:t>
      </w:r>
      <w:r w:rsidRPr="00567667">
        <w:rPr>
          <w:noProof/>
        </w:rPr>
        <w:tab/>
        <w:t xml:space="preserve">Devriendt, K. Effective resistance is more than distance: Laplacians, Simplices and the Schur complement. </w:t>
      </w:r>
      <w:r w:rsidRPr="00567667">
        <w:rPr>
          <w:i/>
          <w:noProof/>
        </w:rPr>
        <w:t>Linear Algebra and its Applications</w:t>
      </w:r>
      <w:r w:rsidRPr="00567667">
        <w:rPr>
          <w:noProof/>
        </w:rPr>
        <w:t xml:space="preserve"> (2022).</w:t>
      </w:r>
    </w:p>
    <w:p w:rsidR="00567667" w:rsidRPr="00567667" w:rsidRDefault="00567667" w:rsidP="00567667">
      <w:pPr>
        <w:pStyle w:val="EndNoteBibliography"/>
        <w:ind w:left="720" w:hanging="720"/>
        <w:rPr>
          <w:noProof/>
        </w:rPr>
      </w:pPr>
      <w:r w:rsidRPr="00567667">
        <w:rPr>
          <w:noProof/>
        </w:rPr>
        <w:t>7</w:t>
      </w:r>
      <w:r w:rsidRPr="00567667">
        <w:rPr>
          <w:noProof/>
        </w:rPr>
        <w:tab/>
        <w:t xml:space="preserve">Teschendorff, A. E. &amp; Enver, T. Single-cell entropy for accurate estimation of differentiation potency from a cell’s transcriptome. </w:t>
      </w:r>
      <w:r w:rsidRPr="00567667">
        <w:rPr>
          <w:i/>
          <w:noProof/>
        </w:rPr>
        <w:t>Nature communications</w:t>
      </w:r>
      <w:r w:rsidRPr="00567667">
        <w:rPr>
          <w:noProof/>
        </w:rPr>
        <w:t xml:space="preserve"> </w:t>
      </w:r>
      <w:r w:rsidRPr="00567667">
        <w:rPr>
          <w:b/>
          <w:noProof/>
        </w:rPr>
        <w:t>8</w:t>
      </w:r>
      <w:r w:rsidRPr="00567667">
        <w:rPr>
          <w:noProof/>
        </w:rPr>
        <w:t>, 1-15 (2017).</w:t>
      </w:r>
    </w:p>
    <w:p w:rsidR="00567667" w:rsidRPr="00567667" w:rsidRDefault="00567667" w:rsidP="00567667">
      <w:pPr>
        <w:pStyle w:val="EndNoteBibliography"/>
        <w:ind w:left="720" w:hanging="720"/>
        <w:rPr>
          <w:noProof/>
        </w:rPr>
      </w:pPr>
      <w:r w:rsidRPr="00567667">
        <w:rPr>
          <w:noProof/>
        </w:rPr>
        <w:t>8</w:t>
      </w:r>
      <w:r w:rsidRPr="00567667">
        <w:rPr>
          <w:noProof/>
        </w:rPr>
        <w:tab/>
        <w:t>Chu, L.-F.</w:t>
      </w:r>
      <w:r w:rsidRPr="00567667">
        <w:rPr>
          <w:i/>
          <w:noProof/>
        </w:rPr>
        <w:t xml:space="preserve"> et al.</w:t>
      </w:r>
      <w:r w:rsidRPr="00567667">
        <w:rPr>
          <w:noProof/>
        </w:rPr>
        <w:t xml:space="preserve"> Single-cell RNA-seq reveals novel regulators of human embryonic stem cell differentiation to definitive endoderm. </w:t>
      </w:r>
      <w:r w:rsidRPr="00567667">
        <w:rPr>
          <w:i/>
          <w:noProof/>
        </w:rPr>
        <w:t>Genome biology</w:t>
      </w:r>
      <w:r w:rsidRPr="00567667">
        <w:rPr>
          <w:noProof/>
        </w:rPr>
        <w:t xml:space="preserve"> </w:t>
      </w:r>
      <w:r w:rsidRPr="00567667">
        <w:rPr>
          <w:b/>
          <w:noProof/>
        </w:rPr>
        <w:t>17</w:t>
      </w:r>
      <w:r w:rsidRPr="00567667">
        <w:rPr>
          <w:noProof/>
        </w:rPr>
        <w:t>, 1-20 (2016).</w:t>
      </w:r>
    </w:p>
    <w:p w:rsidR="00567667" w:rsidRPr="00567667" w:rsidRDefault="00567667" w:rsidP="00567667">
      <w:pPr>
        <w:pStyle w:val="EndNoteBibliography"/>
        <w:ind w:left="720" w:hanging="720"/>
        <w:rPr>
          <w:noProof/>
        </w:rPr>
      </w:pPr>
      <w:r w:rsidRPr="00567667">
        <w:rPr>
          <w:noProof/>
        </w:rPr>
        <w:t>9</w:t>
      </w:r>
      <w:r w:rsidRPr="00567667">
        <w:rPr>
          <w:noProof/>
        </w:rPr>
        <w:tab/>
        <w:t>Tirosh, I.</w:t>
      </w:r>
      <w:r w:rsidRPr="00567667">
        <w:rPr>
          <w:i/>
          <w:noProof/>
        </w:rPr>
        <w:t xml:space="preserve"> et al.</w:t>
      </w:r>
      <w:r w:rsidRPr="00567667">
        <w:rPr>
          <w:noProof/>
        </w:rPr>
        <w:t xml:space="preserve"> Dissecting the multicellular ecosystem of metastatic melanoma by single-cell RNA-seq. </w:t>
      </w:r>
      <w:r w:rsidRPr="00567667">
        <w:rPr>
          <w:i/>
          <w:noProof/>
        </w:rPr>
        <w:t>Science</w:t>
      </w:r>
      <w:r w:rsidRPr="00567667">
        <w:rPr>
          <w:noProof/>
        </w:rPr>
        <w:t xml:space="preserve"> </w:t>
      </w:r>
      <w:r w:rsidRPr="00567667">
        <w:rPr>
          <w:b/>
          <w:noProof/>
        </w:rPr>
        <w:t>352</w:t>
      </w:r>
      <w:r w:rsidRPr="00567667">
        <w:rPr>
          <w:noProof/>
        </w:rPr>
        <w:t>, 189-196 (2016).</w:t>
      </w:r>
    </w:p>
    <w:p w:rsidR="00567667" w:rsidRPr="00567667" w:rsidRDefault="00567667" w:rsidP="00567667">
      <w:pPr>
        <w:pStyle w:val="EndNoteBibliography"/>
        <w:ind w:left="720" w:hanging="720"/>
        <w:rPr>
          <w:noProof/>
        </w:rPr>
      </w:pPr>
      <w:r w:rsidRPr="00567667">
        <w:rPr>
          <w:noProof/>
        </w:rPr>
        <w:lastRenderedPageBreak/>
        <w:t>10</w:t>
      </w:r>
      <w:r w:rsidRPr="00567667">
        <w:rPr>
          <w:noProof/>
        </w:rPr>
        <w:tab/>
        <w:t>Li, H.</w:t>
      </w:r>
      <w:r w:rsidRPr="00567667">
        <w:rPr>
          <w:i/>
          <w:noProof/>
        </w:rPr>
        <w:t xml:space="preserve"> et al.</w:t>
      </w:r>
      <w:r w:rsidRPr="00567667">
        <w:rPr>
          <w:noProof/>
        </w:rPr>
        <w:t xml:space="preserve"> Reference component analysis of single-cell transcriptomes elucidates cellular heterogeneity in human colorectal tumors. </w:t>
      </w:r>
      <w:r w:rsidRPr="00567667">
        <w:rPr>
          <w:i/>
          <w:noProof/>
        </w:rPr>
        <w:t>Nature genetics</w:t>
      </w:r>
      <w:r w:rsidRPr="00567667">
        <w:rPr>
          <w:noProof/>
        </w:rPr>
        <w:t xml:space="preserve"> </w:t>
      </w:r>
      <w:r w:rsidRPr="00567667">
        <w:rPr>
          <w:b/>
          <w:noProof/>
        </w:rPr>
        <w:t>49</w:t>
      </w:r>
      <w:r w:rsidRPr="00567667">
        <w:rPr>
          <w:noProof/>
        </w:rPr>
        <w:t>, 708-718 (2017).</w:t>
      </w:r>
    </w:p>
    <w:p w:rsidR="00567667" w:rsidRPr="00567667" w:rsidRDefault="00567667" w:rsidP="00567667">
      <w:pPr>
        <w:pStyle w:val="EndNoteBibliography"/>
        <w:ind w:left="720" w:hanging="720"/>
        <w:rPr>
          <w:noProof/>
        </w:rPr>
      </w:pPr>
      <w:r w:rsidRPr="00567667">
        <w:rPr>
          <w:noProof/>
        </w:rPr>
        <w:t>11</w:t>
      </w:r>
      <w:r w:rsidRPr="00567667">
        <w:rPr>
          <w:noProof/>
        </w:rPr>
        <w:tab/>
        <w:t>Aynaud, M.-M.</w:t>
      </w:r>
      <w:r w:rsidRPr="00567667">
        <w:rPr>
          <w:i/>
          <w:noProof/>
        </w:rPr>
        <w:t xml:space="preserve"> et al.</w:t>
      </w:r>
      <w:r w:rsidRPr="00567667">
        <w:rPr>
          <w:noProof/>
        </w:rPr>
        <w:t xml:space="preserve"> Transcriptional programs define intratumoral heterogeneity of Ewing sarcoma at single-cell resolution. </w:t>
      </w:r>
      <w:r w:rsidRPr="00567667">
        <w:rPr>
          <w:i/>
          <w:noProof/>
        </w:rPr>
        <w:t>Cell Reports</w:t>
      </w:r>
      <w:r w:rsidRPr="00567667">
        <w:rPr>
          <w:noProof/>
        </w:rPr>
        <w:t xml:space="preserve"> </w:t>
      </w:r>
      <w:r w:rsidRPr="00567667">
        <w:rPr>
          <w:b/>
          <w:noProof/>
        </w:rPr>
        <w:t>30</w:t>
      </w:r>
      <w:r w:rsidRPr="00567667">
        <w:rPr>
          <w:noProof/>
        </w:rPr>
        <w:t>, 1767-1779. e1766 (2020).</w:t>
      </w:r>
    </w:p>
    <w:p w:rsidR="00567667" w:rsidRPr="00567667" w:rsidRDefault="00567667" w:rsidP="00567667">
      <w:pPr>
        <w:pStyle w:val="EndNoteBibliography"/>
        <w:ind w:left="720" w:hanging="720"/>
        <w:rPr>
          <w:noProof/>
        </w:rPr>
      </w:pPr>
      <w:r w:rsidRPr="00567667">
        <w:rPr>
          <w:noProof/>
        </w:rPr>
        <w:t>12</w:t>
      </w:r>
      <w:r w:rsidRPr="00567667">
        <w:rPr>
          <w:noProof/>
        </w:rPr>
        <w:tab/>
        <w:t xml:space="preserve">Benjamini, Y. &amp; Hochberg, Y. Controlling the false discovery rate: a practical and powerful approach to multiple testing. </w:t>
      </w:r>
      <w:r w:rsidRPr="00567667">
        <w:rPr>
          <w:i/>
          <w:noProof/>
        </w:rPr>
        <w:t>Journal of the Royal statistical society: series B (Methodological)</w:t>
      </w:r>
      <w:r w:rsidRPr="00567667">
        <w:rPr>
          <w:noProof/>
        </w:rPr>
        <w:t xml:space="preserve"> </w:t>
      </w:r>
      <w:r w:rsidRPr="00567667">
        <w:rPr>
          <w:b/>
          <w:noProof/>
        </w:rPr>
        <w:t>57</w:t>
      </w:r>
      <w:r w:rsidRPr="00567667">
        <w:rPr>
          <w:noProof/>
        </w:rPr>
        <w:t>, 289-300 (1995).</w:t>
      </w:r>
    </w:p>
    <w:p w:rsidR="00567667" w:rsidRPr="00567667" w:rsidRDefault="00567667" w:rsidP="00567667">
      <w:pPr>
        <w:pStyle w:val="EndNoteBibliography"/>
        <w:ind w:left="720" w:hanging="720"/>
        <w:rPr>
          <w:noProof/>
        </w:rPr>
      </w:pPr>
      <w:r w:rsidRPr="00567667">
        <w:rPr>
          <w:noProof/>
        </w:rPr>
        <w:t>13</w:t>
      </w:r>
      <w:r w:rsidRPr="00567667">
        <w:rPr>
          <w:noProof/>
        </w:rPr>
        <w:tab/>
        <w:t>Jassal, B.</w:t>
      </w:r>
      <w:r w:rsidRPr="00567667">
        <w:rPr>
          <w:i/>
          <w:noProof/>
        </w:rPr>
        <w:t xml:space="preserve"> et al.</w:t>
      </w:r>
      <w:r w:rsidRPr="00567667">
        <w:rPr>
          <w:noProof/>
        </w:rPr>
        <w:t xml:space="preserve"> The reactome pathway knowledgebase. </w:t>
      </w:r>
      <w:r w:rsidRPr="00567667">
        <w:rPr>
          <w:i/>
          <w:noProof/>
        </w:rPr>
        <w:t>Nucleic acids research</w:t>
      </w:r>
      <w:r w:rsidRPr="00567667">
        <w:rPr>
          <w:noProof/>
        </w:rPr>
        <w:t xml:space="preserve"> </w:t>
      </w:r>
      <w:r w:rsidRPr="00567667">
        <w:rPr>
          <w:b/>
          <w:noProof/>
        </w:rPr>
        <w:t>48</w:t>
      </w:r>
      <w:r w:rsidRPr="00567667">
        <w:rPr>
          <w:noProof/>
        </w:rPr>
        <w:t>, D498-D503 (2020).</w:t>
      </w:r>
    </w:p>
    <w:p w:rsidR="00882005" w:rsidRDefault="00EB0A90" w:rsidP="00EB0A90">
      <w:pPr>
        <w:spacing w:line="480" w:lineRule="auto"/>
        <w:jc w:val="both"/>
      </w:pPr>
      <w:r>
        <w:fldChar w:fldCharType="end"/>
      </w:r>
    </w:p>
    <w:sectPr w:rsidR="00882005" w:rsidSect="009E714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60E8" w:rsidRDefault="002260E8" w:rsidP="005F1B85">
      <w:r>
        <w:separator/>
      </w:r>
    </w:p>
  </w:endnote>
  <w:endnote w:type="continuationSeparator" w:id="0">
    <w:p w:rsidR="002260E8" w:rsidRDefault="002260E8" w:rsidP="005F1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971369"/>
      <w:docPartObj>
        <w:docPartGallery w:val="Page Numbers (Bottom of Page)"/>
        <w:docPartUnique/>
      </w:docPartObj>
    </w:sdtPr>
    <w:sdtEndPr>
      <w:rPr>
        <w:rStyle w:val="PageNumber"/>
      </w:rPr>
    </w:sdtEndPr>
    <w:sdtContent>
      <w:p w:rsidR="005F1B85" w:rsidRDefault="005F1B85" w:rsidP="001460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F1B85" w:rsidRDefault="005F1B85" w:rsidP="005F1B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4418369"/>
      <w:docPartObj>
        <w:docPartGallery w:val="Page Numbers (Bottom of Page)"/>
        <w:docPartUnique/>
      </w:docPartObj>
    </w:sdtPr>
    <w:sdtEndPr>
      <w:rPr>
        <w:rStyle w:val="PageNumber"/>
      </w:rPr>
    </w:sdtEndPr>
    <w:sdtContent>
      <w:p w:rsidR="005F1B85" w:rsidRDefault="005F1B85" w:rsidP="001460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F1B85" w:rsidRDefault="005F1B85" w:rsidP="005F1B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60E8" w:rsidRDefault="002260E8" w:rsidP="005F1B85">
      <w:r>
        <w:separator/>
      </w:r>
    </w:p>
  </w:footnote>
  <w:footnote w:type="continuationSeparator" w:id="0">
    <w:p w:rsidR="002260E8" w:rsidRDefault="002260E8" w:rsidP="005F1B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style face=&quot;bold&quot;&gt;References&lt;/sty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55z9s2zflxffxeewsswpvxrlps5es2dvztww&quot;&gt;2DForman_Library&lt;record-ids&gt;&lt;item&gt;1&lt;/item&gt;&lt;item&gt;2&lt;/item&gt;&lt;item&gt;3&lt;/item&gt;&lt;item&gt;4&lt;/item&gt;&lt;item&gt;5&lt;/item&gt;&lt;item&gt;6&lt;/item&gt;&lt;item&gt;7&lt;/item&gt;&lt;item&gt;8&lt;/item&gt;&lt;item&gt;9&lt;/item&gt;&lt;item&gt;10&lt;/item&gt;&lt;item&gt;11&lt;/item&gt;&lt;item&gt;12&lt;/item&gt;&lt;item&gt;13&lt;/item&gt;&lt;/record-ids&gt;&lt;/item&gt;&lt;/Libraries&gt;"/>
  </w:docVars>
  <w:rsids>
    <w:rsidRoot w:val="005F1B85"/>
    <w:rsid w:val="000037C6"/>
    <w:rsid w:val="00064689"/>
    <w:rsid w:val="00084CD3"/>
    <w:rsid w:val="00086573"/>
    <w:rsid w:val="000A0C17"/>
    <w:rsid w:val="000C6CFE"/>
    <w:rsid w:val="00146198"/>
    <w:rsid w:val="001B64D4"/>
    <w:rsid w:val="001D401D"/>
    <w:rsid w:val="001D5F6A"/>
    <w:rsid w:val="001F633F"/>
    <w:rsid w:val="002260E8"/>
    <w:rsid w:val="0024569D"/>
    <w:rsid w:val="002820E5"/>
    <w:rsid w:val="0028720A"/>
    <w:rsid w:val="002F12CB"/>
    <w:rsid w:val="00300B21"/>
    <w:rsid w:val="00317C78"/>
    <w:rsid w:val="003302D7"/>
    <w:rsid w:val="00377ECD"/>
    <w:rsid w:val="0038480A"/>
    <w:rsid w:val="003A0FB0"/>
    <w:rsid w:val="003C7151"/>
    <w:rsid w:val="003D33F7"/>
    <w:rsid w:val="004034CC"/>
    <w:rsid w:val="00427FC9"/>
    <w:rsid w:val="004D3787"/>
    <w:rsid w:val="004D7A90"/>
    <w:rsid w:val="004E0D92"/>
    <w:rsid w:val="004F6D1D"/>
    <w:rsid w:val="005460A3"/>
    <w:rsid w:val="00567667"/>
    <w:rsid w:val="005734FC"/>
    <w:rsid w:val="0058099E"/>
    <w:rsid w:val="005F1B85"/>
    <w:rsid w:val="00612D82"/>
    <w:rsid w:val="00615AA3"/>
    <w:rsid w:val="00692A41"/>
    <w:rsid w:val="006D602C"/>
    <w:rsid w:val="00717E1F"/>
    <w:rsid w:val="00747BFF"/>
    <w:rsid w:val="007A08CD"/>
    <w:rsid w:val="007B0DF1"/>
    <w:rsid w:val="007D5643"/>
    <w:rsid w:val="00810183"/>
    <w:rsid w:val="00821DEB"/>
    <w:rsid w:val="00824F33"/>
    <w:rsid w:val="00827DA1"/>
    <w:rsid w:val="00882005"/>
    <w:rsid w:val="008A3794"/>
    <w:rsid w:val="008A7FEE"/>
    <w:rsid w:val="00907D65"/>
    <w:rsid w:val="00977420"/>
    <w:rsid w:val="00980398"/>
    <w:rsid w:val="00996AEE"/>
    <w:rsid w:val="009E7146"/>
    <w:rsid w:val="00A33A86"/>
    <w:rsid w:val="00AA4442"/>
    <w:rsid w:val="00AB5697"/>
    <w:rsid w:val="00AC42AD"/>
    <w:rsid w:val="00AD1157"/>
    <w:rsid w:val="00B24A1E"/>
    <w:rsid w:val="00B42D33"/>
    <w:rsid w:val="00BC0ACA"/>
    <w:rsid w:val="00BD453C"/>
    <w:rsid w:val="00CA4091"/>
    <w:rsid w:val="00CC168A"/>
    <w:rsid w:val="00CD5129"/>
    <w:rsid w:val="00D4764A"/>
    <w:rsid w:val="00D546D2"/>
    <w:rsid w:val="00E1350D"/>
    <w:rsid w:val="00E22A75"/>
    <w:rsid w:val="00E47687"/>
    <w:rsid w:val="00E601DF"/>
    <w:rsid w:val="00E74861"/>
    <w:rsid w:val="00E83730"/>
    <w:rsid w:val="00EB0A90"/>
    <w:rsid w:val="00EE70B3"/>
    <w:rsid w:val="00F4390B"/>
    <w:rsid w:val="00F70F3A"/>
    <w:rsid w:val="00F85882"/>
    <w:rsid w:val="00FA0EB7"/>
    <w:rsid w:val="00FA6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6220"/>
  <w15:chartTrackingRefBased/>
  <w15:docId w15:val="{4278E234-6B34-FB44-BDFF-1812EA76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7E1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7E1F"/>
    <w:rPr>
      <w:rFonts w:ascii="Times New Roman" w:hAnsi="Times New Roman" w:cs="Times New Roman"/>
      <w:sz w:val="18"/>
      <w:szCs w:val="18"/>
    </w:rPr>
  </w:style>
  <w:style w:type="paragraph" w:styleId="Footer">
    <w:name w:val="footer"/>
    <w:basedOn w:val="Normal"/>
    <w:link w:val="FooterChar"/>
    <w:uiPriority w:val="99"/>
    <w:unhideWhenUsed/>
    <w:rsid w:val="005F1B85"/>
    <w:pPr>
      <w:tabs>
        <w:tab w:val="center" w:pos="4680"/>
        <w:tab w:val="right" w:pos="9360"/>
      </w:tabs>
    </w:pPr>
  </w:style>
  <w:style w:type="character" w:customStyle="1" w:styleId="FooterChar">
    <w:name w:val="Footer Char"/>
    <w:basedOn w:val="DefaultParagraphFont"/>
    <w:link w:val="Footer"/>
    <w:uiPriority w:val="99"/>
    <w:rsid w:val="005F1B85"/>
  </w:style>
  <w:style w:type="character" w:styleId="PageNumber">
    <w:name w:val="page number"/>
    <w:basedOn w:val="DefaultParagraphFont"/>
    <w:uiPriority w:val="99"/>
    <w:semiHidden/>
    <w:unhideWhenUsed/>
    <w:rsid w:val="005F1B85"/>
  </w:style>
  <w:style w:type="character" w:styleId="PlaceholderText">
    <w:name w:val="Placeholder Text"/>
    <w:basedOn w:val="DefaultParagraphFont"/>
    <w:uiPriority w:val="99"/>
    <w:semiHidden/>
    <w:rsid w:val="00F85882"/>
    <w:rPr>
      <w:color w:val="808080"/>
    </w:rPr>
  </w:style>
  <w:style w:type="paragraph" w:customStyle="1" w:styleId="EndNoteBibliographyTitle">
    <w:name w:val="EndNote Bibliography Title"/>
    <w:basedOn w:val="Normal"/>
    <w:link w:val="EndNoteBibliographyTitleChar"/>
    <w:rsid w:val="00EB0A90"/>
    <w:pPr>
      <w:jc w:val="center"/>
    </w:pPr>
  </w:style>
  <w:style w:type="character" w:customStyle="1" w:styleId="EndNoteBibliographyTitleChar">
    <w:name w:val="EndNote Bibliography Title Char"/>
    <w:basedOn w:val="DefaultParagraphFont"/>
    <w:link w:val="EndNoteBibliographyTitle"/>
    <w:rsid w:val="00EB0A90"/>
  </w:style>
  <w:style w:type="paragraph" w:customStyle="1" w:styleId="EndNoteBibliography">
    <w:name w:val="EndNote Bibliography"/>
    <w:basedOn w:val="Normal"/>
    <w:link w:val="EndNoteBibliographyChar"/>
    <w:rsid w:val="00EB0A90"/>
    <w:pPr>
      <w:spacing w:line="480" w:lineRule="auto"/>
      <w:jc w:val="both"/>
    </w:pPr>
  </w:style>
  <w:style w:type="character" w:customStyle="1" w:styleId="EndNoteBibliographyChar">
    <w:name w:val="EndNote Bibliography Char"/>
    <w:basedOn w:val="DefaultParagraphFont"/>
    <w:link w:val="EndNoteBibliography"/>
    <w:rsid w:val="00EB0A90"/>
  </w:style>
  <w:style w:type="character" w:styleId="Hyperlink">
    <w:name w:val="Hyperlink"/>
    <w:basedOn w:val="DefaultParagraphFont"/>
    <w:uiPriority w:val="99"/>
    <w:unhideWhenUsed/>
    <w:rsid w:val="007D5643"/>
    <w:rPr>
      <w:color w:val="0563C1" w:themeColor="hyperlink"/>
      <w:u w:val="single"/>
    </w:rPr>
  </w:style>
  <w:style w:type="character" w:styleId="UnresolvedMention">
    <w:name w:val="Unresolved Mention"/>
    <w:basedOn w:val="DefaultParagraphFont"/>
    <w:uiPriority w:val="99"/>
    <w:semiHidden/>
    <w:unhideWhenUsed/>
    <w:rsid w:val="007D5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13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kevin-murgas/PPI-hypergraph-geometr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9</Pages>
  <Words>4040</Words>
  <Characters>23030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Murgas</dc:creator>
  <cp:keywords/>
  <dc:description/>
  <cp:lastModifiedBy>Kevin Murgas</cp:lastModifiedBy>
  <cp:revision>20</cp:revision>
  <dcterms:created xsi:type="dcterms:W3CDTF">2022-03-02T02:31:00Z</dcterms:created>
  <dcterms:modified xsi:type="dcterms:W3CDTF">2022-10-08T18:59:00Z</dcterms:modified>
</cp:coreProperties>
</file>