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9BB1A" w14:textId="625AF117" w:rsidR="008A3C30" w:rsidRPr="00C47E4D" w:rsidRDefault="008A3C30" w:rsidP="008A3C3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SUPPLEMENTARY MATERIALS</w:t>
      </w:r>
    </w:p>
    <w:p w14:paraId="79ABB5A0" w14:textId="77777777" w:rsidR="008A3C30" w:rsidRDefault="008A3C30" w:rsidP="008A3C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S1: </w:t>
      </w:r>
      <w:r>
        <w:rPr>
          <w:rFonts w:ascii="Times New Roman" w:hAnsi="Times New Roman" w:cs="Times New Roman"/>
          <w:sz w:val="24"/>
          <w:szCs w:val="24"/>
          <w:lang w:val="en-US"/>
        </w:rPr>
        <w:t>Funnel plots of the performed meta-analyses regarding the association between anemia and SAH outcome endpoints graphically showing the presence of publication bias.</w:t>
      </w:r>
    </w:p>
    <w:tbl>
      <w:tblPr>
        <w:tblStyle w:val="Tabelraster"/>
        <w:tblW w:w="11052" w:type="dxa"/>
        <w:jc w:val="center"/>
        <w:tblLook w:val="04A0" w:firstRow="1" w:lastRow="0" w:firstColumn="1" w:lastColumn="0" w:noHBand="0" w:noVBand="1"/>
      </w:tblPr>
      <w:tblGrid>
        <w:gridCol w:w="5683"/>
        <w:gridCol w:w="5369"/>
      </w:tblGrid>
      <w:tr w:rsidR="007A3A67" w14:paraId="296FAC2B" w14:textId="77777777" w:rsidTr="006F20FC">
        <w:trPr>
          <w:jc w:val="center"/>
        </w:trPr>
        <w:tc>
          <w:tcPr>
            <w:tcW w:w="11052" w:type="dxa"/>
            <w:gridSpan w:val="2"/>
            <w:shd w:val="clear" w:color="auto" w:fill="F2F2F2" w:themeFill="background1" w:themeFillShade="F2"/>
          </w:tcPr>
          <w:p w14:paraId="4B63AB84" w14:textId="77777777" w:rsidR="008A3C30" w:rsidRPr="002B717B" w:rsidRDefault="008A3C30" w:rsidP="008A3C30">
            <w:pPr>
              <w:pStyle w:val="Lijstalinea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value of anemia for the long-term functional outcome after SAH</w:t>
            </w:r>
          </w:p>
        </w:tc>
      </w:tr>
      <w:tr w:rsidR="007A3A67" w14:paraId="614E32DB" w14:textId="77777777" w:rsidTr="007A3A67">
        <w:trPr>
          <w:jc w:val="center"/>
        </w:trPr>
        <w:tc>
          <w:tcPr>
            <w:tcW w:w="5683" w:type="dxa"/>
          </w:tcPr>
          <w:p w14:paraId="2C125EE6" w14:textId="77777777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B7A59F2" wp14:editId="084339B8">
                  <wp:extent cx="3203575" cy="21126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b="3307"/>
                          <a:stretch/>
                        </pic:blipFill>
                        <pic:spPr bwMode="auto">
                          <a:xfrm>
                            <a:off x="0" y="0"/>
                            <a:ext cx="3204000" cy="211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CF6975" w14:textId="77777777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Admission Hb (continuous assessment)</w:t>
            </w:r>
          </w:p>
        </w:tc>
        <w:tc>
          <w:tcPr>
            <w:tcW w:w="5369" w:type="dxa"/>
          </w:tcPr>
          <w:p w14:paraId="4B0D876B" w14:textId="77777777" w:rsidR="008A3C30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3541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22B7DC6" wp14:editId="7984D1FE">
                  <wp:extent cx="3182400" cy="2113200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400" cy="21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0EC82" w14:textId="77777777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 Hb during SAH (continuous assessment)</w:t>
            </w:r>
          </w:p>
        </w:tc>
      </w:tr>
      <w:tr w:rsidR="007A3A67" w14:paraId="3DE01C8C" w14:textId="77777777" w:rsidTr="007A3A67">
        <w:trPr>
          <w:jc w:val="center"/>
        </w:trPr>
        <w:tc>
          <w:tcPr>
            <w:tcW w:w="5683" w:type="dxa"/>
          </w:tcPr>
          <w:p w14:paraId="1001F086" w14:textId="77777777" w:rsidR="008A3C30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C40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7778FEE5" wp14:editId="759E7291">
                  <wp:extent cx="3192345" cy="2148840"/>
                  <wp:effectExtent l="0" t="0" r="8255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821"/>
                          <a:stretch/>
                        </pic:blipFill>
                        <pic:spPr bwMode="auto">
                          <a:xfrm>
                            <a:off x="0" y="0"/>
                            <a:ext cx="3193200" cy="214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750CE9" w14:textId="77777777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(continuous assessment)</w:t>
            </w:r>
          </w:p>
        </w:tc>
        <w:tc>
          <w:tcPr>
            <w:tcW w:w="5369" w:type="dxa"/>
          </w:tcPr>
          <w:p w14:paraId="667D2461" w14:textId="77777777" w:rsidR="008A3C30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C40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63C3F67" wp14:editId="7059268F">
                  <wp:extent cx="3182400" cy="214920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400" cy="214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97FFE" w14:textId="77777777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&lt;11.0 – 11.5 g/dL</w:t>
            </w:r>
          </w:p>
        </w:tc>
      </w:tr>
      <w:tr w:rsidR="007A3A67" w14:paraId="0912FC64" w14:textId="77777777" w:rsidTr="007A3A67">
        <w:trPr>
          <w:jc w:val="center"/>
        </w:trPr>
        <w:tc>
          <w:tcPr>
            <w:tcW w:w="5683" w:type="dxa"/>
          </w:tcPr>
          <w:p w14:paraId="59B40891" w14:textId="77777777" w:rsidR="008A3C30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A3C3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7293B7B" wp14:editId="73DB9727">
                  <wp:extent cx="3175200" cy="2167200"/>
                  <wp:effectExtent l="0" t="0" r="635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9771E" w14:textId="158D299F" w:rsidR="008A3C30" w:rsidRPr="002B717B" w:rsidRDefault="008A3C3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</w:t>
            </w:r>
            <w:r w:rsidR="00040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9.0</w:t>
            </w:r>
            <w:r w:rsidR="007A3A6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– </w:t>
            </w:r>
            <w:r w:rsidR="00040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10.0 g/dL</w:t>
            </w:r>
          </w:p>
        </w:tc>
        <w:tc>
          <w:tcPr>
            <w:tcW w:w="5369" w:type="dxa"/>
          </w:tcPr>
          <w:p w14:paraId="67C6A9F7" w14:textId="77777777" w:rsidR="008A3C30" w:rsidRDefault="007A3A67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A3A6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61C201DA" wp14:editId="4A506200">
                  <wp:extent cx="3132000" cy="217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0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1BAEEF" w14:textId="62885524" w:rsidR="007A3A67" w:rsidRPr="002B717B" w:rsidRDefault="007A3A67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or RBCT at &lt;8.0 – 8.5 g/dL </w:t>
            </w:r>
          </w:p>
        </w:tc>
      </w:tr>
      <w:tr w:rsidR="002020C1" w14:paraId="40301DEA" w14:textId="77777777" w:rsidTr="00C37AA0">
        <w:trPr>
          <w:jc w:val="center"/>
        </w:trPr>
        <w:tc>
          <w:tcPr>
            <w:tcW w:w="11052" w:type="dxa"/>
            <w:gridSpan w:val="2"/>
          </w:tcPr>
          <w:p w14:paraId="326A1BC4" w14:textId="77777777" w:rsidR="002020C1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6035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lastRenderedPageBreak/>
              <w:drawing>
                <wp:inline distT="0" distB="0" distL="0" distR="0" wp14:anchorId="065DD7CA" wp14:editId="1A570F0D">
                  <wp:extent cx="3132000" cy="2091600"/>
                  <wp:effectExtent l="0" t="0" r="0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3992"/>
                          <a:stretch/>
                        </pic:blipFill>
                        <pic:spPr bwMode="auto">
                          <a:xfrm>
                            <a:off x="0" y="0"/>
                            <a:ext cx="3132000" cy="209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5DE218" w14:textId="77777777" w:rsidR="002020C1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or RBCT at &lt;7.0 g/dL</w:t>
            </w:r>
          </w:p>
          <w:p w14:paraId="659833D4" w14:textId="77777777" w:rsidR="002020C1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164F6C54" w14:textId="77777777" w:rsidR="002020C1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1B7059C2" w14:textId="5F13D140" w:rsidR="002020C1" w:rsidRPr="007A3A67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1E346C" w14:paraId="6CB4152E" w14:textId="77777777" w:rsidTr="006F20FC">
        <w:trPr>
          <w:jc w:val="center"/>
        </w:trPr>
        <w:tc>
          <w:tcPr>
            <w:tcW w:w="11052" w:type="dxa"/>
            <w:gridSpan w:val="2"/>
            <w:shd w:val="clear" w:color="auto" w:fill="F2F2F2" w:themeFill="background1" w:themeFillShade="F2"/>
          </w:tcPr>
          <w:p w14:paraId="3DBF3DD6" w14:textId="5AD48B6F" w:rsidR="001E346C" w:rsidRPr="006F20FC" w:rsidRDefault="001E346C" w:rsidP="006F20FC">
            <w:pPr>
              <w:pStyle w:val="Lijstalinea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value of anemia for the functional outcome after SAH at discharge (short-term outcome)</w:t>
            </w:r>
          </w:p>
        </w:tc>
      </w:tr>
      <w:tr w:rsidR="00025144" w14:paraId="40E18CC9" w14:textId="77777777" w:rsidTr="007A3A67">
        <w:trPr>
          <w:jc w:val="center"/>
        </w:trPr>
        <w:tc>
          <w:tcPr>
            <w:tcW w:w="5683" w:type="dxa"/>
          </w:tcPr>
          <w:p w14:paraId="28557464" w14:textId="3209C3AE" w:rsidR="00025144" w:rsidRPr="002B717B" w:rsidRDefault="00832E72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32E7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3BA4ACF9" wp14:editId="104EA7A4">
                  <wp:extent cx="3168000" cy="2120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21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C583C" w14:textId="715EE9AC" w:rsidR="00025144" w:rsidRPr="00F60355" w:rsidRDefault="00025144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Admission Hb (continuous assessment)</w:t>
            </w:r>
          </w:p>
        </w:tc>
        <w:tc>
          <w:tcPr>
            <w:tcW w:w="5369" w:type="dxa"/>
          </w:tcPr>
          <w:p w14:paraId="5DB95CD9" w14:textId="783B398A" w:rsidR="00025144" w:rsidRDefault="00832E72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32E7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131B4D76" wp14:editId="11A4A32A">
                  <wp:extent cx="3174960" cy="2120265"/>
                  <wp:effectExtent l="0" t="0" r="698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" b="2964"/>
                          <a:stretch/>
                        </pic:blipFill>
                        <pic:spPr bwMode="auto">
                          <a:xfrm>
                            <a:off x="0" y="0"/>
                            <a:ext cx="3174960" cy="212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71C00D" w14:textId="2B2BD191" w:rsidR="00025144" w:rsidRPr="007A3A67" w:rsidRDefault="00025144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 Hb during SAH (continuous assessment)</w:t>
            </w:r>
          </w:p>
        </w:tc>
      </w:tr>
      <w:tr w:rsidR="007204DA" w14:paraId="1A42BA7A" w14:textId="77777777" w:rsidTr="002020C1">
        <w:trPr>
          <w:trHeight w:val="4348"/>
          <w:jc w:val="center"/>
        </w:trPr>
        <w:tc>
          <w:tcPr>
            <w:tcW w:w="5683" w:type="dxa"/>
          </w:tcPr>
          <w:p w14:paraId="1A0832C5" w14:textId="72C6F62D" w:rsidR="00025144" w:rsidRDefault="000D04EA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04E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55DF0B04" wp14:editId="19EFA4BC">
                  <wp:extent cx="3160800" cy="2109600"/>
                  <wp:effectExtent l="0" t="0" r="1905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4948"/>
                          <a:stretch/>
                        </pic:blipFill>
                        <pic:spPr bwMode="auto">
                          <a:xfrm>
                            <a:off x="0" y="0"/>
                            <a:ext cx="3160800" cy="21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FC7051" w14:textId="479077CC" w:rsidR="00025144" w:rsidRPr="00F60355" w:rsidRDefault="00025144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&lt;9.0 – 10.0 g/dL</w:t>
            </w:r>
          </w:p>
        </w:tc>
        <w:tc>
          <w:tcPr>
            <w:tcW w:w="5369" w:type="dxa"/>
          </w:tcPr>
          <w:p w14:paraId="41038AFB" w14:textId="6E265666" w:rsidR="00025144" w:rsidRDefault="00062E7F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62E7F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4FCD79EB" wp14:editId="2AB0C054">
                  <wp:extent cx="3153387" cy="2109470"/>
                  <wp:effectExtent l="0" t="0" r="9525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-1" b="1512"/>
                          <a:stretch/>
                        </pic:blipFill>
                        <pic:spPr bwMode="auto">
                          <a:xfrm>
                            <a:off x="0" y="0"/>
                            <a:ext cx="3153600" cy="2109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6DD2F5" w14:textId="3FF7A0E4" w:rsidR="00025144" w:rsidRPr="007A3A67" w:rsidRDefault="00025144" w:rsidP="000251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or RBCT at &lt;8.0 – 8.5 g/dL </w:t>
            </w:r>
          </w:p>
        </w:tc>
      </w:tr>
      <w:tr w:rsidR="00025144" w:rsidRPr="002B717B" w14:paraId="184081BD" w14:textId="77777777" w:rsidTr="002B717B">
        <w:trPr>
          <w:jc w:val="center"/>
        </w:trPr>
        <w:tc>
          <w:tcPr>
            <w:tcW w:w="11052" w:type="dxa"/>
            <w:gridSpan w:val="2"/>
            <w:shd w:val="clear" w:color="auto" w:fill="F2F2F2" w:themeFill="background1" w:themeFillShade="F2"/>
          </w:tcPr>
          <w:p w14:paraId="3BFDF22D" w14:textId="2608A8D5" w:rsidR="00025144" w:rsidRPr="006F20FC" w:rsidRDefault="00025144" w:rsidP="006F20FC">
            <w:pPr>
              <w:pStyle w:val="Lijstalinea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The value of anemia for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in-hospital (or 30-days) mortality </w:t>
            </w: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after SAH at discharge </w:t>
            </w:r>
          </w:p>
        </w:tc>
      </w:tr>
      <w:tr w:rsidR="007378CE" w:rsidRPr="007A3A67" w14:paraId="193373C4" w14:textId="77777777" w:rsidTr="002B717B">
        <w:trPr>
          <w:jc w:val="center"/>
        </w:trPr>
        <w:tc>
          <w:tcPr>
            <w:tcW w:w="5683" w:type="dxa"/>
          </w:tcPr>
          <w:p w14:paraId="7DBDFDE2" w14:textId="7009BA63" w:rsidR="00025144" w:rsidRPr="002B717B" w:rsidRDefault="00062E7F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62E7F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40405343" wp14:editId="37D95E26">
                  <wp:extent cx="3196800" cy="2102400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b="2856"/>
                          <a:stretch/>
                        </pic:blipFill>
                        <pic:spPr bwMode="auto">
                          <a:xfrm>
                            <a:off x="0" y="0"/>
                            <a:ext cx="3196800" cy="210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C1B937" w14:textId="77777777" w:rsidR="00025144" w:rsidRPr="00F60355" w:rsidRDefault="00025144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Admission Hb (continuous assessment)</w:t>
            </w:r>
          </w:p>
        </w:tc>
        <w:tc>
          <w:tcPr>
            <w:tcW w:w="5369" w:type="dxa"/>
          </w:tcPr>
          <w:p w14:paraId="2EEB6566" w14:textId="05736B5A" w:rsidR="00025144" w:rsidRDefault="00062E7F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62E7F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37EA165D" wp14:editId="3361EFC2">
                  <wp:extent cx="3163879" cy="21018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b="1194"/>
                          <a:stretch/>
                        </pic:blipFill>
                        <pic:spPr bwMode="auto">
                          <a:xfrm>
                            <a:off x="0" y="0"/>
                            <a:ext cx="3164400" cy="2102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9DBB9F" w14:textId="77777777" w:rsidR="00025144" w:rsidRPr="007A3A67" w:rsidRDefault="00025144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 Hb during SAH (continuous assessment)</w:t>
            </w:r>
          </w:p>
        </w:tc>
      </w:tr>
      <w:tr w:rsidR="007378CE" w:rsidRPr="007A3A67" w14:paraId="021C97B8" w14:textId="77777777" w:rsidTr="002B717B">
        <w:trPr>
          <w:jc w:val="center"/>
        </w:trPr>
        <w:tc>
          <w:tcPr>
            <w:tcW w:w="5683" w:type="dxa"/>
          </w:tcPr>
          <w:p w14:paraId="65ECF819" w14:textId="00F00237" w:rsidR="00025144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0C1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1291BB6B" wp14:editId="66063DFB">
                  <wp:extent cx="3160271" cy="2087592"/>
                  <wp:effectExtent l="0" t="0" r="254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b="2850"/>
                          <a:stretch/>
                        </pic:blipFill>
                        <pic:spPr bwMode="auto">
                          <a:xfrm>
                            <a:off x="0" y="0"/>
                            <a:ext cx="3160800" cy="2087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F6C560" w14:textId="77777777" w:rsidR="00025144" w:rsidRPr="00F60355" w:rsidRDefault="00025144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(continuous assessment)</w:t>
            </w:r>
          </w:p>
        </w:tc>
        <w:tc>
          <w:tcPr>
            <w:tcW w:w="5369" w:type="dxa"/>
          </w:tcPr>
          <w:p w14:paraId="6BFEDC19" w14:textId="42070228" w:rsidR="00025144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0C1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1EA8110" wp14:editId="6EFABE59">
                  <wp:extent cx="3149600" cy="2087245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b="4471"/>
                          <a:stretch/>
                        </pic:blipFill>
                        <pic:spPr bwMode="auto">
                          <a:xfrm>
                            <a:off x="0" y="0"/>
                            <a:ext cx="3150000" cy="208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E9E53" w14:textId="0ECE8D99" w:rsidR="00025144" w:rsidRPr="007A3A67" w:rsidRDefault="00025144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during SAH or RBCT at </w:t>
            </w:r>
            <w:r w:rsidR="002020C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&lt;9.0 – 10.0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g/dL</w:t>
            </w:r>
          </w:p>
        </w:tc>
      </w:tr>
      <w:tr w:rsidR="002020C1" w:rsidRPr="007A3A67" w14:paraId="1CD1B9E7" w14:textId="77777777" w:rsidTr="006F20FC">
        <w:trPr>
          <w:trHeight w:val="5214"/>
          <w:jc w:val="center"/>
        </w:trPr>
        <w:tc>
          <w:tcPr>
            <w:tcW w:w="11052" w:type="dxa"/>
            <w:gridSpan w:val="2"/>
          </w:tcPr>
          <w:p w14:paraId="13FFB0DF" w14:textId="2FB787EB" w:rsidR="002020C1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0C1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EE6153E" wp14:editId="6FA38BCC">
                  <wp:extent cx="3139200" cy="2142000"/>
                  <wp:effectExtent l="0" t="0" r="444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200" cy="21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113CE" w14:textId="77777777" w:rsidR="002020C1" w:rsidRPr="007A3A67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or RBCT at &lt;8.0 – 8.5 g/dL </w:t>
            </w:r>
          </w:p>
        </w:tc>
      </w:tr>
      <w:tr w:rsidR="00AA2970" w:rsidRPr="002B717B" w14:paraId="0EAC692D" w14:textId="77777777" w:rsidTr="002B717B">
        <w:trPr>
          <w:jc w:val="center"/>
        </w:trPr>
        <w:tc>
          <w:tcPr>
            <w:tcW w:w="11052" w:type="dxa"/>
            <w:gridSpan w:val="2"/>
            <w:shd w:val="clear" w:color="auto" w:fill="F2F2F2" w:themeFill="background1" w:themeFillShade="F2"/>
          </w:tcPr>
          <w:p w14:paraId="5845F3F2" w14:textId="12468D31" w:rsidR="00AA2970" w:rsidRPr="006F20FC" w:rsidRDefault="00AA2970" w:rsidP="006F20FC">
            <w:pPr>
              <w:pStyle w:val="Lijstalinea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The value of anemia for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risk of cerebral infarction </w:t>
            </w: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after SAH </w:t>
            </w:r>
          </w:p>
        </w:tc>
      </w:tr>
      <w:tr w:rsidR="007378CE" w:rsidRPr="007A3A67" w14:paraId="38B54308" w14:textId="77777777" w:rsidTr="002B717B">
        <w:trPr>
          <w:jc w:val="center"/>
        </w:trPr>
        <w:tc>
          <w:tcPr>
            <w:tcW w:w="5683" w:type="dxa"/>
          </w:tcPr>
          <w:p w14:paraId="49BA6301" w14:textId="77777777" w:rsidR="002020C1" w:rsidRDefault="002020C1" w:rsidP="002020C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0C1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1C2EC265" wp14:editId="662565F2">
                  <wp:extent cx="3217856" cy="2109470"/>
                  <wp:effectExtent l="0" t="0" r="1905" b="508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b="2323"/>
                          <a:stretch/>
                        </pic:blipFill>
                        <pic:spPr bwMode="auto">
                          <a:xfrm>
                            <a:off x="0" y="0"/>
                            <a:ext cx="3218400" cy="2109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CB8CF4" w14:textId="0E74F2B6" w:rsidR="00AA2970" w:rsidRPr="00F60355" w:rsidRDefault="002020C1" w:rsidP="002020C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 Hb during SAH (continuous assessment)</w:t>
            </w:r>
          </w:p>
        </w:tc>
        <w:tc>
          <w:tcPr>
            <w:tcW w:w="5369" w:type="dxa"/>
          </w:tcPr>
          <w:p w14:paraId="32E41FD1" w14:textId="77777777" w:rsidR="00AA2970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20C1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5BFD9BFC" wp14:editId="2B560962">
                  <wp:extent cx="3132000" cy="2109600"/>
                  <wp:effectExtent l="0" t="0" r="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b="1942"/>
                          <a:stretch/>
                        </pic:blipFill>
                        <pic:spPr bwMode="auto">
                          <a:xfrm>
                            <a:off x="0" y="0"/>
                            <a:ext cx="3132000" cy="21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4DDA1D" w14:textId="5300CE63" w:rsidR="002020C1" w:rsidRPr="007A3A67" w:rsidRDefault="002020C1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&lt;11.0 – 11.5 g/dL</w:t>
            </w:r>
          </w:p>
        </w:tc>
      </w:tr>
      <w:tr w:rsidR="007378CE" w:rsidRPr="007A3A67" w14:paraId="620EDE7A" w14:textId="77777777" w:rsidTr="006F20FC">
        <w:trPr>
          <w:trHeight w:val="8813"/>
          <w:jc w:val="center"/>
        </w:trPr>
        <w:tc>
          <w:tcPr>
            <w:tcW w:w="5683" w:type="dxa"/>
          </w:tcPr>
          <w:p w14:paraId="49E5D0E3" w14:textId="06DD6000" w:rsidR="00AA2970" w:rsidRDefault="007378CE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378C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75B89472" wp14:editId="20B744DA">
                  <wp:extent cx="3145155" cy="209613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b="4038"/>
                          <a:stretch/>
                        </pic:blipFill>
                        <pic:spPr bwMode="auto">
                          <a:xfrm>
                            <a:off x="0" y="0"/>
                            <a:ext cx="3146400" cy="209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8B7281" w14:textId="77777777" w:rsidR="00AA2970" w:rsidRPr="00F60355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&lt;9.0 – 10.0 g/dL</w:t>
            </w:r>
          </w:p>
        </w:tc>
        <w:tc>
          <w:tcPr>
            <w:tcW w:w="5369" w:type="dxa"/>
          </w:tcPr>
          <w:p w14:paraId="50B470C4" w14:textId="538800F3" w:rsidR="00AA2970" w:rsidRDefault="007378CE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378C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3994983" wp14:editId="62D2B96C">
                  <wp:extent cx="3145552" cy="209613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b="4208"/>
                          <a:stretch/>
                        </pic:blipFill>
                        <pic:spPr bwMode="auto">
                          <a:xfrm>
                            <a:off x="0" y="0"/>
                            <a:ext cx="3146400" cy="209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56E7FE" w14:textId="77777777" w:rsidR="00AA2970" w:rsidRPr="007A3A67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or RBCT at &lt;8.0 – 8.5 g/dL </w:t>
            </w:r>
          </w:p>
        </w:tc>
      </w:tr>
      <w:tr w:rsidR="00AA2970" w:rsidRPr="002B717B" w14:paraId="41B89368" w14:textId="77777777" w:rsidTr="002B717B">
        <w:trPr>
          <w:jc w:val="center"/>
        </w:trPr>
        <w:tc>
          <w:tcPr>
            <w:tcW w:w="11052" w:type="dxa"/>
            <w:gridSpan w:val="2"/>
            <w:shd w:val="clear" w:color="auto" w:fill="F2F2F2" w:themeFill="background1" w:themeFillShade="F2"/>
          </w:tcPr>
          <w:p w14:paraId="7081E199" w14:textId="4E445ADB" w:rsidR="00AA2970" w:rsidRPr="006F20FC" w:rsidRDefault="00AA2970" w:rsidP="006F20FC">
            <w:pPr>
              <w:pStyle w:val="Lijstalinea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The value of anemia for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risk of cerebral vasospasm</w:t>
            </w:r>
            <w:r w:rsidRPr="006F20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after SAH </w:t>
            </w:r>
          </w:p>
        </w:tc>
      </w:tr>
      <w:tr w:rsidR="007378CE" w:rsidRPr="007A3A67" w14:paraId="3A5AF9A6" w14:textId="77777777" w:rsidTr="002B717B">
        <w:trPr>
          <w:jc w:val="center"/>
        </w:trPr>
        <w:tc>
          <w:tcPr>
            <w:tcW w:w="5683" w:type="dxa"/>
          </w:tcPr>
          <w:p w14:paraId="60FBDB1D" w14:textId="4C3FE966" w:rsidR="00AA2970" w:rsidRPr="002B717B" w:rsidRDefault="007378CE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378C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4AE9C4AC" wp14:editId="016C9C05">
                  <wp:extent cx="3142800" cy="2142000"/>
                  <wp:effectExtent l="0" t="0" r="63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800" cy="21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1DBAD" w14:textId="77777777" w:rsidR="00AA2970" w:rsidRPr="00F60355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B71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Admission Hb (continuous assessment)</w:t>
            </w:r>
          </w:p>
        </w:tc>
        <w:tc>
          <w:tcPr>
            <w:tcW w:w="5369" w:type="dxa"/>
          </w:tcPr>
          <w:p w14:paraId="7D254426" w14:textId="4B43067C" w:rsidR="00AA2970" w:rsidRDefault="007378CE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378C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655C976A" wp14:editId="7E11504B">
                  <wp:extent cx="3192656" cy="2141855"/>
                  <wp:effectExtent l="0" t="0" r="825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b="1316"/>
                          <a:stretch/>
                        </pic:blipFill>
                        <pic:spPr bwMode="auto">
                          <a:xfrm>
                            <a:off x="0" y="0"/>
                            <a:ext cx="3193200" cy="214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B470E0" w14:textId="77777777" w:rsidR="00AA2970" w:rsidRPr="007A3A67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 Hb during SAH (continuous assessment)</w:t>
            </w:r>
          </w:p>
        </w:tc>
      </w:tr>
      <w:tr w:rsidR="007378CE" w:rsidRPr="007A3A67" w14:paraId="0F1D74D7" w14:textId="77777777" w:rsidTr="002B717B">
        <w:trPr>
          <w:jc w:val="center"/>
        </w:trPr>
        <w:tc>
          <w:tcPr>
            <w:tcW w:w="5683" w:type="dxa"/>
          </w:tcPr>
          <w:p w14:paraId="5044370A" w14:textId="713761DD" w:rsidR="00AA2970" w:rsidRPr="00F60355" w:rsidRDefault="00977BC5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7BC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78CF4120" wp14:editId="6E96A3DD">
                  <wp:extent cx="3160271" cy="2104846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b="2047"/>
                          <a:stretch/>
                        </pic:blipFill>
                        <pic:spPr bwMode="auto">
                          <a:xfrm>
                            <a:off x="0" y="0"/>
                            <a:ext cx="3160800" cy="2105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7BC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A29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(continuous assessment)</w:t>
            </w:r>
          </w:p>
        </w:tc>
        <w:tc>
          <w:tcPr>
            <w:tcW w:w="5369" w:type="dxa"/>
          </w:tcPr>
          <w:p w14:paraId="640060D5" w14:textId="2E0A6515" w:rsidR="00AA2970" w:rsidRDefault="00977BC5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7BC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5FD49591" wp14:editId="676F3D3E">
                  <wp:extent cx="3164186" cy="210439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b="1749"/>
                          <a:stretch/>
                        </pic:blipFill>
                        <pic:spPr bwMode="auto">
                          <a:xfrm>
                            <a:off x="0" y="0"/>
                            <a:ext cx="3164400" cy="2104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8FC249" w14:textId="77777777" w:rsidR="00AA2970" w:rsidRPr="007A3A67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&lt;11.0 – 11.5 g/dL</w:t>
            </w:r>
          </w:p>
        </w:tc>
      </w:tr>
      <w:tr w:rsidR="007378CE" w:rsidRPr="007A3A67" w14:paraId="1071692B" w14:textId="77777777" w:rsidTr="002B717B">
        <w:trPr>
          <w:jc w:val="center"/>
        </w:trPr>
        <w:tc>
          <w:tcPr>
            <w:tcW w:w="5683" w:type="dxa"/>
          </w:tcPr>
          <w:p w14:paraId="78181B91" w14:textId="72F7F0DD" w:rsidR="00AA2970" w:rsidRDefault="007204DA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204D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2CE045CC" wp14:editId="5198580D">
                  <wp:extent cx="3186000" cy="2149200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000" cy="214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6841C" w14:textId="77777777" w:rsidR="00AA2970" w:rsidRPr="00F60355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Nadir Hb during SAH or RBCT at &lt;9.0 – 10.0 g/dL</w:t>
            </w:r>
          </w:p>
        </w:tc>
        <w:tc>
          <w:tcPr>
            <w:tcW w:w="5369" w:type="dxa"/>
          </w:tcPr>
          <w:p w14:paraId="5966F884" w14:textId="49F55F1F" w:rsidR="00AA2970" w:rsidRDefault="007204DA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204D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nl-NL" w:eastAsia="nl-NL"/>
              </w:rPr>
              <w:drawing>
                <wp:inline distT="0" distB="0" distL="0" distR="0" wp14:anchorId="654EFB6E" wp14:editId="6F00E8DA">
                  <wp:extent cx="3153600" cy="2142000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600" cy="21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8D1B1" w14:textId="77777777" w:rsidR="00AA2970" w:rsidRPr="007A3A67" w:rsidRDefault="00AA2970" w:rsidP="002B71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Nadir Hb or RBCT at &lt;8.0 – 8.5 g/dL </w:t>
            </w:r>
          </w:p>
        </w:tc>
      </w:tr>
    </w:tbl>
    <w:p w14:paraId="6C8C64B1" w14:textId="77777777" w:rsidR="00F60355" w:rsidRDefault="00F60355" w:rsidP="00C47E4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FAEA9D" w14:textId="77777777" w:rsidR="00F60355" w:rsidRDefault="00F60355" w:rsidP="00C47E4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6E2FF0" w14:textId="77777777" w:rsidR="00F60355" w:rsidRDefault="00F60355" w:rsidP="00C47E4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94FE01" w14:textId="77777777" w:rsidR="007204DA" w:rsidRDefault="007204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BD2278F" w14:textId="0BA29E06" w:rsidR="00C47E4D" w:rsidRPr="00C47E4D" w:rsidRDefault="00C47E4D" w:rsidP="00C47E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S1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: A Full list of search terms and screened academic databases</w:t>
      </w:r>
    </w:p>
    <w:p w14:paraId="684455F0" w14:textId="77777777" w:rsidR="00C47E4D" w:rsidRPr="00C47E4D" w:rsidRDefault="00C47E4D" w:rsidP="00C47E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2113"/>
      </w:tblGrid>
      <w:tr w:rsidR="00C47E4D" w:rsidRPr="00C47E4D" w14:paraId="00C166A1" w14:textId="77777777" w:rsidTr="0064421B">
        <w:tc>
          <w:tcPr>
            <w:tcW w:w="1838" w:type="dxa"/>
            <w:vAlign w:val="center"/>
          </w:tcPr>
          <w:p w14:paraId="20A1D2D9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databases</w:t>
            </w:r>
          </w:p>
        </w:tc>
        <w:tc>
          <w:tcPr>
            <w:tcW w:w="5245" w:type="dxa"/>
            <w:vAlign w:val="center"/>
          </w:tcPr>
          <w:p w14:paraId="7B228F91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Query text</w:t>
            </w:r>
          </w:p>
        </w:tc>
        <w:tc>
          <w:tcPr>
            <w:tcW w:w="1979" w:type="dxa"/>
            <w:vAlign w:val="center"/>
          </w:tcPr>
          <w:p w14:paraId="77EAAB7A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Search results:</w:t>
            </w:r>
          </w:p>
        </w:tc>
      </w:tr>
      <w:tr w:rsidR="00C47E4D" w:rsidRPr="00C47E4D" w14:paraId="081C3110" w14:textId="77777777" w:rsidTr="0064421B">
        <w:tc>
          <w:tcPr>
            <w:tcW w:w="1838" w:type="dxa"/>
            <w:vAlign w:val="center"/>
          </w:tcPr>
          <w:p w14:paraId="168AD2FB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5245" w:type="dxa"/>
            <w:vAlign w:val="center"/>
          </w:tcPr>
          <w:p w14:paraId="66CCAC44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(TITLE-ABS-KEY ("subarachnoid hemorrhage") AND TITLE-ABS-KEY (anemia OR "red blood cell" OR hemoglobin OR erythrocyte OR "blood transfusion") AND TITLE-ABS-KEY (patient)) </w:t>
            </w:r>
          </w:p>
        </w:tc>
        <w:tc>
          <w:tcPr>
            <w:tcW w:w="1979" w:type="dxa"/>
            <w:vAlign w:val="center"/>
          </w:tcPr>
          <w:p w14:paraId="54F9A42D" w14:textId="2B91B18D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1476</w:t>
            </w:r>
          </w:p>
        </w:tc>
      </w:tr>
      <w:tr w:rsidR="00C47E4D" w:rsidRPr="00C47E4D" w14:paraId="61F260DE" w14:textId="77777777" w:rsidTr="0064421B">
        <w:tc>
          <w:tcPr>
            <w:tcW w:w="1838" w:type="dxa"/>
            <w:vAlign w:val="center"/>
          </w:tcPr>
          <w:p w14:paraId="3C92D6B4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Pubmed</w:t>
            </w:r>
          </w:p>
        </w:tc>
        <w:tc>
          <w:tcPr>
            <w:tcW w:w="5245" w:type="dxa"/>
            <w:vMerge w:val="restart"/>
            <w:vAlign w:val="center"/>
          </w:tcPr>
          <w:p w14:paraId="68439174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"subarachnoid hemorrhage" and (anemia or "red blood cell" or hemoglobin or erythrocytes or "blood transfusion") and patient</w:t>
            </w:r>
          </w:p>
        </w:tc>
        <w:tc>
          <w:tcPr>
            <w:tcW w:w="1979" w:type="dxa"/>
            <w:vAlign w:val="center"/>
          </w:tcPr>
          <w:p w14:paraId="032FF5B9" w14:textId="0F554452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513</w:t>
            </w:r>
          </w:p>
        </w:tc>
      </w:tr>
      <w:tr w:rsidR="00C47E4D" w:rsidRPr="00C47E4D" w14:paraId="67C263E7" w14:textId="77777777" w:rsidTr="0064421B">
        <w:tc>
          <w:tcPr>
            <w:tcW w:w="1838" w:type="dxa"/>
            <w:vAlign w:val="center"/>
          </w:tcPr>
          <w:p w14:paraId="2A7B1A5D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Embase</w:t>
            </w:r>
          </w:p>
        </w:tc>
        <w:tc>
          <w:tcPr>
            <w:tcW w:w="5245" w:type="dxa"/>
            <w:vMerge/>
            <w:vAlign w:val="center"/>
          </w:tcPr>
          <w:p w14:paraId="4FAF39FA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vAlign w:val="center"/>
          </w:tcPr>
          <w:p w14:paraId="104FFDA5" w14:textId="552AA5F3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</w:t>
            </w:r>
          </w:p>
        </w:tc>
      </w:tr>
      <w:tr w:rsidR="00C47E4D" w:rsidRPr="00C47E4D" w14:paraId="3AB95779" w14:textId="77777777" w:rsidTr="0064421B">
        <w:tc>
          <w:tcPr>
            <w:tcW w:w="1838" w:type="dxa"/>
            <w:vAlign w:val="center"/>
          </w:tcPr>
          <w:p w14:paraId="277F8144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5245" w:type="dxa"/>
            <w:vMerge/>
            <w:vAlign w:val="center"/>
          </w:tcPr>
          <w:p w14:paraId="618EDA34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vAlign w:val="center"/>
          </w:tcPr>
          <w:p w14:paraId="4055E830" w14:textId="602D42E7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</w:tr>
      <w:tr w:rsidR="00C47E4D" w:rsidRPr="00C47E4D" w14:paraId="49B4D932" w14:textId="77777777" w:rsidTr="0064421B">
        <w:tc>
          <w:tcPr>
            <w:tcW w:w="1838" w:type="dxa"/>
            <w:vAlign w:val="center"/>
          </w:tcPr>
          <w:p w14:paraId="735D9538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Cochrane</w:t>
            </w:r>
          </w:p>
        </w:tc>
        <w:tc>
          <w:tcPr>
            <w:tcW w:w="5245" w:type="dxa"/>
            <w:vMerge/>
            <w:vAlign w:val="center"/>
          </w:tcPr>
          <w:p w14:paraId="6832847F" w14:textId="77777777" w:rsidR="00C47E4D" w:rsidRPr="00C47E4D" w:rsidRDefault="00C47E4D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vAlign w:val="center"/>
          </w:tcPr>
          <w:p w14:paraId="7511DF6A" w14:textId="436C79C6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47E4D" w:rsidRPr="00C47E4D" w14:paraId="5065964B" w14:textId="77777777" w:rsidTr="0064421B">
        <w:tc>
          <w:tcPr>
            <w:tcW w:w="7083" w:type="dxa"/>
            <w:gridSpan w:val="2"/>
            <w:vAlign w:val="center"/>
          </w:tcPr>
          <w:p w14:paraId="39FD3E63" w14:textId="77777777" w:rsidR="00C47E4D" w:rsidRPr="00C47E4D" w:rsidRDefault="00C47E4D" w:rsidP="00C47E4D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number of unique records from all five databases:</w:t>
            </w:r>
          </w:p>
        </w:tc>
        <w:tc>
          <w:tcPr>
            <w:tcW w:w="1979" w:type="dxa"/>
            <w:vAlign w:val="center"/>
          </w:tcPr>
          <w:p w14:paraId="434F3308" w14:textId="33888350" w:rsidR="00C47E4D" w:rsidRPr="00C47E4D" w:rsidRDefault="00C67285" w:rsidP="00C47E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1863</w:t>
            </w:r>
          </w:p>
        </w:tc>
      </w:tr>
      <w:tr w:rsidR="00C47E4D" w:rsidRPr="00C47E4D" w14:paraId="6E25FD39" w14:textId="77777777" w:rsidTr="0064421B">
        <w:tc>
          <w:tcPr>
            <w:tcW w:w="7083" w:type="dxa"/>
            <w:gridSpan w:val="2"/>
            <w:vAlign w:val="center"/>
          </w:tcPr>
          <w:p w14:paraId="644393A9" w14:textId="77777777" w:rsidR="00C47E4D" w:rsidRPr="00C47E4D" w:rsidRDefault="00C47E4D" w:rsidP="00C47E4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Query date: </w:t>
            </w:r>
          </w:p>
        </w:tc>
        <w:tc>
          <w:tcPr>
            <w:tcW w:w="1979" w:type="dxa"/>
            <w:vAlign w:val="center"/>
          </w:tcPr>
          <w:p w14:paraId="0F84A120" w14:textId="5C1C4090" w:rsidR="00C47E4D" w:rsidRPr="00C47E4D" w:rsidRDefault="004D2E6B" w:rsidP="00C47E4D">
            <w:pPr>
              <w:spacing w:line="480" w:lineRule="auto"/>
              <w:ind w:left="1416" w:hanging="14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C47E4D"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4270612D" w14:textId="77777777" w:rsidR="00C47E4D" w:rsidRPr="00C47E4D" w:rsidRDefault="00C47E4D" w:rsidP="00C47E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C4CE3B8" w14:textId="77777777" w:rsidR="00C47E4D" w:rsidRPr="00C47E4D" w:rsidRDefault="00C47E4D" w:rsidP="00C47E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C90B05" w14:textId="77777777" w:rsidR="00C47E4D" w:rsidRPr="00C47E4D" w:rsidRDefault="00C47E4D" w:rsidP="00C47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7B89E5A" w14:textId="42E5B498" w:rsidR="00C47E4D" w:rsidRDefault="00C47E4D" w:rsidP="006F20FC">
      <w:pPr>
        <w:tabs>
          <w:tab w:val="left" w:pos="-1080"/>
          <w:tab w:val="left" w:pos="-720"/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S2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949C2">
        <w:rPr>
          <w:rFonts w:ascii="Times New Roman" w:hAnsi="Times New Roman" w:cs="Times New Roman"/>
          <w:sz w:val="24"/>
          <w:szCs w:val="24"/>
          <w:lang w:val="en-US"/>
        </w:rPr>
        <w:t xml:space="preserve">The Newcastle-Ottawa 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Quality Assessment Score of the included studies</w:t>
      </w:r>
      <w:r w:rsidR="005923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92319" w:rsidRPr="003F762B">
        <w:rPr>
          <w:rFonts w:ascii="Times New Roman" w:hAnsi="Times New Roman" w:cs="Times New Roman"/>
          <w:sz w:val="24"/>
          <w:szCs w:val="24"/>
          <w:lang w:val="en-US"/>
        </w:rPr>
        <w:t>A study can be awarded a maximum of one star for each numbered item within the Selection and Outcome categories. A maximum of two stars can be given for Comparability</w:t>
      </w:r>
      <w:r w:rsidR="00592319">
        <w:rPr>
          <w:rFonts w:ascii="Times New Roman" w:hAnsi="Times New Roman" w:cs="Times New Roman"/>
          <w:sz w:val="24"/>
          <w:szCs w:val="24"/>
          <w:lang w:val="en-US"/>
        </w:rPr>
        <w:t>. Studies scoring seven stars and more are considered good quality studies.</w:t>
      </w:r>
    </w:p>
    <w:p w14:paraId="740F361E" w14:textId="77777777" w:rsidR="004921D8" w:rsidRDefault="004921D8" w:rsidP="006F20FC">
      <w:pPr>
        <w:tabs>
          <w:tab w:val="left" w:pos="-1080"/>
          <w:tab w:val="left" w:pos="-720"/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592319" w14:paraId="3809E9B2" w14:textId="77777777" w:rsidTr="006F20FC">
        <w:tc>
          <w:tcPr>
            <w:tcW w:w="9923" w:type="dxa"/>
            <w:shd w:val="clear" w:color="auto" w:fill="F2F2F2" w:themeFill="background1" w:themeFillShade="F2"/>
          </w:tcPr>
          <w:p w14:paraId="09E88383" w14:textId="722D315E" w:rsidR="00592319" w:rsidRPr="006F20FC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Selection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592319" w14:paraId="7F239E66" w14:textId="77777777" w:rsidTr="006F20FC">
        <w:tc>
          <w:tcPr>
            <w:tcW w:w="9923" w:type="dxa"/>
          </w:tcPr>
          <w:p w14:paraId="6D25B914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Representativeness of the exposed cohort</w:t>
            </w:r>
          </w:p>
          <w:p w14:paraId="5B3A36A4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Consecutive eligible SAH cases were selected.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634F0D83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Not satisfying requirements, or not stated.</w:t>
            </w:r>
          </w:p>
          <w:p w14:paraId="6AC655EB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Selection of the non-exposed cohort</w:t>
            </w:r>
          </w:p>
          <w:p w14:paraId="55DB17D3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drawn from the same SAH population as the exposed cohort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512DD271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drawn from a different SAH population</w:t>
            </w:r>
          </w:p>
          <w:p w14:paraId="65EF1C41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no description of the derivation of the non-exposed cohort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211BD656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Ascertainment of exposure</w:t>
            </w:r>
          </w:p>
          <w:p w14:paraId="43FA6A39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secure record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78C9E365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no description</w:t>
            </w:r>
          </w:p>
          <w:p w14:paraId="74259FF6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</w:t>
            </w:r>
            <w:r w:rsidRPr="0014038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Demonstration that outcome of interest was not present at start of study</w:t>
            </w:r>
          </w:p>
          <w:p w14:paraId="62768D63" w14:textId="77777777" w:rsidR="00592319" w:rsidRPr="0014038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yes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6F5731EF" w14:textId="6B12A4AF" w:rsidR="00592319" w:rsidRDefault="00592319" w:rsidP="006F20FC">
            <w:pPr>
              <w:tabs>
                <w:tab w:val="left" w:pos="-1080"/>
                <w:tab w:val="left" w:pos="-720"/>
                <w:tab w:val="left" w:pos="176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no</w:t>
            </w:r>
          </w:p>
        </w:tc>
      </w:tr>
      <w:tr w:rsidR="00592319" w14:paraId="260FDCE6" w14:textId="77777777" w:rsidTr="006F20FC">
        <w:tc>
          <w:tcPr>
            <w:tcW w:w="9923" w:type="dxa"/>
            <w:shd w:val="clear" w:color="auto" w:fill="F2F2F2" w:themeFill="background1" w:themeFillShade="F2"/>
          </w:tcPr>
          <w:p w14:paraId="1480A392" w14:textId="0DE628A8" w:rsidR="0059231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Comparability</w:t>
            </w:r>
          </w:p>
        </w:tc>
      </w:tr>
      <w:tr w:rsidR="00592319" w14:paraId="3CC7C226" w14:textId="77777777" w:rsidTr="006F20FC">
        <w:tc>
          <w:tcPr>
            <w:tcW w:w="9923" w:type="dxa"/>
          </w:tcPr>
          <w:p w14:paraId="436C619C" w14:textId="77777777" w:rsidR="00592319" w:rsidRPr="00D24A6B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D24A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Comparability of cohorts on the basis of the design or analysis</w:t>
            </w:r>
          </w:p>
          <w:p w14:paraId="2FE977F6" w14:textId="77777777" w:rsidR="00592319" w:rsidRPr="00D24A6B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study controls for baseline SAH severity</w:t>
            </w:r>
            <w:r w:rsidRPr="00D24A6B">
              <w:rPr>
                <w:rFonts w:ascii="Times New Roman" w:hAnsi="Times New Roman" w:cs="Times New Roman"/>
                <w:sz w:val="24"/>
                <w:szCs w:val="24"/>
              </w:rPr>
              <w:t xml:space="preserve"> and functional outcome</w:t>
            </w: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499A3A9F" w14:textId="1AE9989F" w:rsidR="0059231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study controls for any additional confounders (adverse events </w:t>
            </w:r>
            <w:r w:rsidR="00E92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complications </w:t>
            </w:r>
            <w:r w:rsidRPr="00D24A6B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 w:rsidRPr="00D24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SAH)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</w:tc>
      </w:tr>
      <w:tr w:rsidR="00592319" w14:paraId="225EBF13" w14:textId="77777777" w:rsidTr="006F20FC">
        <w:tc>
          <w:tcPr>
            <w:tcW w:w="9923" w:type="dxa"/>
            <w:shd w:val="clear" w:color="auto" w:fill="F2F2F2" w:themeFill="background1" w:themeFillShade="F2"/>
          </w:tcPr>
          <w:p w14:paraId="56700438" w14:textId="09DB67C6" w:rsidR="0059231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</w:p>
        </w:tc>
      </w:tr>
      <w:tr w:rsidR="00592319" w14:paraId="2F1B4BF9" w14:textId="77777777" w:rsidTr="006F20FC">
        <w:tc>
          <w:tcPr>
            <w:tcW w:w="9923" w:type="dxa"/>
          </w:tcPr>
          <w:p w14:paraId="03EB16A3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Assessment of outcome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D021FC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independent blind assessment (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values reported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 / clear definitions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7B4B849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record linkage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3B0E8630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no description</w:t>
            </w:r>
          </w:p>
          <w:p w14:paraId="373EA5B9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Was follow-up long enough for outcomes to occur</w:t>
            </w:r>
          </w:p>
          <w:p w14:paraId="79686C37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yes (repetitive anemia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 assessment during hospital stay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360C7B28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no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 or not stated.</w:t>
            </w:r>
          </w:p>
          <w:p w14:paraId="17DD8D11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Adequacy of follow up of cohorts</w:t>
            </w:r>
          </w:p>
          <w:p w14:paraId="29798F5B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complete follow up 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all subjects accounted for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77D6928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subjects lost to follow up unlikely to introduce bias 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>lost to follow-up &lt;15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%, or description provided of those lost) </w:t>
            </w:r>
            <w:r w:rsidRPr="00A069BE">
              <w:rPr>
                <w:rFonts w:ascii="Wingdings" w:hAnsi="Wingdings"/>
                <w:b/>
                <w:bCs/>
                <w:lang w:val="en-US"/>
              </w:rPr>
              <w:t></w:t>
            </w:r>
          </w:p>
          <w:p w14:paraId="6137E7DD" w14:textId="77777777" w:rsidR="00592319" w:rsidRPr="00C24BF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higher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 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 xml:space="preserve">of missing follow-up </w:t>
            </w: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 description of those lost</w:t>
            </w:r>
          </w:p>
          <w:p w14:paraId="27D4F081" w14:textId="3616F2CF" w:rsidR="00592319" w:rsidRDefault="00592319" w:rsidP="006F20FC">
            <w:pPr>
              <w:tabs>
                <w:tab w:val="left" w:pos="-1080"/>
                <w:tab w:val="left" w:pos="-720"/>
                <w:tab w:val="left" w:pos="270"/>
              </w:tabs>
              <w:spacing w:line="276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no statement</w:t>
            </w:r>
            <w:r w:rsidRPr="00C24B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0A807D5" w14:textId="75080E23" w:rsidR="000949C2" w:rsidRPr="006F20FC" w:rsidRDefault="000949C2" w:rsidP="006F20FC">
      <w:pPr>
        <w:tabs>
          <w:tab w:val="left" w:pos="-1080"/>
          <w:tab w:val="left" w:pos="-720"/>
          <w:tab w:val="left" w:pos="270"/>
        </w:tabs>
        <w:spacing w:after="0" w:line="276" w:lineRule="auto"/>
        <w:ind w:firstLine="270"/>
        <w:rPr>
          <w:rFonts w:ascii="Times New Roman" w:hAnsi="Times New Roman" w:cs="Times New Roman"/>
          <w:sz w:val="24"/>
          <w:szCs w:val="24"/>
          <w:lang w:val="en-US"/>
        </w:rPr>
      </w:pPr>
      <w:r w:rsidRPr="006F20F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5D1C75C" w14:textId="7ECCC4D4" w:rsidR="000949C2" w:rsidRPr="00A069BE" w:rsidRDefault="000949C2" w:rsidP="000949C2">
      <w:pPr>
        <w:tabs>
          <w:tab w:val="left" w:pos="-1080"/>
          <w:tab w:val="left" w:pos="-720"/>
          <w:tab w:val="left" w:pos="270"/>
        </w:tabs>
        <w:ind w:firstLine="270"/>
        <w:rPr>
          <w:lang w:val="en-US"/>
        </w:rPr>
        <w:sectPr w:rsidR="000949C2" w:rsidRPr="00A069BE" w:rsidSect="000949C2"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vAlign w:val="center"/>
          <w:noEndnote/>
        </w:sectPr>
      </w:pPr>
    </w:p>
    <w:p w14:paraId="3C9B1391" w14:textId="77777777" w:rsidR="00C47E4D" w:rsidRPr="00C47E4D" w:rsidRDefault="00C47E4D" w:rsidP="00C47E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S3: 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Full list of correlations between post-SAH anemia and different demographic, clinical, radiographic and laboratory patients’ and SAH characteristics (for each analysis group, number of available studies is given in parenthesis) </w:t>
      </w:r>
    </w:p>
    <w:p w14:paraId="244A83E9" w14:textId="2B7DA718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Long-term functional outcome (n=</w:t>
      </w:r>
      <w:r w:rsidR="00D61522"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</w:t>
      </w:r>
      <w:r w:rsidR="00D6152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8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59B33A2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</w:t>
      </w:r>
    </w:p>
    <w:p w14:paraId="4BCA4F45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(Castella2021; Loustarinen2015; Zhang2019)</w:t>
      </w:r>
    </w:p>
    <w:p w14:paraId="2B4FDBE4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during SAH: (Kramer2009; Naidech2007; Stein2015)</w:t>
      </w:r>
    </w:p>
    <w:p w14:paraId="31B37ACB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SAH: (Castella2021; Naideich2007; Pegoli2015)</w:t>
      </w:r>
    </w:p>
    <w:p w14:paraId="4D7A83B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Dichotomized assessment: </w:t>
      </w:r>
    </w:p>
    <w:p w14:paraId="701C696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&lt;11 (Castella2021)</w:t>
      </w:r>
    </w:p>
    <w:p w14:paraId="0D05B2A0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Post-treatment Hb@d2 &lt;10.0 (Ayling2018)</w:t>
      </w:r>
    </w:p>
    <w:p w14:paraId="2EA25BCC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Post-treatment Hb@d7 &lt;10.0 (Ayling2018)</w:t>
      </w:r>
    </w:p>
    <w:p w14:paraId="25A87960" w14:textId="14D949D8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&lt;11.1</w:t>
      </w:r>
      <w:r w:rsidR="006331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(Stein2015)</w:t>
      </w:r>
    </w:p>
    <w:p w14:paraId="7FEC34E3" w14:textId="2E16F3B3" w:rsidR="00D61522" w:rsidRDefault="00D61522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Nadir Hb &lt;12</w:t>
      </w:r>
      <w:r w:rsidR="00633161">
        <w:rPr>
          <w:rFonts w:ascii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(Li2022a, Li2022b)</w:t>
      </w:r>
    </w:p>
    <w:p w14:paraId="4B4530AA" w14:textId="49D5F9D4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&lt;11</w:t>
      </w:r>
      <w:r w:rsidR="00633161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 (Castella2021)</w:t>
      </w:r>
    </w:p>
    <w:p w14:paraId="3868CCF7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 (Ayling2018; Kramer2009)</w:t>
      </w:r>
    </w:p>
    <w:p w14:paraId="278BE617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Hb&lt;9.0 (Springer2009; Wartenberg2006)</w:t>
      </w:r>
    </w:p>
    <w:p w14:paraId="3D06C956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Not defined cutoff (Qi2021)</w:t>
      </w:r>
    </w:p>
    <w:p w14:paraId="4866BEE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 RBCT</w:t>
      </w:r>
    </w:p>
    <w:p w14:paraId="28B7B6BC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&lt;11.5 (Naidech2010)</w:t>
      </w:r>
    </w:p>
    <w:p w14:paraId="2AEA10F5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&lt;10.0 (Kumar2017)</w:t>
      </w:r>
    </w:p>
    <w:p w14:paraId="7099457E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&lt;9.5 (Kramer2008)</w:t>
      </w:r>
    </w:p>
    <w:p w14:paraId="430BDF58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&lt;8.3 (Broessner2009; Stein2015)</w:t>
      </w:r>
    </w:p>
    <w:p w14:paraId="39841474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&lt;7.0 (Castella2021; Smith2004)</w:t>
      </w:r>
    </w:p>
    <w:p w14:paraId="1B1165AF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Not defined (Loustarinen2015 – intra-OP-RBCT!!!; Pegoli2015)</w:t>
      </w:r>
    </w:p>
    <w:p w14:paraId="05769F41" w14:textId="0E800BCE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Poor Outcome at Discharge (n=</w:t>
      </w:r>
      <w:r w:rsidR="0063316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10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32C8285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</w:t>
      </w:r>
    </w:p>
    <w:p w14:paraId="43BFDC55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(Chen2021; Kim2015; Kumar2014; Naidech2006)</w:t>
      </w:r>
    </w:p>
    <w:p w14:paraId="32747D19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First post-treatment Hb (Chen2021; Kim2015)</w:t>
      </w:r>
    </w:p>
    <w:p w14:paraId="39F00837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during SAH: (Bell2015; Naidech2006; Naidech2007)</w:t>
      </w:r>
    </w:p>
    <w:p w14:paraId="4878018B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SAH: (Naidech2007)</w:t>
      </w:r>
    </w:p>
    <w:p w14:paraId="3EE009F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assessment:</w:t>
      </w:r>
    </w:p>
    <w:p w14:paraId="6DDCB365" w14:textId="00DCE927" w:rsidR="00633161" w:rsidRDefault="00633161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Nadir Hb &lt;12.0 (Li2022b)</w:t>
      </w:r>
    </w:p>
    <w:p w14:paraId="33EBF63E" w14:textId="36AB8A12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&lt;10.0 (English2018)</w:t>
      </w:r>
    </w:p>
    <w:p w14:paraId="7E527F5D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</w:t>
      </w:r>
    </w:p>
    <w:p w14:paraId="3DED00A1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&lt;11.5 (Naidech2010)</w:t>
      </w:r>
    </w:p>
    <w:p w14:paraId="483E056B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&lt;10.0 (Kumar2014; Naidech2006; Sampson2010)</w:t>
      </w:r>
    </w:p>
    <w:p w14:paraId="0E62A70D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&lt;8.0 (English2018; Tseng2008; Naidech2007)</w:t>
      </w:r>
    </w:p>
    <w:p w14:paraId="79AF54A4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&lt;9.0-10.0 (Kim2015)</w:t>
      </w:r>
    </w:p>
    <w:p w14:paraId="564F1D40" w14:textId="615192C5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Mortality at Discharge / 30-Days mortality (n=</w:t>
      </w:r>
      <w:r w:rsidR="0063316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9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3421FBE3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assessment:</w:t>
      </w:r>
    </w:p>
    <w:p w14:paraId="16C912ED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(Festic2012; Naidech2006; Sadamasa2011)</w:t>
      </w:r>
    </w:p>
    <w:p w14:paraId="3AE7D14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during SAH (Naidech2006; Stein2015)</w:t>
      </w:r>
    </w:p>
    <w:p w14:paraId="6A559AEA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SAH: (Festic2012; Stein2015)</w:t>
      </w:r>
    </w:p>
    <w:p w14:paraId="7124ED5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assessment:</w:t>
      </w:r>
    </w:p>
    <w:p w14:paraId="30B1A60E" w14:textId="15AA6707" w:rsid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&lt;12.7 (Sadamasa2011)</w:t>
      </w:r>
    </w:p>
    <w:p w14:paraId="453F25B3" w14:textId="6DA833D5" w:rsidR="00633161" w:rsidRPr="00C47E4D" w:rsidRDefault="00633161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Admission Hb &lt;12.0 (Schmitt2022)</w:t>
      </w:r>
    </w:p>
    <w:p w14:paraId="2A3C285A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&lt;10.0 (Sampson2010)</w:t>
      </w:r>
    </w:p>
    <w:p w14:paraId="60E4C030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RBCT:</w:t>
      </w:r>
    </w:p>
    <w:p w14:paraId="42ADD3D2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&lt;10.0 (Kumar2017)</w:t>
      </w:r>
    </w:p>
    <w:p w14:paraId="21A3E5B9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between &lt;9.0 and &lt;10.0 (Kim2015)</w:t>
      </w:r>
    </w:p>
    <w:p w14:paraId="27B0BA28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&lt;8.5 (Festic2012)</w:t>
      </w:r>
    </w:p>
    <w:p w14:paraId="41E2631A" w14:textId="7C10C4AD" w:rsid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&lt;8.3 (Broessner2009)</w:t>
      </w:r>
    </w:p>
    <w:p w14:paraId="2A560939" w14:textId="07BBA146" w:rsidR="00633161" w:rsidRPr="00C47E4D" w:rsidRDefault="00633161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 defined (Schmitt2022)</w:t>
      </w:r>
    </w:p>
    <w:p w14:paraId="2500BCBB" w14:textId="11788937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Infarct Risk (n=</w:t>
      </w:r>
      <w:r w:rsidR="002C3733"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2C373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28551512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Continuous assessment </w:t>
      </w:r>
    </w:p>
    <w:p w14:paraId="631623C9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(Naidech2006; Naidech2007)</w:t>
      </w:r>
    </w:p>
    <w:p w14:paraId="6367C476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Post-treatment Hb (DaSilva2017)</w:t>
      </w:r>
    </w:p>
    <w:p w14:paraId="1EE8D908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during SAH (Naidech2006; Naidech2007; Stein2015)</w:t>
      </w:r>
    </w:p>
    <w:p w14:paraId="65DACC8A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 (Naidech2007)</w:t>
      </w:r>
    </w:p>
    <w:p w14:paraId="15E5B2A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</w:t>
      </w:r>
    </w:p>
    <w:p w14:paraId="170D4071" w14:textId="7A854870" w:rsidR="002C3733" w:rsidRDefault="002C3733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Admission Hb &lt;12.0 (Schmitt2022)</w:t>
      </w:r>
    </w:p>
    <w:p w14:paraId="2803BFC8" w14:textId="2A6F9E00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&lt;11.0 (Castella2021)</w:t>
      </w:r>
    </w:p>
    <w:p w14:paraId="32E132F3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&lt;10.9 (Stein2015)</w:t>
      </w:r>
    </w:p>
    <w:p w14:paraId="046C5F36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&lt;10.0 (Kramer2008)</w:t>
      </w:r>
    </w:p>
    <w:p w14:paraId="4C8D404E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First postoperative Nadir Hb &lt;10.0 (DaSilva2017)</w:t>
      </w:r>
    </w:p>
    <w:p w14:paraId="61E8D82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lastRenderedPageBreak/>
        <w:t>Nadir Hb &lt;9.0 (Castella2021)</w:t>
      </w:r>
    </w:p>
    <w:p w14:paraId="3CBA79D6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</w:t>
      </w:r>
    </w:p>
    <w:p w14:paraId="58E0DCC2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&lt;11.5 (Naidech2010)</w:t>
      </w:r>
    </w:p>
    <w:p w14:paraId="4581EC65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&lt;10.0 (Kumar2017)</w:t>
      </w:r>
    </w:p>
    <w:p w14:paraId="2456CA71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Cutoff between &lt;9.0-&lt;10.0 (Kim2015) </w:t>
      </w:r>
    </w:p>
    <w:p w14:paraId="30A10C2C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&lt;9.5 (Kramer2008)</w:t>
      </w:r>
    </w:p>
    <w:p w14:paraId="2D5CB386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&lt;9.0 (Oddo2009; Castella2021)</w:t>
      </w:r>
    </w:p>
    <w:p w14:paraId="585FF6B7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&lt;8.5 (Festic2012)</w:t>
      </w:r>
    </w:p>
    <w:p w14:paraId="7488BEEB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between &lt;8.0-&lt;10.0 (Naidech2007)</w:t>
      </w:r>
    </w:p>
    <w:p w14:paraId="3D11218D" w14:textId="1361263B" w:rsid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&lt;8.0 (English2018)</w:t>
      </w:r>
    </w:p>
    <w:p w14:paraId="11046221" w14:textId="04B305EE" w:rsidR="002C3733" w:rsidRPr="00C47E4D" w:rsidRDefault="002C3733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 defined (Schmitt2022)</w:t>
      </w:r>
    </w:p>
    <w:p w14:paraId="5540F284" w14:textId="5834C584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Vasospasm (angiographic/symptomatic/clinical/TCD-based) (n=</w:t>
      </w:r>
      <w:r w:rsidR="00FE253F"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</w:t>
      </w:r>
      <w:r w:rsidR="00FE253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6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37A4990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</w:t>
      </w:r>
    </w:p>
    <w:p w14:paraId="40908587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(Bell2015; Kim2015)</w:t>
      </w:r>
    </w:p>
    <w:p w14:paraId="035F64E9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during SAH (Bell2015; Naidech2006; Stein2015)</w:t>
      </w:r>
    </w:p>
    <w:p w14:paraId="7DAF0274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 (Kramer2009; Naidech2006)</w:t>
      </w:r>
    </w:p>
    <w:p w14:paraId="3DFE04B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</w:t>
      </w:r>
    </w:p>
    <w:p w14:paraId="5508B661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&lt;10.0 (Ayling2018)</w:t>
      </w:r>
    </w:p>
    <w:p w14:paraId="4A497A69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Post-treatment Hb@d2 &lt;10.0 (Ayling2018; Kim2015)</w:t>
      </w:r>
    </w:p>
    <w:p w14:paraId="7FE9D972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Post-treatment Hb@d7 &lt;10.0 (Ayling2018)</w:t>
      </w:r>
    </w:p>
    <w:p w14:paraId="4947D94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Mean Hb &lt;10.4 (Stein2015)</w:t>
      </w:r>
    </w:p>
    <w:p w14:paraId="64687EF1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&lt;11.0 (Sun2015)</w:t>
      </w:r>
    </w:p>
    <w:p w14:paraId="17DADC30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&lt;10.0 (English2018; Kramer2008; Sampson2010)</w:t>
      </w:r>
    </w:p>
    <w:p w14:paraId="423DE1D9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</w:t>
      </w:r>
    </w:p>
    <w:p w14:paraId="5B0E1573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&lt;11.5 (Naidech2010)</w:t>
      </w:r>
    </w:p>
    <w:p w14:paraId="4659D1E4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&lt;10.0 (Kumar2014; Kumar2017)</w:t>
      </w:r>
    </w:p>
    <w:p w14:paraId="7ED5EDFE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between &lt;9.0-10.0 (Kim2015)</w:t>
      </w:r>
    </w:p>
    <w:p w14:paraId="70182521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&lt;9.5 (Kramer2008)</w:t>
      </w:r>
    </w:p>
    <w:p w14:paraId="69554691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&lt;8.5 (Festic2012)</w:t>
      </w:r>
    </w:p>
    <w:p w14:paraId="078111F4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&lt;8.0 (English2018)</w:t>
      </w:r>
    </w:p>
    <w:p w14:paraId="7D9A78FB" w14:textId="54D7B6D7" w:rsid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Cutoff &lt;7.0 (Smith2004) </w:t>
      </w:r>
    </w:p>
    <w:p w14:paraId="728E33FD" w14:textId="67C92AFF" w:rsidR="00FE253F" w:rsidRPr="00C47E4D" w:rsidRDefault="00FE253F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 defined (Schmitt2022)</w:t>
      </w:r>
    </w:p>
    <w:p w14:paraId="2A202FFE" w14:textId="7B8A3E2E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Hospital stay duration (n=</w:t>
      </w:r>
      <w:r w:rsidR="00FE253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6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2FDDF206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</w:t>
      </w:r>
    </w:p>
    <w:p w14:paraId="709AA658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lastRenderedPageBreak/>
        <w:t>Mean Hb during SAH (Naidech2007)</w:t>
      </w:r>
    </w:p>
    <w:p w14:paraId="77EC79D2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during SAH (Naidech2007)</w:t>
      </w:r>
    </w:p>
    <w:p w14:paraId="460A773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</w:t>
      </w:r>
    </w:p>
    <w:p w14:paraId="17F704DA" w14:textId="534165F5" w:rsidR="00FE253F" w:rsidRDefault="00FE253F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Admission Hb &lt;12.0 (Schmitt2022)</w:t>
      </w:r>
    </w:p>
    <w:p w14:paraId="1A8CFBB6" w14:textId="56E4860A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Hb&lt;11.0 (Castella2021)</w:t>
      </w:r>
    </w:p>
    <w:p w14:paraId="2DA13076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Hb&lt;10.0 (Sampson2010)</w:t>
      </w:r>
    </w:p>
    <w:p w14:paraId="1BCCF350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Nadir Hb &lt;9.0 (Castella2021)</w:t>
      </w:r>
    </w:p>
    <w:p w14:paraId="209F12BD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</w:t>
      </w:r>
    </w:p>
    <w:p w14:paraId="119EABDD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between &lt;9.0-&lt;10.0 (Kim2015; Levine)</w:t>
      </w:r>
    </w:p>
    <w:p w14:paraId="0F33F08A" w14:textId="1761523B" w:rsid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&lt;8.3 (Broessner2009)</w:t>
      </w:r>
    </w:p>
    <w:p w14:paraId="0B9C5211" w14:textId="73F707EB" w:rsidR="00FE253F" w:rsidRPr="00C47E4D" w:rsidRDefault="00FE253F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 defined (Schmitt2022)</w:t>
      </w:r>
    </w:p>
    <w:p w14:paraId="569F9AE6" w14:textId="018053C4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Any systemic infection (n=</w:t>
      </w:r>
      <w:r w:rsidR="005B70B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6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44064F4F" w14:textId="1D2F3D22" w:rsid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Continuous assessment</w:t>
      </w:r>
    </w:p>
    <w:p w14:paraId="3849156C" w14:textId="5BEBDE02" w:rsidR="001876E5" w:rsidRPr="00C47E4D" w:rsidRDefault="001876E5" w:rsidP="006F20FC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Admission Hb (Wang2022)</w:t>
      </w:r>
    </w:p>
    <w:p w14:paraId="411D56CD" w14:textId="629D6D46" w:rsid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Dichotomous assessment</w:t>
      </w:r>
    </w:p>
    <w:p w14:paraId="4C760BC4" w14:textId="6C19A80E" w:rsidR="00FE253F" w:rsidRPr="00C47E4D" w:rsidRDefault="00FE253F" w:rsidP="006F20FC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Admission Hb &lt;12.0 (Schmitt2022)</w:t>
      </w:r>
    </w:p>
    <w:p w14:paraId="1D97CCCB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RBCT</w:t>
      </w:r>
    </w:p>
    <w:p w14:paraId="639844D0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between &lt;9.0-&lt;10.0 (Kim2015; Levine2010)</w:t>
      </w:r>
    </w:p>
    <w:p w14:paraId="6394BAD3" w14:textId="77777777" w:rsidR="00C47E4D" w:rsidRP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&lt;9.5 (Kramer2008)</w:t>
      </w:r>
    </w:p>
    <w:p w14:paraId="5BD013A2" w14:textId="72F0F12F" w:rsidR="00C47E4D" w:rsidRDefault="00C47E4D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Cutoff &lt;8.0 (Stein2015)</w:t>
      </w:r>
    </w:p>
    <w:p w14:paraId="20617F1A" w14:textId="4FC30614" w:rsidR="00FE253F" w:rsidRPr="00C47E4D" w:rsidRDefault="00FE253F" w:rsidP="00C47E4D">
      <w:pPr>
        <w:numPr>
          <w:ilvl w:val="3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 defined (Schmitt2022</w:t>
      </w:r>
      <w:r w:rsidR="000E425C">
        <w:rPr>
          <w:rFonts w:ascii="Times New Roman" w:hAnsi="Times New Roman" w:cs="Times New Roman"/>
          <w:sz w:val="24"/>
          <w:szCs w:val="24"/>
          <w:lang w:val="en-US"/>
        </w:rPr>
        <w:t>; Wang2022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88E05AB" w14:textId="331A2CCB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(Predictors of) the need for RBCT (n=</w:t>
      </w:r>
      <w:r w:rsidR="00FE253F"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</w:t>
      </w:r>
      <w:r w:rsidR="00FE253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3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5B7C4677" w14:textId="04D64593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Age (Broessner2009; English2018; Festic2012; Kim2015; Kramer2008; Kumar2014; Kumar2017; Naidech2006; Levine2010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Schmitt2022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9A818CC" w14:textId="6702D179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Sex (Broessner2009; English2018; Festic2012; Kim2015; Kumar2014; Kumar2017; Naidech2006; Levine2010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Schmitt2022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0CC349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clinical condition (Hunt&amp;Hess/WFNS): (Broessner2009; Festic2012; Kim2015; Kramer2008; Kramer2009; Kumar2014; Kumar2017; Naidech2006; Levine2010)</w:t>
      </w:r>
    </w:p>
    <w:p w14:paraId="450A163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radiographic severity</w:t>
      </w:r>
    </w:p>
    <w:p w14:paraId="2F040165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Fisher scale, Hijdra Sum score: (English2018; Festic2012; Kim2015; Kramer2008; Kramer2009; Kumar2017; Naidech2006)</w:t>
      </w:r>
    </w:p>
    <w:p w14:paraId="47B6545C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ICH (Levine2010)</w:t>
      </w:r>
    </w:p>
    <w:p w14:paraId="38CF3101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IVH (Levine2010)</w:t>
      </w:r>
    </w:p>
    <w:p w14:paraId="7F97B632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lastRenderedPageBreak/>
        <w:t>Hydrocephalus (Kumar2017; Levine2010)</w:t>
      </w:r>
    </w:p>
    <w:p w14:paraId="7A359D43" w14:textId="13FB3BE9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Treatment modality (Broessner2009; English2018; Kim2015; Kumar2014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Schmitt2022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DF1257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Duration of surgery (Kim2015)</w:t>
      </w:r>
    </w:p>
    <w:p w14:paraId="09CF8F51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Decompression surgery (Kim2015)</w:t>
      </w:r>
    </w:p>
    <w:p w14:paraId="7AB9C5B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Mechanical ventilation postoperatively (Kim2015; Levine2010)</w:t>
      </w:r>
    </w:p>
    <w:p w14:paraId="43E27BD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APACHE II Score (Kim2015)</w:t>
      </w:r>
    </w:p>
    <w:p w14:paraId="62B5748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Oral anticoagulants use (English2018)</w:t>
      </w:r>
    </w:p>
    <w:p w14:paraId="6643D97F" w14:textId="3E110C3A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(English2018; Festic2012; Kim2015; Kumar2017; Levine2010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Schmitt2022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3FBCC68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CRP (Kim2015)</w:t>
      </w:r>
    </w:p>
    <w:p w14:paraId="7DDD8180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glucose (Levine2010)</w:t>
      </w:r>
    </w:p>
    <w:p w14:paraId="35BE15E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Diabetes (Kim2015; Kumar2014)</w:t>
      </w:r>
    </w:p>
    <w:p w14:paraId="585AB88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Hypertension (Kim2015; Kumar2014)</w:t>
      </w:r>
    </w:p>
    <w:p w14:paraId="2B66C23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Cardiac diseases (Kim2015; Kumar2014; Levine2010; Kumar2017)</w:t>
      </w:r>
    </w:p>
    <w:p w14:paraId="20351B96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Smoking (Kumar2014; Kumar2017; Levine2010)</w:t>
      </w:r>
    </w:p>
    <w:p w14:paraId="3070030A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Pulmonal diseases (Kumar2017; Levine2010)</w:t>
      </w:r>
    </w:p>
    <w:p w14:paraId="54315D4A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Hepatic diseases (Kim2015)</w:t>
      </w:r>
    </w:p>
    <w:p w14:paraId="04D4C4B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Renal diseases (Kim2015; Levine2010)</w:t>
      </w:r>
    </w:p>
    <w:p w14:paraId="718C4CD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Dyslipidemia (Kim2015)</w:t>
      </w:r>
    </w:p>
    <w:p w14:paraId="2E6DC20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Location (English2018; Kim2015; Kumar2014; Kumar2017; Levine2010)</w:t>
      </w:r>
    </w:p>
    <w:p w14:paraId="43BA720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Size (Kim2015; Kumar2017; Levine2010)</w:t>
      </w:r>
    </w:p>
    <w:p w14:paraId="62B508F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IOAR (Kumar2017)</w:t>
      </w:r>
    </w:p>
    <w:p w14:paraId="56262C8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rebleeding (Kumar2017; Levine2010)</w:t>
      </w:r>
    </w:p>
    <w:p w14:paraId="1186D205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Gastrointestinal bleeding (Naidech2007)</w:t>
      </w:r>
    </w:p>
    <w:p w14:paraId="7C33CC46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3H-therapy (Naidech2007)</w:t>
      </w:r>
    </w:p>
    <w:p w14:paraId="6A309E0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Daily synthetic colloids (Tseng2008)</w:t>
      </w:r>
    </w:p>
    <w:p w14:paraId="662C460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Medical complications (Levine2010)</w:t>
      </w:r>
    </w:p>
    <w:p w14:paraId="4B87EE5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ind w:hanging="5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CNS infection (meningitis/ventriculitis) (Stein2015; Levine2010)</w:t>
      </w:r>
    </w:p>
    <w:p w14:paraId="38D01B82" w14:textId="0E353022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(Predictors of) anemia during SAH (n=</w:t>
      </w:r>
      <w:r w:rsidR="00FE253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9</w:t>
      </w: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)</w:t>
      </w:r>
    </w:p>
    <w:p w14:paraId="22BC2D22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Age (Ayling2018; English2018; Kramer2008; Sampson2010)</w:t>
      </w:r>
    </w:p>
    <w:p w14:paraId="281C4233" w14:textId="33863CEC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Sex (Ayling2018; English2018; Sampson2010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Li2022a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F2477F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Ethnicity (Sampson2010)</w:t>
      </w:r>
    </w:p>
    <w:p w14:paraId="151C2078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Smoking (Ayling2018; Sampson2010)</w:t>
      </w:r>
    </w:p>
    <w:p w14:paraId="7316633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lastRenderedPageBreak/>
        <w:t>Oral anticoagulants use (English2018)</w:t>
      </w:r>
    </w:p>
    <w:p w14:paraId="3CE9746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Diabetes (Sampson2010)</w:t>
      </w:r>
    </w:p>
    <w:p w14:paraId="632430A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Hypertension (Ayling2018; Sampson2010)</w:t>
      </w:r>
    </w:p>
    <w:p w14:paraId="7E6BFD5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Left ventricular dysfunction (Naidech2007)</w:t>
      </w:r>
    </w:p>
    <w:p w14:paraId="0FE3D28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Coronary artery disease (Sampson2010)</w:t>
      </w:r>
    </w:p>
    <w:p w14:paraId="3210FEC8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clinical condition (Ayling2018; Kramer2008; Kramer2009; Naidech2007; Qi2021; Sampson2010)</w:t>
      </w:r>
    </w:p>
    <w:p w14:paraId="510B01C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Initial radiographic severity </w:t>
      </w:r>
    </w:p>
    <w:p w14:paraId="2E5098FF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Fisher scale (English2018; Kramer2008; Kramer2009; Sampson2010)</w:t>
      </w:r>
    </w:p>
    <w:p w14:paraId="650A36B7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Presence of IVH (Ayling2018)</w:t>
      </w:r>
    </w:p>
    <w:p w14:paraId="53E200A4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Graeb Score IVH severity (Ayling2018)</w:t>
      </w:r>
    </w:p>
    <w:p w14:paraId="203F7E94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Presence of ICH (Ayling2018)</w:t>
      </w:r>
    </w:p>
    <w:p w14:paraId="3EE7B5ED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Hijdra score (Ayling2018)</w:t>
      </w:r>
    </w:p>
    <w:p w14:paraId="5A3B2DD9" w14:textId="68C6D0F6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Treatment modality (Ayling2018; English2018; Sampson2010</w:t>
      </w:r>
      <w:r w:rsidR="00FE253F">
        <w:rPr>
          <w:rFonts w:ascii="Times New Roman" w:hAnsi="Times New Roman" w:cs="Times New Roman"/>
          <w:sz w:val="24"/>
          <w:szCs w:val="24"/>
          <w:lang w:val="en-US"/>
        </w:rPr>
        <w:t>; Li2022b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B5AB520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Hydrocephalus (Sampson2010)</w:t>
      </w:r>
    </w:p>
    <w:p w14:paraId="51E3578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(English2018)</w:t>
      </w:r>
    </w:p>
    <w:p w14:paraId="19A2AEA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location (English2018)</w:t>
      </w:r>
    </w:p>
    <w:p w14:paraId="11128B12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size (English2018)</w:t>
      </w:r>
    </w:p>
    <w:p w14:paraId="0F6DDB9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3H-Therapy (Naidech2007)</w:t>
      </w:r>
    </w:p>
    <w:p w14:paraId="048D6C6D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Troponin elevation (Sampson2010)</w:t>
      </w:r>
    </w:p>
    <w:p w14:paraId="408532CB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SIRS score (Sampson2010)</w:t>
      </w:r>
    </w:p>
    <w:p w14:paraId="50FA5B21" w14:textId="77777777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(Predictors of) early anemia after SAH (n=8)</w:t>
      </w:r>
    </w:p>
    <w:p w14:paraId="2F86E27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Age (Ayling2018; Sadamasa2011)</w:t>
      </w:r>
    </w:p>
    <w:p w14:paraId="64AAFB7F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Sex (Ayling2018)</w:t>
      </w:r>
    </w:p>
    <w:p w14:paraId="0E7F122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Smoking (Ayling2018)</w:t>
      </w:r>
    </w:p>
    <w:p w14:paraId="3BE9166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Hypertension (Ayling2018)</w:t>
      </w:r>
    </w:p>
    <w:p w14:paraId="780E116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clinical condition (Ayling2018; Broessner2009; Naidech2007; Seicean2015)</w:t>
      </w:r>
    </w:p>
    <w:p w14:paraId="4EBEE3BA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radiographic severity</w:t>
      </w:r>
    </w:p>
    <w:p w14:paraId="0C3336B5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Fisher grade (Sadamasa2011)</w:t>
      </w:r>
    </w:p>
    <w:p w14:paraId="23C672F4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Presence of IVH (Ayling2018)</w:t>
      </w:r>
    </w:p>
    <w:p w14:paraId="0F34D322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Graeb Score severity of IVH (Ayling2018)</w:t>
      </w:r>
    </w:p>
    <w:p w14:paraId="789486AE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Hijdra sum score (Ayling2018)</w:t>
      </w:r>
    </w:p>
    <w:p w14:paraId="74FFBE6A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Treatment modality (Ayling2018)</w:t>
      </w:r>
    </w:p>
    <w:p w14:paraId="1238D66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lastRenderedPageBreak/>
        <w:t>IA size (Ayling2018)</w:t>
      </w:r>
    </w:p>
    <w:p w14:paraId="2986FF6C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Hydrocephalus (Zhang2019)</w:t>
      </w:r>
    </w:p>
    <w:p w14:paraId="3B019452" w14:textId="77777777" w:rsidR="00C47E4D" w:rsidRPr="00C47E4D" w:rsidRDefault="00C47E4D" w:rsidP="00C47E4D">
      <w:pPr>
        <w:numPr>
          <w:ilvl w:val="1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Acute seizures (Wang2019; Zheng2019)</w:t>
      </w:r>
    </w:p>
    <w:p w14:paraId="46A3EF92" w14:textId="77777777" w:rsidR="00C47E4D" w:rsidRPr="00C47E4D" w:rsidRDefault="00C47E4D" w:rsidP="00C47E4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(Predictors of) peri-/intraoperative RBCT (n=4)</w:t>
      </w:r>
    </w:p>
    <w:p w14:paraId="1A2A8F74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Age (Chen2021)</w:t>
      </w:r>
    </w:p>
    <w:p w14:paraId="6DCE1FB1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Sex (Chen2021; Loustarinen2015)</w:t>
      </w:r>
    </w:p>
    <w:p w14:paraId="17A2BF3E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BMI (Chen2021)</w:t>
      </w:r>
    </w:p>
    <w:p w14:paraId="598F5D67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Hypertension (Chen2021)</w:t>
      </w:r>
    </w:p>
    <w:p w14:paraId="6BFF14E1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clinical condition (Chen2021; Loustarinen2015; Seicean2015; Yee2017)</w:t>
      </w:r>
    </w:p>
    <w:p w14:paraId="33D0DB20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Initial radiographic severity:</w:t>
      </w:r>
    </w:p>
    <w:p w14:paraId="6E7316F1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Fisher scale: (Chen2021; Loustarinen2015)</w:t>
      </w:r>
    </w:p>
    <w:p w14:paraId="5043FDDB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Presence of IVH (Yee2017)</w:t>
      </w:r>
    </w:p>
    <w:p w14:paraId="5B6EA063" w14:textId="77777777" w:rsidR="00C47E4D" w:rsidRPr="00C47E4D" w:rsidRDefault="00C47E4D" w:rsidP="00C47E4D">
      <w:pPr>
        <w:numPr>
          <w:ilvl w:val="2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Presence of ICH (Yee2017)</w:t>
      </w:r>
    </w:p>
    <w:p w14:paraId="3E0BCA0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location (Loustarinen2015)</w:t>
      </w:r>
    </w:p>
    <w:p w14:paraId="65528D77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IA size (Chen2021; Loustarinen2015)</w:t>
      </w:r>
    </w:p>
    <w:p w14:paraId="2B09F209" w14:textId="77777777" w:rsidR="00C47E4D" w:rsidRPr="00C47E4D" w:rsidRDefault="00C47E4D" w:rsidP="00C47E4D">
      <w:pPr>
        <w:numPr>
          <w:ilvl w:val="1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Admission Hb (Chen2021)</w:t>
      </w:r>
    </w:p>
    <w:p w14:paraId="37971B03" w14:textId="77777777" w:rsidR="00C47E4D" w:rsidRPr="00C47E4D" w:rsidRDefault="00C47E4D" w:rsidP="00C47E4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11.10 IOAR (Chen2021; Loustarinen2015)</w:t>
      </w:r>
    </w:p>
    <w:p w14:paraId="3AF41077" w14:textId="77777777" w:rsidR="00C47E4D" w:rsidRPr="00C47E4D" w:rsidRDefault="00C47E4D" w:rsidP="00C47E4D">
      <w:pPr>
        <w:numPr>
          <w:ilvl w:val="0"/>
          <w:numId w:val="8"/>
        </w:numPr>
        <w:spacing w:after="0" w:line="360" w:lineRule="auto"/>
        <w:ind w:hanging="76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t>Duration of surgery (Chen2021)</w:t>
      </w:r>
    </w:p>
    <w:p w14:paraId="40287EEC" w14:textId="77777777" w:rsidR="00C47E4D" w:rsidRPr="00C47E4D" w:rsidRDefault="00C47E4D" w:rsidP="00C47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C99E778" w14:textId="77777777" w:rsidR="00C47E4D" w:rsidRPr="00C47E4D" w:rsidRDefault="00C47E4D" w:rsidP="00C47E4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S4: </w:t>
      </w:r>
      <w:r w:rsidRPr="00C47E4D">
        <w:rPr>
          <w:rFonts w:ascii="Times New Roman" w:hAnsi="Times New Roman" w:cs="Times New Roman"/>
          <w:bCs/>
          <w:sz w:val="24"/>
          <w:szCs w:val="24"/>
          <w:lang w:val="en-US"/>
        </w:rPr>
        <w:t>Estimation of the Level of Evidence for the associations between post-SAH anemia and other parameters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"/>
        <w:gridCol w:w="8084"/>
      </w:tblGrid>
      <w:tr w:rsidR="00C47E4D" w:rsidRPr="00C47E4D" w14:paraId="5A857B86" w14:textId="77777777" w:rsidTr="0064421B">
        <w:tc>
          <w:tcPr>
            <w:tcW w:w="988" w:type="dxa"/>
          </w:tcPr>
          <w:p w14:paraId="6751C839" w14:textId="77777777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8363" w:type="dxa"/>
          </w:tcPr>
          <w:p w14:paraId="477B269F" w14:textId="77777777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Definition</w:t>
            </w:r>
          </w:p>
        </w:tc>
      </w:tr>
      <w:tr w:rsidR="00C47E4D" w:rsidRPr="00C47E4D" w14:paraId="0084FDE7" w14:textId="77777777" w:rsidTr="0064421B">
        <w:tc>
          <w:tcPr>
            <w:tcW w:w="988" w:type="dxa"/>
            <w:vAlign w:val="center"/>
          </w:tcPr>
          <w:p w14:paraId="4DE0B4BF" w14:textId="77777777" w:rsidR="00C47E4D" w:rsidRPr="00C47E4D" w:rsidRDefault="00C47E4D" w:rsidP="00C47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</w:tcPr>
          <w:p w14:paraId="4082E0E6" w14:textId="77777777" w:rsidR="00C47E4D" w:rsidRPr="00C47E4D" w:rsidRDefault="00C47E4D" w:rsidP="00C47E4D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 quality</w:t>
            </w:r>
          </w:p>
          <w:p w14:paraId="77FAA567" w14:textId="77777777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from at least: </w:t>
            </w:r>
          </w:p>
          <w:p w14:paraId="65A8560E" w14:textId="77777777" w:rsidR="00C47E4D" w:rsidRPr="00C47E4D" w:rsidRDefault="00C47E4D" w:rsidP="00C47E4D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good quality studies included in a meta-analysis AND</w:t>
            </w:r>
          </w:p>
          <w:p w14:paraId="05FA37D2" w14:textId="77777777" w:rsidR="00C47E4D" w:rsidRPr="00C47E4D" w:rsidRDefault="00C47E4D" w:rsidP="00C47E4D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studies adjusted their results for relevant confounders.</w:t>
            </w:r>
          </w:p>
          <w:p w14:paraId="6B3C39DF" w14:textId="77777777" w:rsidR="00C47E4D" w:rsidRPr="00C47E4D" w:rsidRDefault="00C47E4D" w:rsidP="00C47E4D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Non-conflicting results from good quality studies</w:t>
            </w:r>
          </w:p>
        </w:tc>
      </w:tr>
      <w:tr w:rsidR="00C47E4D" w:rsidRPr="00C47E4D" w14:paraId="7A3EBCDA" w14:textId="77777777" w:rsidTr="0064421B">
        <w:tc>
          <w:tcPr>
            <w:tcW w:w="988" w:type="dxa"/>
            <w:vAlign w:val="center"/>
          </w:tcPr>
          <w:p w14:paraId="090D2AF6" w14:textId="77777777" w:rsidR="00C47E4D" w:rsidRPr="00C47E4D" w:rsidRDefault="00C47E4D" w:rsidP="00C47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5935E101" w14:textId="77777777" w:rsidR="00C47E4D" w:rsidRPr="00C47E4D" w:rsidRDefault="00C47E4D" w:rsidP="00C47E4D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Moderate quality</w:t>
            </w:r>
          </w:p>
          <w:p w14:paraId="0305CD34" w14:textId="77777777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from at least:</w:t>
            </w:r>
          </w:p>
          <w:p w14:paraId="109DF9FE" w14:textId="77777777" w:rsidR="00C47E4D" w:rsidRPr="00C47E4D" w:rsidRDefault="00C47E4D" w:rsidP="00C47E4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 separate cohorts allowing data pooling and meta-analysis AND</w:t>
            </w:r>
          </w:p>
          <w:p w14:paraId="178C3E4D" w14:textId="77777777" w:rsidR="00C47E4D" w:rsidRPr="00C47E4D" w:rsidRDefault="00C47E4D" w:rsidP="00C47E4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of the studies of good quality OR a study adjusting their results for relevant confounders. </w:t>
            </w:r>
          </w:p>
        </w:tc>
      </w:tr>
      <w:tr w:rsidR="00C47E4D" w:rsidRPr="00C47E4D" w14:paraId="3357EFE5" w14:textId="77777777" w:rsidTr="0064421B">
        <w:tc>
          <w:tcPr>
            <w:tcW w:w="988" w:type="dxa"/>
            <w:vAlign w:val="center"/>
          </w:tcPr>
          <w:p w14:paraId="53DFEFD4" w14:textId="77777777" w:rsidR="00C47E4D" w:rsidRPr="00C47E4D" w:rsidRDefault="00C47E4D" w:rsidP="00C47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510082F0" w14:textId="77777777" w:rsidR="00C47E4D" w:rsidRPr="00C47E4D" w:rsidRDefault="00C47E4D" w:rsidP="00C47E4D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Low quality</w:t>
            </w:r>
          </w:p>
          <w:p w14:paraId="1BAC12BF" w14:textId="77777777" w:rsidR="00C47E4D" w:rsidRPr="00C47E4D" w:rsidRDefault="00C47E4D" w:rsidP="00C47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from at least two separate cohorts allowing data pooling and meta-analysis</w:t>
            </w:r>
          </w:p>
        </w:tc>
      </w:tr>
      <w:tr w:rsidR="00C47E4D" w:rsidRPr="00C47E4D" w14:paraId="3AA239D9" w14:textId="77777777" w:rsidTr="0064421B">
        <w:tc>
          <w:tcPr>
            <w:tcW w:w="988" w:type="dxa"/>
            <w:vAlign w:val="center"/>
          </w:tcPr>
          <w:p w14:paraId="4F9AFB1C" w14:textId="77777777" w:rsidR="00C47E4D" w:rsidRPr="00C47E4D" w:rsidRDefault="00C47E4D" w:rsidP="00C47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</w:tcPr>
          <w:p w14:paraId="07A02FA0" w14:textId="77777777" w:rsidR="00C47E4D" w:rsidRPr="00C47E4D" w:rsidRDefault="00C47E4D" w:rsidP="00C47E4D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low quality</w:t>
            </w:r>
          </w:p>
          <w:p w14:paraId="274FC76C" w14:textId="298432CD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lower evidence</w:t>
            </w:r>
            <w:r w:rsidR="00791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7C921BD6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42D110" w14:textId="77777777" w:rsidR="00C47E4D" w:rsidRPr="00C47E4D" w:rsidRDefault="00C47E4D" w:rsidP="00C47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A5B1113" w14:textId="2F14E1B1" w:rsidR="00C47E4D" w:rsidRDefault="00C47E4D" w:rsidP="00C47E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7E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S5:</w:t>
      </w:r>
      <w:r w:rsidRPr="00C47E4D">
        <w:rPr>
          <w:rFonts w:ascii="Times New Roman" w:hAnsi="Times New Roman" w:cs="Times New Roman"/>
          <w:sz w:val="24"/>
          <w:szCs w:val="24"/>
        </w:rPr>
        <w:t xml:space="preserve"> Baseline characteristics of the studies included in the systematic review</w:t>
      </w:r>
    </w:p>
    <w:tbl>
      <w:tblPr>
        <w:tblW w:w="11057" w:type="dxa"/>
        <w:tblInd w:w="-1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851"/>
        <w:gridCol w:w="567"/>
        <w:gridCol w:w="425"/>
        <w:gridCol w:w="567"/>
        <w:gridCol w:w="567"/>
        <w:gridCol w:w="426"/>
        <w:gridCol w:w="567"/>
        <w:gridCol w:w="567"/>
        <w:gridCol w:w="567"/>
        <w:gridCol w:w="425"/>
        <w:gridCol w:w="567"/>
        <w:gridCol w:w="425"/>
        <w:gridCol w:w="567"/>
        <w:gridCol w:w="709"/>
        <w:gridCol w:w="567"/>
        <w:gridCol w:w="567"/>
        <w:gridCol w:w="425"/>
        <w:gridCol w:w="709"/>
      </w:tblGrid>
      <w:tr w:rsidR="006F20FC" w:rsidRPr="00361464" w14:paraId="585AB750" w14:textId="77777777" w:rsidTr="006F20FC">
        <w:trPr>
          <w:trHeight w:val="2265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B3ED87" w14:textId="23E1160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Publication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(First author &amp; year)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C2D2C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Country / Region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1DFEE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Number of patients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C9BEF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NOS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0B12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Specific selection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89C6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Mean / Median Age (years)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9E087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Females (%)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869D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High H&amp;H / WFNS (%)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C153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High Fisher (%)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AA028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Clipping (%)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2F693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DCI / VS (%)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3D5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Anemia Rate (%)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7F486E" w14:textId="481AA70C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RBCT </w:t>
            </w:r>
            <w:r w:rsidR="00D157D2" w:rsidRPr="00D1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threshold</w:t>
            </w: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(g/dL)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0A86A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RBCT rate (%)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DC23E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Anemia at admission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97AE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Anemia during SAH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CDD08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Repetitive Sampling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C5C39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Assessed variable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EDCEB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Assessment type</w:t>
            </w:r>
          </w:p>
        </w:tc>
      </w:tr>
      <w:tr w:rsidR="006F20FC" w:rsidRPr="00361464" w14:paraId="5C1AD12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739" w14:textId="6F8A1EDD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Ayling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23C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Israel, North America &amp; Europe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D1D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3BC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72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42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AAF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EFE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EB1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0B4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514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F5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C7A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C41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1E5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DED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4D5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289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7098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1CCEA29C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1D14" w14:textId="065F7F6D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Bell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5A7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FF9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097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014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117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53.8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45C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33A4" w14:textId="12A38C1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E056" w14:textId="078AB066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213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995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631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441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254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2FF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1DC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34B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A5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E8B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5D393F4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7CC0" w14:textId="336BF136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Broessner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48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Austria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885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EA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338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78B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55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683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631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444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15.8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9EC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091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C9C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3B3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C29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AAA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221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785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E6B2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11E517C7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7CB6" w14:textId="620991F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Castella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B9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Belgium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338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10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754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3CF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F2E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394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2D3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25B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BB9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954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DE5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8A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50A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FC7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421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270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919B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4743677E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DB14" w14:textId="0CB002A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Chen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070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BEB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2EE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30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D89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E7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58.1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875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3E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568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B54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AFF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4C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C46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428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840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55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9E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18E4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BF432FA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6A99" w14:textId="241B7709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DaSilva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9E9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EF0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0BB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C82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0AA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B95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A84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A6C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169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0AE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3A2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7B0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B67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6F5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FF0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64C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5F4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685C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2A490A30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ADD9" w14:textId="69F2048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English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61B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Canada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FFA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35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302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1B9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699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8C3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090E" w14:textId="39B61344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327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7A3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3C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9C6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E84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B33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431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977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613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0CB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5E468DFF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1F51" w14:textId="51FF2B91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Festic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DFD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E73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EC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31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372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BF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23C2" w14:textId="5C1F0D26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9216" w14:textId="4EC183E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20D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E9E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A1F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A3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CCC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22.6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63E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A52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C4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09D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4689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4667CFF7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B4C1" w14:textId="4C3A2DA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Kim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F1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South Korea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DD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51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8BC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F7E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617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975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58A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79.6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A2E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17.5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815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DC1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7D7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E1F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D99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17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918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CAF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6C33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1A6187EA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0267" w14:textId="36EB3426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Kramer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163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39C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ACF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24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3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BE7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AAE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6C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C0E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506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6E8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38.8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3FD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705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34.7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DE7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666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8D8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73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0428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6614EFEF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30BC" w14:textId="76CB013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Kramer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9D8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C0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3A8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68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735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2F9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A34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22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38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B45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357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F73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EE1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E4E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ADF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738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247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17B5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D0400B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26A4" w14:textId="45A6A3B9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Kumar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B24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A73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61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4C7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963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E18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A8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DE3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0F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201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8F2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12B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521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25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AD7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778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CEF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876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35D57BD9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B2FC" w14:textId="5B6BA319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Kumar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8C7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CB7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EDE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5D9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EC7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BE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4E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36.1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F20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EF8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21B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90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669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A9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C31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A1F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AC0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F82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529A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53CF0AD0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933C" w14:textId="670C1BC9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Loustarinen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F5A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Finland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0B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488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26F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D83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DE8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2F0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B95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44D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0C4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CD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094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379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A8A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11.1 (perioperative)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A76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A54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A1F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15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85B2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61CDACA5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16B8" w14:textId="0AFBB8AD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Naidech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9FD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F30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EBD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AB6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9A7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8D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A9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419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4FA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18B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8DF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C98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B5A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46.6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E36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E83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90B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B26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891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21A6C11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8B2C" w14:textId="43B51F3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Naidech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BB3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604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9D8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D33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7FC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DCB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8BB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8B2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0D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091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08E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6E2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74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C59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562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BCC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4CF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EFA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E79408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49CB" w14:textId="4BD190A8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Pegoli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7EA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724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150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F52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AED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55.8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2CA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699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BF49" w14:textId="1C5AD00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24A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83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1AF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669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97C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23.9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D26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D30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74A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4B3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8D1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6127D08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1FF7" w14:textId="6E0FED62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lastRenderedPageBreak/>
              <w:t>Qi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410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D4A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C5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55A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elderly &amp; H&amp;H III-V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2D8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72+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6F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EC4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578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BA1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26.5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31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38.8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C07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D69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3E6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4C8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EA5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367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61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E06B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108CCBC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182A" w14:textId="61F3E84A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Sadamasa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13C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Japan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A17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7E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921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06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76C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67.9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19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47.9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33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DFC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B35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2F8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7F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8DF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3F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9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BBB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2B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RBC, Hct, 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733C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6ECEBA51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3029" w14:textId="1C0B101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Sampson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3C9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28C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D9D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09D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276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2BC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36B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9280" w14:textId="330A87F2" w:rsidR="00361464" w:rsidRPr="006F20FC" w:rsidRDefault="00361464" w:rsidP="0036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 (med)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FCB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AAA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A3C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46.9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04B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271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19.3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4BB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55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248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EA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Hct (Hb indirect)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3AA7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36EC5A65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B824" w14:textId="3C97FE62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Smith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306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AD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054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5B7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1E8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03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2C1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EA9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8B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4B9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A4F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30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35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EF4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A95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697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8FF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79DC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48C6AB75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A7A4" w14:textId="4BBCC5F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Springer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EFB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119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1DC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5D8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55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51A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B28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D15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C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6BE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FC9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1DB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4AB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34.1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999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DF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29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C7C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03D9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0BAE7B87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81F2" w14:textId="1749DF8F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Stein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621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Germany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03F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0A7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6AB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2B1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590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8B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207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n(r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A7F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59.5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179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83D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32C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098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48.9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8F4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889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E55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ED9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 &amp; Hct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4744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2F4A2FCC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9D72" w14:textId="2281C805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Sun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3D9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D5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E00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5D5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ADC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20C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8E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4D7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1A6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64.2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06D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022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A9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907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8E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7DB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4D9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571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45C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Cat.</w:t>
            </w:r>
          </w:p>
        </w:tc>
      </w:tr>
      <w:tr w:rsidR="006F20FC" w:rsidRPr="00361464" w14:paraId="3A793FB1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6579" w14:textId="3F21B35B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Wartenberg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FD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096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AE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13C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aSAH + naSAH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A99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AA3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43C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A8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7E2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8B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34E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621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482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FAF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177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325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E6D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642B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20AE19EB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368D" w14:textId="075F4BA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Naidech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5A8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093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5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A5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WFNS=2-4; CT Scale=3-4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BCC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59.2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504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900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4D6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97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964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09C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82.6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68F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820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88.6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673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40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3BF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487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75BE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6898195C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1427" w14:textId="357D9B71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Seicean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BB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A9C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7AD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178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69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2BC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355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D4C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AAC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9D1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2E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41.4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79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616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17.5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62D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C0D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0A6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3AF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98B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3A90FF7F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BBA2" w14:textId="1DD8D94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4D8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462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4DB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559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DE3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EC0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832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D74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4DC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D7D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352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1D4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9C7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16.8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34C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B54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F9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DB3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06AE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547C2458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8918" w14:textId="0140EA68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Zhang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47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5FA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BA2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E84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B6E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1CC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DC1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BB2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45C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9F0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070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DE8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8BC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334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B4E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162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AE6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8B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73A9E5ED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229B" w14:textId="5210129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Wang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406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959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C54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4BA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2B5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51.6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BB7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9EA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E92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422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E3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545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AE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193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1A4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C2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974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FE4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76C7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2C39470E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B23A" w14:textId="09C2E5BD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Zheng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898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E99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6FD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50D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0C3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E2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4DF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9F6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161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5AA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DB9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B29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DFD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E9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A5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F89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27C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C6F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1B1E59D2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9CA9" w14:textId="44B1525E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Kurtz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FD8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FF3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305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CAF4" w14:textId="4504CB78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Neuro-monit. study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DFC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AF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A03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265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C95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04B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981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2EA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BD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476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9DE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5CF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BB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92C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51EEAA1C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845C" w14:textId="33EC2BC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Oddo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35A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A8E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803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4660" w14:textId="507BF648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Neuro-monit. study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918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2B9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B64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450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A31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93D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303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B14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ED7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84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32D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EA3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71A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9012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09643CF0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C5B2" w14:textId="2FB2FB18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Dhar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9A5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D3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523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DF2B" w14:textId="2D3CB67F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Iinter-vent. study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456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06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38C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0B5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0B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A09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BF1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4B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F1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0EC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697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DD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BEE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7F66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20287111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7829" w14:textId="7635943A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Levine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802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A0F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68D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E28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clipping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C1E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51.5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E1D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C94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34.9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2F3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48A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525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BB9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7A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12C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C50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316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F51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4CF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9832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347E61DF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581D" w14:textId="5C6F5F71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Tseng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504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21E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CB7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8C4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0C3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55.4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595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388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1EF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88.1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724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62.5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B60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192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317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EB8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19.4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A9D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19A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349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A10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Hb, Hct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991E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  <w:tr w:rsidR="006F20FC" w:rsidRPr="00361464" w14:paraId="51823138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6886" w14:textId="668B1C60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Schmitt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A3F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Germany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305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ACF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ED8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024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57.9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140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B0F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5B0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117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36.1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4BA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496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28.3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8DB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E13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0F5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48F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BC5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221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976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 &amp; cont.</w:t>
            </w:r>
          </w:p>
        </w:tc>
      </w:tr>
      <w:tr w:rsidR="006F20FC" w:rsidRPr="00361464" w14:paraId="232A28CF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347" w14:textId="66AB17BC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(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B3F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016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34E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0D6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Propensity score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6085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53.6 / 52.4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8D0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470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17.4 / 12.8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5FD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76.1 / 77.1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5B0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67 / 70.6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3B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29.4 / 22.9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AFA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27.5 / 43.1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F65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F21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6D0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0F2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CC1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AF0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27D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59C537F7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6431" w14:textId="5888C4ED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lastRenderedPageBreak/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(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1DE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271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7BD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C2D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Propensity score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B25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54.3 / 55.3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0C2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61.1 / 62.9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E58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17.6 / 19.5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FA3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78.7 / 79.3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A97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E438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31.3 / 20.1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0F2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42.2 / 17.6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D4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033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069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8B81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9ED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7DA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2ECD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Dich.</w:t>
            </w:r>
          </w:p>
        </w:tc>
      </w:tr>
      <w:tr w:rsidR="006F20FC" w:rsidRPr="00361464" w14:paraId="4B1673E3" w14:textId="77777777" w:rsidTr="006F20FC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F796" w14:textId="04F5890C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Wang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A03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3A66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26A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DF6F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8E7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A5A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65.8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A86B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DAAD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00EE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83.2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7B63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3F09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0D5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n/r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B0F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2FA7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E26C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3164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68E0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61EEA" w14:textId="77777777" w:rsidR="00361464" w:rsidRPr="006F20FC" w:rsidRDefault="00361464" w:rsidP="002D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6F20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Cont.</w:t>
            </w:r>
          </w:p>
        </w:tc>
      </w:tr>
    </w:tbl>
    <w:p w14:paraId="0757BBF6" w14:textId="66D04658" w:rsidR="00C47E4D" w:rsidRPr="00C47E4D" w:rsidRDefault="00C47E4D" w:rsidP="00C47E4D">
      <w:pPr>
        <w:spacing w:before="240"/>
        <w:jc w:val="both"/>
        <w:rPr>
          <w:rFonts w:ascii="Times New Roman" w:hAnsi="Times New Roman" w:cs="Times New Roman"/>
          <w:lang w:val="en-US"/>
        </w:rPr>
      </w:pPr>
      <w:r w:rsidRPr="00C47E4D">
        <w:rPr>
          <w:rFonts w:ascii="Times New Roman" w:hAnsi="Times New Roman" w:cs="Times New Roman"/>
          <w:u w:val="single"/>
          <w:lang w:val="en-US"/>
        </w:rPr>
        <w:t>Abbreviations</w:t>
      </w:r>
      <w:r w:rsidRPr="00C47E4D">
        <w:rPr>
          <w:rFonts w:ascii="Times New Roman" w:hAnsi="Times New Roman" w:cs="Times New Roman"/>
          <w:lang w:val="en-US"/>
        </w:rPr>
        <w:t xml:space="preserve">: aSAH = aneurysmal SAH, naSAH= non-aneurysmal subarachnoid hemorrhage, CT-scale = Columbia CT grading scale, </w:t>
      </w:r>
      <w:r w:rsidR="00F951C3">
        <w:rPr>
          <w:rFonts w:ascii="Times New Roman" w:hAnsi="Times New Roman" w:cs="Times New Roman"/>
          <w:lang w:val="en-US"/>
        </w:rPr>
        <w:t>NOS</w:t>
      </w:r>
      <w:r w:rsidRPr="00C47E4D">
        <w:rPr>
          <w:rFonts w:ascii="Times New Roman" w:hAnsi="Times New Roman" w:cs="Times New Roman"/>
          <w:lang w:val="en-US"/>
        </w:rPr>
        <w:t xml:space="preserve">= </w:t>
      </w:r>
      <w:r w:rsidR="00F951C3">
        <w:rPr>
          <w:rFonts w:ascii="Times New Roman" w:hAnsi="Times New Roman" w:cs="Times New Roman"/>
          <w:lang w:val="en-US"/>
        </w:rPr>
        <w:t>the Newcastle-Ottawa Score for the q</w:t>
      </w:r>
      <w:r w:rsidR="00F951C3" w:rsidRPr="00C47E4D">
        <w:rPr>
          <w:rFonts w:ascii="Times New Roman" w:hAnsi="Times New Roman" w:cs="Times New Roman"/>
          <w:lang w:val="en-US"/>
        </w:rPr>
        <w:t xml:space="preserve">uality </w:t>
      </w:r>
      <w:r w:rsidRPr="00C47E4D">
        <w:rPr>
          <w:rFonts w:ascii="Times New Roman" w:hAnsi="Times New Roman" w:cs="Times New Roman"/>
          <w:lang w:val="en-US"/>
        </w:rPr>
        <w:t>assessment, H&amp;H = Hunt &amp; Hess score, WFNS= World Federation of Neurosurgical Societies, DCI = delayed cerebral ischemia, VS= vasospasm, RBCT = red blood cell transfusion, n/r= not reported</w:t>
      </w:r>
      <w:r w:rsidR="00402A65">
        <w:rPr>
          <w:rFonts w:ascii="Times New Roman" w:hAnsi="Times New Roman" w:cs="Times New Roman"/>
          <w:lang w:val="en-US"/>
        </w:rPr>
        <w:t xml:space="preserve">, med </w:t>
      </w:r>
      <w:r w:rsidR="00F445A6">
        <w:rPr>
          <w:rFonts w:ascii="Times New Roman" w:hAnsi="Times New Roman" w:cs="Times New Roman"/>
          <w:lang w:val="en-US"/>
        </w:rPr>
        <w:t>–</w:t>
      </w:r>
      <w:r w:rsidR="00402A65">
        <w:rPr>
          <w:rFonts w:ascii="Times New Roman" w:hAnsi="Times New Roman" w:cs="Times New Roman"/>
          <w:lang w:val="en-US"/>
        </w:rPr>
        <w:t xml:space="preserve"> median</w:t>
      </w:r>
      <w:r w:rsidR="00F445A6">
        <w:rPr>
          <w:rFonts w:ascii="Times New Roman" w:hAnsi="Times New Roman" w:cs="Times New Roman"/>
          <w:lang w:val="en-US"/>
        </w:rPr>
        <w:t>.</w:t>
      </w:r>
    </w:p>
    <w:p w14:paraId="4BD27B6C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D5BAC5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6AFDEA" w14:textId="77777777" w:rsidR="00C47E4D" w:rsidRPr="00C47E4D" w:rsidRDefault="00C47E4D" w:rsidP="00C47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19BFEDC" w14:textId="77777777" w:rsidR="00C47E4D" w:rsidRPr="00C47E4D" w:rsidRDefault="00C47E4D" w:rsidP="00C47E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S6: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 xml:space="preserve"> Association between patients’ / SAH characteristics and early (peri-interventional) anemia / the need for perioperative RBCT. The risk of developing early/peri-interventional anemia or a need for perioperative RBCT is set out against each individual parameter. Significant associations are marked in green for the analyses with the evidence level I-II, or in light green for lower evidence. Non-significant associations are marked orange or light orange for the analyses with the evidence level I-II or lower, respectively. </w:t>
      </w:r>
    </w:p>
    <w:tbl>
      <w:tblPr>
        <w:tblW w:w="11340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260"/>
        <w:gridCol w:w="426"/>
        <w:gridCol w:w="425"/>
        <w:gridCol w:w="474"/>
        <w:gridCol w:w="376"/>
        <w:gridCol w:w="2885"/>
        <w:gridCol w:w="376"/>
        <w:gridCol w:w="425"/>
        <w:gridCol w:w="425"/>
        <w:gridCol w:w="425"/>
      </w:tblGrid>
      <w:tr w:rsidR="00C47E4D" w:rsidRPr="00C47E4D" w14:paraId="440F9414" w14:textId="77777777" w:rsidTr="0064421B">
        <w:trPr>
          <w:trHeight w:val="20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CF358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Parameter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60645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Early/peri-interventional anemia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F7309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The need for perioperative RBCT</w:t>
            </w:r>
          </w:p>
        </w:tc>
      </w:tr>
      <w:tr w:rsidR="00C47E4D" w:rsidRPr="00C47E4D" w14:paraId="78BA7666" w14:textId="77777777" w:rsidTr="0064421B">
        <w:trPr>
          <w:trHeight w:val="943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095D7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130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Risk (odds ratio/as specified) 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incl. 95% confidence interval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F3B6A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Nr. Studies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B4017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GQ Studies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9A8D40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MA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DAC0F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EAC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Risk (odds ratio/as specified) 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incl. 95% confidence interval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C4304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Nr. Studies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7D1F6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GQ Studies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29DBA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DC627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MVA</w:t>
            </w:r>
          </w:p>
        </w:tc>
      </w:tr>
      <w:tr w:rsidR="00C47E4D" w:rsidRPr="00C47E4D" w14:paraId="198D86DE" w14:textId="77777777" w:rsidTr="0064421B">
        <w:trPr>
          <w:trHeight w:val="53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D1AF9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Age (as defined)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E075E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52.7±9.34 vs 50.9±10.8 yrs,p=0.41;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r=-0.332,p&lt;0.0001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19238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73988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AF414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667BFD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536A74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59.0±8.6 vs 55.2±8.8 yrs, p=0.264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CBBBC9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93E9B0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1CD97B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742D26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5B729A24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ABE4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Sex (female)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7E415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9.26 (1.23 - 69.64)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9D759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B499D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7E963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F56606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FBE0D4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2.60 (0.48 - 14.02)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90FB14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A101CB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72AC6B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F1533D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1F8B29F3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04B84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BMI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EB2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B9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002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738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E9A5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384360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22.6±1.9 vs 22.8±3.0 kg/m2, p=0.859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219816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7857A7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6B74C3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0F2D96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562EBFB1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50779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Smoking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F8C8FA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1.32 (0.55 - 3.17)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E6F428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D57CE2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C8C358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9EDB4F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269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582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857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459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60C3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C47E4D" w:rsidRPr="00C47E4D" w14:paraId="01D63D5D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CC7DC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Arterial hypertension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00C259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0.52 (0.22 - 1.23)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D0B674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984E81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AC8290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BDB8CC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0B4527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1.16 (0.26 - 5.13)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0CD2E9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A825FD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6A4232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1E5A42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06DA4EA2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CD52E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IA location 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(anterior circulation)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08A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B47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515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1FB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8B2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8D0037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n.s.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F213A0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8BC03E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EF456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9477ED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2F17CFDF" w14:textId="77777777" w:rsidTr="0064421B">
        <w:trPr>
          <w:trHeight w:val="49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763BD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IA size (as defined)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689F6B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IA&gt;5 mm: 1.30 (0.51 - 3.30)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5C9C48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8849F6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2E3BC4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5BBFBA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B18D5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5.6±2.3 vs 5.9±2.6 mm, p=0.759;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per mm increase: 1.07 (1.01 - 1.41)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88C08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4F37D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1EE8E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4DAF5E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2B8F0761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5FA6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Initial clinical condition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3F841A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  <w:t>1.24 (0.71 - 2.14)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5FAFE5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8FCB15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12D219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4B6D76EA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177D48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  <w:t>2.71 (1.58 - 4.66)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D216A5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5F8FB3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BC98F7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E91D46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</w:tr>
      <w:tr w:rsidR="00C47E4D" w:rsidRPr="00C47E4D" w14:paraId="47AD9F4B" w14:textId="77777777" w:rsidTr="0064421B">
        <w:trPr>
          <w:trHeight w:val="10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AED68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Initial radiographic severity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12681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Fisher scale: r=-0.332, p&lt;0.0001;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Hijdra score: 18.2±6.1 vs 18.3±5.86,p=0.91;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IVH: 0.34 (0.08 - 1.47);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Graeb score: 2.7±2.3 vs 2.9±2.7,p=0.11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30859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80B02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F326B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20B35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D8DC6E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  <w:t>Fisher scale: 4.59 (1.39 - 15.13)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IVH: 2.06 (0.76 - 5.62);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ICH: 1.20 (0.36 - 3.97)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313AC9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4D1B4B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C0E945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65EA35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</w:tr>
      <w:tr w:rsidR="00C47E4D" w:rsidRPr="00C47E4D" w14:paraId="08EBDEAE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4D3CA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Acute hydrocephalus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FDDA8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12.3±1.9 vs 12.9±1.8 g/dL,p=0.002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5477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841CB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4F5D9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C66F6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9F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43E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444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A92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DB74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C47E4D" w:rsidRPr="00C47E4D" w14:paraId="1DFEA0FB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772D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Acute seizures 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(within first week)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4ADB8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per g/dL increase: 0.97 (0.94 - 0.99)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D3BBC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D6B76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47AD8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D9A70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A93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452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960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42F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F50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C47E4D" w:rsidRPr="00C47E4D" w14:paraId="08EABC45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28BEF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 xml:space="preserve">Admission hemoglobin </w:t>
            </w: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br/>
              <w:t>(as defined)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25F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56C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80B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81F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F8D0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5E2B96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12.4±9.8 vs 13.0±1.5 g/dL, p=0.333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5F0BA6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F2AFA0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EC6897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194EA3B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5EE57A9A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54695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Treatment modality (clipping)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CB19FB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1.06 (0.44 - 2.55)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549044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D36C92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9CEB1A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9825C7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F4C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9B64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1E45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03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D6CD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C47E4D" w:rsidRPr="00C47E4D" w14:paraId="699E74B2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D4182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Duration of surgery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F0B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8A2E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B73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9A49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A0F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4BD66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Mean: 277.3±88.0 vs 176.9±57.6 min, p=0.014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6DF92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FB1F2F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E830C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A33E6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C47E4D" w:rsidRPr="00C47E4D" w14:paraId="79701E5F" w14:textId="77777777" w:rsidTr="0064421B">
        <w:trPr>
          <w:trHeight w:val="3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CB18" w14:textId="77777777" w:rsidR="00C47E4D" w:rsidRPr="00C47E4D" w:rsidRDefault="00C47E4D" w:rsidP="00C47E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IOAR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504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97AD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8032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C86C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8AF0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7ABD966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u w:val="single"/>
                <w:lang w:val="en-US" w:eastAsia="de-DE"/>
              </w:rPr>
              <w:t>19.48 (3.46 - 109.60)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6C01171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16A11C3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D384D78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400B017" w14:textId="77777777" w:rsidR="00C47E4D" w:rsidRPr="00C47E4D" w:rsidRDefault="00C47E4D" w:rsidP="00C47E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</w:pPr>
            <w:r w:rsidRPr="00C47E4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US" w:eastAsia="de-DE"/>
              </w:rPr>
              <w:t>+</w:t>
            </w:r>
          </w:p>
        </w:tc>
      </w:tr>
    </w:tbl>
    <w:p w14:paraId="5D4A0F4E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sz w:val="24"/>
          <w:szCs w:val="24"/>
          <w:u w:val="single"/>
          <w:lang w:val="en-US"/>
        </w:rPr>
        <w:t>Abbreviations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: SAH= subarachnoid hemorrhage, RBCT=red blood cell transfusion, MVA = multivariate analysis, MA =meta-analysis, IA= intracranial aneurysm, IOAR= intraoperative aneurysm rupture, GC = good quality, BMI = body mass index</w:t>
      </w:r>
    </w:p>
    <w:p w14:paraId="7D3A19A5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8F6C7E0" w14:textId="77777777" w:rsidR="00C47E4D" w:rsidRPr="00C47E4D" w:rsidRDefault="00C47E4D" w:rsidP="00C47E4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6E5EBCCE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Supplementary Table S7</w:t>
      </w:r>
      <w:r w:rsidRPr="00C47E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Detailed description of the limitations and bias during data synthesis and analysis</w:t>
      </w:r>
    </w:p>
    <w:tbl>
      <w:tblPr>
        <w:tblStyle w:val="Tabelraster"/>
        <w:tblW w:w="11482" w:type="dxa"/>
        <w:tblInd w:w="-1139" w:type="dxa"/>
        <w:tblLook w:val="04A0" w:firstRow="1" w:lastRow="0" w:firstColumn="1" w:lastColumn="0" w:noHBand="0" w:noVBand="1"/>
      </w:tblPr>
      <w:tblGrid>
        <w:gridCol w:w="6237"/>
        <w:gridCol w:w="5245"/>
      </w:tblGrid>
      <w:tr w:rsidR="00C47E4D" w:rsidRPr="00C47E4D" w14:paraId="61F81442" w14:textId="77777777" w:rsidTr="0064421B">
        <w:tc>
          <w:tcPr>
            <w:tcW w:w="6237" w:type="dxa"/>
          </w:tcPr>
          <w:p w14:paraId="437E2246" w14:textId="77777777" w:rsidR="00C47E4D" w:rsidRPr="00C47E4D" w:rsidRDefault="00C47E4D" w:rsidP="00C47E4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lang w:val="en-US"/>
              </w:rPr>
              <w:t>Limitation/bias</w:t>
            </w:r>
          </w:p>
        </w:tc>
        <w:tc>
          <w:tcPr>
            <w:tcW w:w="5245" w:type="dxa"/>
          </w:tcPr>
          <w:p w14:paraId="58F59F96" w14:textId="77777777" w:rsidR="00C47E4D" w:rsidRPr="00C47E4D" w:rsidRDefault="00C47E4D" w:rsidP="00C47E4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47E4D">
              <w:rPr>
                <w:rFonts w:ascii="Times New Roman" w:hAnsi="Times New Roman" w:cs="Times New Roman"/>
                <w:b/>
                <w:lang w:val="en-US"/>
              </w:rPr>
              <w:t>Affected studies</w:t>
            </w:r>
          </w:p>
        </w:tc>
      </w:tr>
      <w:tr w:rsidR="00C47E4D" w:rsidRPr="00C47E4D" w14:paraId="42163FF2" w14:textId="77777777" w:rsidTr="0064421B">
        <w:tc>
          <w:tcPr>
            <w:tcW w:w="6237" w:type="dxa"/>
          </w:tcPr>
          <w:p w14:paraId="052E0EDB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Variations in definition and timing of follow up and poor outcome, as well as the used diagnostic modality for the diagnosis of cerebral ischemia and infarction</w:t>
            </w:r>
          </w:p>
        </w:tc>
        <w:tc>
          <w:tcPr>
            <w:tcW w:w="5245" w:type="dxa"/>
          </w:tcPr>
          <w:p w14:paraId="52FCAA18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All studies</w:t>
            </w:r>
          </w:p>
        </w:tc>
      </w:tr>
      <w:tr w:rsidR="00C47E4D" w:rsidRPr="006F20FC" w14:paraId="4E0FB457" w14:textId="77777777" w:rsidTr="0064421B">
        <w:tc>
          <w:tcPr>
            <w:tcW w:w="6237" w:type="dxa"/>
          </w:tcPr>
          <w:p w14:paraId="6AA00FF6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No SD for Hb values mentioned:</w:t>
            </w:r>
          </w:p>
          <w:p w14:paraId="19914389" w14:textId="77777777" w:rsidR="00C47E4D" w:rsidRPr="00C47E4D" w:rsidRDefault="00C47E4D" w:rsidP="00C47E4D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 xml:space="preserve">An arbitrary SD of 1.3 was used. </w:t>
            </w:r>
            <w:r w:rsidRPr="00C47E4D">
              <w:rPr>
                <w:rFonts w:ascii="Times New Roman" w:hAnsi="Times New Roman" w:cs="Times New Roman"/>
                <w:lang w:val="en-US"/>
              </w:rPr>
              <w:br/>
            </w:r>
          </w:p>
          <w:p w14:paraId="74D89936" w14:textId="77777777" w:rsidR="00C47E4D" w:rsidRPr="00C47E4D" w:rsidRDefault="00C47E4D" w:rsidP="00C47E4D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SD estimated upon the IQR values</w:t>
            </w:r>
          </w:p>
        </w:tc>
        <w:tc>
          <w:tcPr>
            <w:tcW w:w="5245" w:type="dxa"/>
          </w:tcPr>
          <w:p w14:paraId="347AA088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</w:p>
          <w:p w14:paraId="5F6D5B3E" w14:textId="70B207D4" w:rsidR="00C47E4D" w:rsidRPr="00190098" w:rsidRDefault="00C47E4D" w:rsidP="00C47E4D">
            <w:pPr>
              <w:numPr>
                <w:ilvl w:val="0"/>
                <w:numId w:val="16"/>
              </w:numPr>
              <w:ind w:left="305" w:hanging="283"/>
              <w:contextualSpacing/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Kramer et al. 2009, Naidech et al. 2006, Stein et al. 2015.</w:t>
            </w:r>
            <w:r w:rsidR="00190098" w:rsidRPr="00190098">
              <w:rPr>
                <w:rFonts w:ascii="Times New Roman" w:hAnsi="Times New Roman" w:cs="Times New Roman"/>
                <w:lang w:val="nl-NL"/>
              </w:rPr>
              <w:t xml:space="preserve"> </w:t>
            </w:r>
          </w:p>
          <w:p w14:paraId="01525190" w14:textId="73DF0F93" w:rsidR="00C47E4D" w:rsidRPr="00C47E4D" w:rsidRDefault="00C47E4D" w:rsidP="00190098">
            <w:pPr>
              <w:numPr>
                <w:ilvl w:val="0"/>
                <w:numId w:val="16"/>
              </w:numPr>
              <w:ind w:left="305" w:hanging="283"/>
              <w:contextualSpacing/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Castella et al. 2021, Festic et al. 2013</w:t>
            </w:r>
          </w:p>
        </w:tc>
      </w:tr>
      <w:tr w:rsidR="00C47E4D" w:rsidRPr="00C47E4D" w14:paraId="0A257E8C" w14:textId="77777777" w:rsidTr="0064421B">
        <w:tc>
          <w:tcPr>
            <w:tcW w:w="6237" w:type="dxa"/>
          </w:tcPr>
          <w:p w14:paraId="4B863BD5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 xml:space="preserve">Poor outcome at 3 months is based on other publication. </w:t>
            </w:r>
            <w:r w:rsidRPr="00C47E4D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C47E4D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&lt;EndNote&gt;&lt;Cite&gt;&lt;Author&gt;Vespa&lt;/Author&gt;&lt;Year&gt;2006&lt;/Year&gt;&lt;RecNum&gt;370&lt;/RecNum&gt;&lt;DisplayText&gt;&lt;style face="superscript"&gt;53&lt;/style&gt;&lt;/DisplayText&gt;&lt;record&gt;&lt;rec-number&gt;370&lt;/rec-number&gt;&lt;foreign-keys&gt;&lt;key app="EN" db-id="tf2xtt2a322a5weaszbxsew9xrzwds0dpefa" timestamp="1644869411"&gt;370&lt;/key&gt;&lt;/foreign-keys&gt;&lt;ref-type name="Journal Article"&gt;17&lt;/ref-type&gt;&lt;contributors&gt;&lt;authors&gt;&lt;author&gt;Vespa, P.&lt;/author&gt;&lt;/authors&gt;&lt;/contributors&gt;&lt;titles&gt;&lt;title&gt;The three tenors of subarachnoid hemorrhage: fever, anemia, and hyperglycemia&lt;/title&gt;&lt;secondary-title&gt;Crit Care Med&lt;/secondary-title&gt;&lt;/titles&gt;&lt;periodical&gt;&lt;full-title&gt;Crit Care Med&lt;/full-title&gt;&lt;/periodical&gt;&lt;pages&gt;897-8&lt;/pages&gt;&lt;volume&gt;34&lt;/volume&gt;&lt;number&gt;3&lt;/number&gt;&lt;edition&gt;2006/03/01&lt;/edition&gt;&lt;keywords&gt;&lt;keyword&gt;Anemia/epidemiology/*etiology&lt;/keyword&gt;&lt;keyword&gt;Fever/epidemiology/*etiology&lt;/keyword&gt;&lt;keyword&gt;Humans&lt;/keyword&gt;&lt;keyword&gt;Hyperglycemia/epidemiology/*etiology&lt;/keyword&gt;&lt;keyword&gt;Intensive Care Units&lt;/keyword&gt;&lt;keyword&gt;New York City/epidemiology&lt;/keyword&gt;&lt;keyword&gt;Prognosis&lt;/keyword&gt;&lt;keyword&gt;Subarachnoid Hemorrhage/*complications/mortality&lt;/keyword&gt;&lt;/keywords&gt;&lt;dates&gt;&lt;year&gt;2006&lt;/year&gt;&lt;pub-dates&gt;&lt;date&gt;Mar&lt;/date&gt;&lt;/pub-dates&gt;&lt;/dates&gt;&lt;isbn&gt;0090-3493 (Print)&amp;#xD;0090-3493 (Linking)&lt;/isbn&gt;&lt;accession-num&gt;16505673&lt;/accession-num&gt;&lt;urls&gt;&lt;related-urls&gt;&lt;url&gt;https://www.ncbi.nlm.nih.gov/pubmed/16505673&lt;/url&gt;&lt;/related-urls&gt;&lt;/urls&gt;&lt;electronic-resource-num&gt;10.1097/01.CCM.0000202431.87062.98&lt;/electronic-resource-num&gt;&lt;/record&gt;&lt;/Cite&gt;&lt;/EndNote&gt;</w:instrText>
            </w:r>
            <w:r w:rsidRPr="00C47E4D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C47E4D">
              <w:rPr>
                <w:rFonts w:ascii="Times New Roman" w:hAnsi="Times New Roman" w:cs="Times New Roman"/>
                <w:noProof/>
                <w:vertAlign w:val="superscript"/>
                <w:lang w:val="en-US"/>
              </w:rPr>
              <w:t>53</w:t>
            </w:r>
            <w:r w:rsidRPr="00C47E4D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C47E4D">
              <w:rPr>
                <w:rFonts w:ascii="Times New Roman" w:hAnsi="Times New Roman" w:cs="Times New Roman"/>
                <w:lang w:val="en-US"/>
              </w:rPr>
              <w:t xml:space="preserve"> No data available on poor outcome at discharge, therefore estimated at 50%.</w:t>
            </w:r>
          </w:p>
        </w:tc>
        <w:tc>
          <w:tcPr>
            <w:tcW w:w="5245" w:type="dxa"/>
          </w:tcPr>
          <w:p w14:paraId="77B23198" w14:textId="7A10117D" w:rsidR="00C47E4D" w:rsidRPr="00C47E4D" w:rsidRDefault="00C47E4D" w:rsidP="00190098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Naidech et al. 2007</w:t>
            </w:r>
          </w:p>
        </w:tc>
      </w:tr>
      <w:tr w:rsidR="00C47E4D" w:rsidRPr="00C47E4D" w14:paraId="751C7064" w14:textId="77777777" w:rsidTr="0064421B">
        <w:tc>
          <w:tcPr>
            <w:tcW w:w="6237" w:type="dxa"/>
          </w:tcPr>
          <w:p w14:paraId="5B746ABE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5" w:type="dxa"/>
          </w:tcPr>
          <w:p w14:paraId="1C2FE978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E4D" w:rsidRPr="00C47E4D" w14:paraId="42ED5C99" w14:textId="77777777" w:rsidTr="0064421B">
        <w:tc>
          <w:tcPr>
            <w:tcW w:w="6237" w:type="dxa"/>
          </w:tcPr>
          <w:p w14:paraId="5F109753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 xml:space="preserve">No data available on outcome at discharge. Estimation based on median and IQR values. </w:t>
            </w:r>
          </w:p>
        </w:tc>
        <w:tc>
          <w:tcPr>
            <w:tcW w:w="5245" w:type="dxa"/>
          </w:tcPr>
          <w:p w14:paraId="1A8A33AE" w14:textId="2A40A136" w:rsidR="00C47E4D" w:rsidRPr="00C47E4D" w:rsidRDefault="00C47E4D" w:rsidP="00190098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Bell et al. 2015</w:t>
            </w:r>
          </w:p>
        </w:tc>
      </w:tr>
      <w:tr w:rsidR="00C47E4D" w:rsidRPr="006F20FC" w14:paraId="61E39863" w14:textId="77777777" w:rsidTr="0064421B">
        <w:tc>
          <w:tcPr>
            <w:tcW w:w="6237" w:type="dxa"/>
          </w:tcPr>
          <w:p w14:paraId="270630E0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Possibility of overlapping cohorts, however, results included in same meta-analysis.</w:t>
            </w:r>
          </w:p>
        </w:tc>
        <w:tc>
          <w:tcPr>
            <w:tcW w:w="5245" w:type="dxa"/>
          </w:tcPr>
          <w:p w14:paraId="338DCC4E" w14:textId="5DF918EF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Naidech et al. 2006, Naidech et al. 2007</w:t>
            </w:r>
          </w:p>
        </w:tc>
      </w:tr>
      <w:tr w:rsidR="00C47E4D" w:rsidRPr="00C47E4D" w14:paraId="4DAFFD3F" w14:textId="77777777" w:rsidTr="0064421B">
        <w:tc>
          <w:tcPr>
            <w:tcW w:w="6237" w:type="dxa"/>
          </w:tcPr>
          <w:p w14:paraId="7359F5D0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Infarction rate calculated from reported OR for RBCT and DCI rate in patients with RBCT and rate of CTs in all patients</w:t>
            </w:r>
          </w:p>
        </w:tc>
        <w:tc>
          <w:tcPr>
            <w:tcW w:w="5245" w:type="dxa"/>
          </w:tcPr>
          <w:p w14:paraId="5D382353" w14:textId="5F3F24BF" w:rsidR="00C47E4D" w:rsidRPr="00C47E4D" w:rsidRDefault="00C47E4D" w:rsidP="00190098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Kramer et al. 2008</w:t>
            </w:r>
          </w:p>
        </w:tc>
      </w:tr>
      <w:tr w:rsidR="00C47E4D" w:rsidRPr="006F20FC" w14:paraId="6FD6067F" w14:textId="77777777" w:rsidTr="0064421B">
        <w:tc>
          <w:tcPr>
            <w:tcW w:w="6237" w:type="dxa"/>
          </w:tcPr>
          <w:p w14:paraId="73932869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vasospasm and mean Hb includes 2 studies using angiographic vasospasm and 1 study with TCD vasospasm</w:t>
            </w:r>
          </w:p>
        </w:tc>
        <w:tc>
          <w:tcPr>
            <w:tcW w:w="5245" w:type="dxa"/>
          </w:tcPr>
          <w:p w14:paraId="6F822BC5" w14:textId="4178574C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Bell et al. 2015, Naidech et al. 2006, Stein et al. 2015</w:t>
            </w:r>
          </w:p>
        </w:tc>
      </w:tr>
      <w:tr w:rsidR="00C47E4D" w:rsidRPr="006F20FC" w14:paraId="164F934C" w14:textId="77777777" w:rsidTr="0064421B">
        <w:tc>
          <w:tcPr>
            <w:tcW w:w="6237" w:type="dxa"/>
          </w:tcPr>
          <w:p w14:paraId="00C41F91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vasospasm and nadir Hb includes 1 study with angiographic vasospasm and 1 study with clinical vasospasm</w:t>
            </w:r>
          </w:p>
        </w:tc>
        <w:tc>
          <w:tcPr>
            <w:tcW w:w="5245" w:type="dxa"/>
          </w:tcPr>
          <w:p w14:paraId="7EFBA0AA" w14:textId="309E3C8C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Naidech et al. 2010, Sun et al. 2015</w:t>
            </w:r>
          </w:p>
        </w:tc>
      </w:tr>
      <w:tr w:rsidR="00C47E4D" w:rsidRPr="006F20FC" w14:paraId="14993E86" w14:textId="77777777" w:rsidTr="0064421B">
        <w:tc>
          <w:tcPr>
            <w:tcW w:w="6237" w:type="dxa"/>
          </w:tcPr>
          <w:p w14:paraId="05D27B18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vasospasm and admission Hb includes 1 study with angiographic vasospasm and 1 study with symptomatic vasospasm</w:t>
            </w:r>
          </w:p>
        </w:tc>
        <w:tc>
          <w:tcPr>
            <w:tcW w:w="5245" w:type="dxa"/>
          </w:tcPr>
          <w:p w14:paraId="76C8E8D6" w14:textId="57F55AA7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Bell et al. 2015, Kim et al. 2015</w:t>
            </w:r>
          </w:p>
        </w:tc>
      </w:tr>
      <w:tr w:rsidR="00C47E4D" w:rsidRPr="006F20FC" w14:paraId="3D12CD01" w14:textId="77777777" w:rsidTr="0064421B">
        <w:tc>
          <w:tcPr>
            <w:tcW w:w="6237" w:type="dxa"/>
          </w:tcPr>
          <w:p w14:paraId="560059FE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vasospasm and Hb&lt;10 g/dL includes 2 potentially overlapping cohorts, 2 studies with angiographic vasospasm, 1 study with symptomatic vasospasm and 1 study with TCD vasospasm</w:t>
            </w:r>
          </w:p>
        </w:tc>
        <w:tc>
          <w:tcPr>
            <w:tcW w:w="5245" w:type="dxa"/>
          </w:tcPr>
          <w:p w14:paraId="668951C4" w14:textId="16D654DB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English et al. 2018, Kim et al. 2015, Kramer et al. 2008, Kumar et al. 2014, Kumar et al. 2017, Sampson et al. 2010</w:t>
            </w:r>
          </w:p>
        </w:tc>
      </w:tr>
      <w:tr w:rsidR="00C47E4D" w:rsidRPr="006F20FC" w14:paraId="1E644037" w14:textId="77777777" w:rsidTr="0064421B">
        <w:tc>
          <w:tcPr>
            <w:tcW w:w="6237" w:type="dxa"/>
          </w:tcPr>
          <w:p w14:paraId="154F826C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 xml:space="preserve">Forrest plot for hospital stay duration: </w:t>
            </w:r>
          </w:p>
          <w:p w14:paraId="264B21A8" w14:textId="77777777" w:rsidR="00C47E4D" w:rsidRPr="00C47E4D" w:rsidRDefault="00C47E4D" w:rsidP="00C47E4D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Anemia rate was estimated at 50%</w:t>
            </w:r>
          </w:p>
          <w:p w14:paraId="2B56FB41" w14:textId="77777777" w:rsidR="00C47E4D" w:rsidRPr="00C47E4D" w:rsidRDefault="00C47E4D" w:rsidP="00C47E4D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 xml:space="preserve">SD and values estimated from IQR-values </w:t>
            </w:r>
          </w:p>
          <w:p w14:paraId="42F1C28E" w14:textId="77777777" w:rsidR="00C47E4D" w:rsidRPr="00C47E4D" w:rsidRDefault="00C47E4D" w:rsidP="00C47E4D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median values applied instead of mean</w:t>
            </w:r>
          </w:p>
        </w:tc>
        <w:tc>
          <w:tcPr>
            <w:tcW w:w="5245" w:type="dxa"/>
          </w:tcPr>
          <w:p w14:paraId="4FC1A889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</w:p>
          <w:p w14:paraId="536B7FA3" w14:textId="1F34AB72" w:rsidR="00C47E4D" w:rsidRPr="00C47E4D" w:rsidRDefault="00C47E4D" w:rsidP="00C47E4D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Castella et al. 2021</w:t>
            </w:r>
          </w:p>
          <w:p w14:paraId="5E0C7152" w14:textId="0BB02533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Castella et al. 2021, Sampson et al. 2010</w:t>
            </w:r>
          </w:p>
        </w:tc>
      </w:tr>
      <w:tr w:rsidR="00C47E4D" w:rsidRPr="006F20FC" w14:paraId="1EFFC5E5" w14:textId="77777777" w:rsidTr="0064421B">
        <w:tc>
          <w:tcPr>
            <w:tcW w:w="6237" w:type="dxa"/>
          </w:tcPr>
          <w:p w14:paraId="07004744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infectious complications: Wide range of RBCT thresholds between 8.0 -10.0 g/dL were included.</w:t>
            </w:r>
          </w:p>
        </w:tc>
        <w:tc>
          <w:tcPr>
            <w:tcW w:w="5245" w:type="dxa"/>
          </w:tcPr>
          <w:p w14:paraId="30BAA18B" w14:textId="12D61F72" w:rsidR="00C47E4D" w:rsidRPr="00C47E4D" w:rsidRDefault="00C47E4D" w:rsidP="00C47E4D">
            <w:pPr>
              <w:spacing w:line="360" w:lineRule="auto"/>
              <w:rPr>
                <w:rFonts w:ascii="Times New Roman" w:hAnsi="Times New Roman" w:cs="Times New Roman"/>
                <w:lang w:val="nl-NL"/>
              </w:rPr>
            </w:pPr>
            <w:r w:rsidRPr="00190098">
              <w:rPr>
                <w:rFonts w:ascii="Times New Roman" w:hAnsi="Times New Roman" w:cs="Times New Roman"/>
              </w:rPr>
              <w:t xml:space="preserve"> </w:t>
            </w:r>
            <w:r w:rsidRPr="00C47E4D">
              <w:rPr>
                <w:rFonts w:ascii="Times New Roman" w:hAnsi="Times New Roman" w:cs="Times New Roman"/>
                <w:lang w:val="nl-NL"/>
              </w:rPr>
              <w:t>Kim et al. 2015,  Levine et al. 2010</w:t>
            </w:r>
            <w:r w:rsidR="00190098">
              <w:rPr>
                <w:rFonts w:ascii="Times New Roman" w:hAnsi="Times New Roman" w:cs="Times New Roman"/>
                <w:lang w:val="nl-NL"/>
              </w:rPr>
              <w:t>, Kramer et al. 2008</w:t>
            </w:r>
            <w:r w:rsidRPr="00C47E4D">
              <w:rPr>
                <w:rFonts w:ascii="Times New Roman" w:hAnsi="Times New Roman" w:cs="Times New Roman"/>
                <w:lang w:val="nl-NL"/>
              </w:rPr>
              <w:fldChar w:fldCharType="begin"/>
            </w:r>
            <w:r w:rsidRPr="00C47E4D">
              <w:rPr>
                <w:rFonts w:ascii="Times New Roman" w:hAnsi="Times New Roman" w:cs="Times New Roman"/>
                <w:lang w:val="nl-NL"/>
              </w:rPr>
              <w:instrText xml:space="preserve"> ADDIN EN.CITE &lt;EndNote&gt;&lt;Cite&gt;&lt;Author&gt;Kramer&lt;/Author&gt;&lt;Year&gt;2008&lt;/Year&gt;&lt;RecNum&gt;341&lt;/RecNum&gt;&lt;DisplayText&gt;&lt;style face="superscript"&gt;30&lt;/style&gt;&lt;/DisplayText&gt;&lt;record&gt;&lt;rec-number&gt;341&lt;/rec-number&gt;&lt;foreign-keys&gt;&lt;key app="EN" db-id="tf2xtt2a322a5weaszbxsew9xrzwds0dpefa" timestamp="1644748391"&gt;341&lt;/key&gt;&lt;/foreign-keys&gt;&lt;ref-type name="Journal Article"&gt;17&lt;/ref-type&gt;&lt;contributors&gt;&lt;authors&gt;&lt;author&gt;Kramer, A. H.&lt;/author&gt;&lt;author&gt;Gurka, M. J.&lt;/author&gt;&lt;author&gt;Nathan, B.&lt;/author&gt;&lt;author&gt;Dumont, A. S.&lt;/author&gt;&lt;author&gt;Kassell, N. F.&lt;/author&gt;&lt;author&gt;Bleck, T. P.&lt;/author&gt;&lt;/authors&gt;&lt;/contributors&gt;&lt;auth-address&gt;University of Virginia, USA. Andreas.Kramer@CalgaryHealthRegion.ca&lt;/auth-address&gt;&lt;titles&gt;&lt;title&gt;Complications associated with anemia and blood transfusion in patients with aneurysmal subarachnoid hemorrhage&lt;/title&gt;&lt;secondary-title&gt;Crit Care Med&lt;/secondary-title&gt;&lt;/titles&gt;&lt;periodical&gt;&lt;full-title&gt;Crit Care Med&lt;/full-title&gt;&lt;/periodical&gt;&lt;pages&gt;2070-5&lt;/pages&gt;&lt;volume&gt;36&lt;/volume&gt;&lt;number&gt;7&lt;/number&gt;&lt;edition&gt;2008/06/17&lt;/edition&gt;&lt;keywords&gt;&lt;keyword&gt;Anemia/complications/*therapy&lt;/keyword&gt;&lt;keyword&gt;Brain Ischemia/complications/*etiology&lt;/keyword&gt;&lt;keyword&gt;Female&lt;/keyword&gt;&lt;keyword&gt;Humans&lt;/keyword&gt;&lt;keyword&gt;Intensive Care Units&lt;/keyword&gt;&lt;keyword&gt;Logistic Models&lt;/keyword&gt;&lt;keyword&gt;Male&lt;/keyword&gt;&lt;keyword&gt;Middle Aged&lt;/keyword&gt;&lt;keyword&gt;Retrospective Studies&lt;/keyword&gt;&lt;keyword&gt;Severity of Illness Index&lt;/keyword&gt;&lt;keyword&gt;Subarachnoid Hemorrhage/classification/*complications&lt;/keyword&gt;&lt;keyword&gt;*Transfusion Reaction&lt;/keyword&gt;&lt;keyword&gt;Vasospasm, Intracranial/etiology&lt;/keyword&gt;&lt;/keywords&gt;&lt;dates&gt;&lt;year&gt;2008&lt;/year&gt;&lt;pub-dates&gt;&lt;date&gt;Jul&lt;/date&gt;&lt;/pub-dates&gt;&lt;/dates&gt;&lt;isbn&gt;1530-0293 (Electronic)&amp;#xD;0090-3493 (Linking)&lt;/isbn&gt;&lt;accession-num&gt;18552682&lt;/accession-num&gt;&lt;urls&gt;&lt;related-urls&gt;&lt;url&gt;https://www.ncbi.nlm.nih.gov/pubmed/18552682&lt;/url&gt;&lt;/related-urls&gt;&lt;/urls&gt;&lt;electronic-resource-num&gt;10.1097/CCM.0b013e31817c1095&lt;/electronic-resource-num&gt;&lt;/record&gt;&lt;/Cite&gt;&lt;/EndNote&gt;</w:instrText>
            </w:r>
            <w:r w:rsidRPr="00C47E4D">
              <w:rPr>
                <w:rFonts w:ascii="Times New Roman" w:hAnsi="Times New Roman" w:cs="Times New Roman"/>
                <w:lang w:val="nl-NL"/>
              </w:rPr>
              <w:fldChar w:fldCharType="end"/>
            </w:r>
            <w:r w:rsidRPr="00C47E4D">
              <w:rPr>
                <w:rFonts w:ascii="Times New Roman" w:hAnsi="Times New Roman" w:cs="Times New Roman"/>
                <w:lang w:val="nl-NL"/>
              </w:rPr>
              <w:t xml:space="preserve">, Stein et al. 2015 </w:t>
            </w:r>
          </w:p>
          <w:p w14:paraId="02D420ED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C47E4D" w:rsidRPr="00C47E4D" w14:paraId="5CD8D1EA" w14:textId="77777777" w:rsidTr="0064421B">
        <w:tc>
          <w:tcPr>
            <w:tcW w:w="6237" w:type="dxa"/>
          </w:tcPr>
          <w:p w14:paraId="55579299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age impact on anemia: Fictive SD value of 10 years according to the SD values from other studies was used</w:t>
            </w:r>
          </w:p>
        </w:tc>
        <w:tc>
          <w:tcPr>
            <w:tcW w:w="5245" w:type="dxa"/>
          </w:tcPr>
          <w:p w14:paraId="1B9FCF1A" w14:textId="227F8773" w:rsidR="00C47E4D" w:rsidRPr="00C47E4D" w:rsidRDefault="00C47E4D" w:rsidP="00190098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Kramer et al. 2008</w:t>
            </w:r>
          </w:p>
        </w:tc>
      </w:tr>
      <w:tr w:rsidR="00C47E4D" w:rsidRPr="006F20FC" w14:paraId="3116A76F" w14:textId="77777777" w:rsidTr="0064421B">
        <w:tc>
          <w:tcPr>
            <w:tcW w:w="6237" w:type="dxa"/>
          </w:tcPr>
          <w:p w14:paraId="04F9E410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Fisher grade impact on anemia risk: Data with regard to original or modified scale were included</w:t>
            </w:r>
          </w:p>
        </w:tc>
        <w:tc>
          <w:tcPr>
            <w:tcW w:w="5245" w:type="dxa"/>
          </w:tcPr>
          <w:p w14:paraId="01AEFC6E" w14:textId="750550FD" w:rsidR="00C47E4D" w:rsidRPr="00C47E4D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English et al. 2018, Kramer et al. 2008, Kramer et al. 2009, Sampson et al. 2010</w:t>
            </w:r>
          </w:p>
        </w:tc>
      </w:tr>
      <w:tr w:rsidR="00C47E4D" w:rsidRPr="00C47E4D" w14:paraId="15EDFF68" w14:textId="77777777" w:rsidTr="0064421B">
        <w:tc>
          <w:tcPr>
            <w:tcW w:w="6237" w:type="dxa"/>
          </w:tcPr>
          <w:p w14:paraId="4D220BE4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age impact on RBCT risk:</w:t>
            </w:r>
          </w:p>
          <w:p w14:paraId="2E2F0E02" w14:textId="77777777" w:rsidR="00C47E4D" w:rsidRPr="00C47E4D" w:rsidRDefault="00C47E4D" w:rsidP="00C47E4D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SD estimated from IQR values</w:t>
            </w:r>
          </w:p>
          <w:p w14:paraId="5E3936F2" w14:textId="77777777" w:rsidR="00C47E4D" w:rsidRPr="00C47E4D" w:rsidRDefault="00C47E4D" w:rsidP="00C47E4D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Fictive SD of 10 years</w:t>
            </w:r>
          </w:p>
        </w:tc>
        <w:tc>
          <w:tcPr>
            <w:tcW w:w="5245" w:type="dxa"/>
          </w:tcPr>
          <w:p w14:paraId="53FDC20C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</w:p>
          <w:p w14:paraId="490A21EC" w14:textId="377D0D74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Festic et al. 2013</w:t>
            </w:r>
          </w:p>
          <w:p w14:paraId="24C4333A" w14:textId="7D8D91DD" w:rsidR="00C47E4D" w:rsidRPr="00C47E4D" w:rsidRDefault="00C47E4D" w:rsidP="00190098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Kramer et al. 2008</w:t>
            </w:r>
          </w:p>
        </w:tc>
      </w:tr>
      <w:tr w:rsidR="00C47E4D" w:rsidRPr="006F20FC" w14:paraId="423B3B11" w14:textId="77777777" w:rsidTr="0064421B">
        <w:tc>
          <w:tcPr>
            <w:tcW w:w="6237" w:type="dxa"/>
          </w:tcPr>
          <w:p w14:paraId="666BE942" w14:textId="77777777" w:rsidR="00C47E4D" w:rsidRPr="00C47E4D" w:rsidRDefault="00C47E4D" w:rsidP="00C47E4D">
            <w:pPr>
              <w:rPr>
                <w:rFonts w:ascii="Times New Roman" w:hAnsi="Times New Roman" w:cs="Times New Roman"/>
                <w:lang w:val="en-US"/>
              </w:rPr>
            </w:pPr>
            <w:r w:rsidRPr="00C47E4D">
              <w:rPr>
                <w:rFonts w:ascii="Times New Roman" w:hAnsi="Times New Roman" w:cs="Times New Roman"/>
                <w:lang w:val="en-US"/>
              </w:rPr>
              <w:t>Forrest plot for initial clinical grade on RBCT risk: H&amp;H and WFNS- based studies analyzed together</w:t>
            </w:r>
          </w:p>
        </w:tc>
        <w:tc>
          <w:tcPr>
            <w:tcW w:w="5245" w:type="dxa"/>
          </w:tcPr>
          <w:p w14:paraId="54E076D2" w14:textId="394564AF" w:rsidR="00C47E4D" w:rsidRPr="00190098" w:rsidRDefault="00C47E4D" w:rsidP="00190098">
            <w:pPr>
              <w:rPr>
                <w:rFonts w:ascii="Times New Roman" w:hAnsi="Times New Roman" w:cs="Times New Roman"/>
                <w:lang w:val="nl-NL"/>
              </w:rPr>
            </w:pPr>
            <w:r w:rsidRPr="00C47E4D">
              <w:rPr>
                <w:rFonts w:ascii="Times New Roman" w:hAnsi="Times New Roman" w:cs="Times New Roman"/>
                <w:lang w:val="nl-NL"/>
              </w:rPr>
              <w:t>Broessner et al. 2009, Festic et al. 2013</w:t>
            </w:r>
            <w:r w:rsidR="00190098" w:rsidRPr="00190098">
              <w:rPr>
                <w:rFonts w:ascii="Times New Roman" w:hAnsi="Times New Roman" w:cs="Times New Roman"/>
                <w:lang w:val="nl-NL"/>
              </w:rPr>
              <w:t xml:space="preserve">, </w:t>
            </w:r>
            <w:r w:rsidR="00190098">
              <w:rPr>
                <w:rFonts w:ascii="Times New Roman" w:hAnsi="Times New Roman" w:cs="Times New Roman"/>
                <w:lang w:val="nl-NL"/>
              </w:rPr>
              <w:t xml:space="preserve">Kim et al. 2015, </w:t>
            </w:r>
            <w:r w:rsidRPr="00C47E4D">
              <w:rPr>
                <w:rFonts w:ascii="Times New Roman" w:hAnsi="Times New Roman" w:cs="Times New Roman"/>
                <w:lang w:val="nl-NL"/>
              </w:rPr>
              <w:t>Kramer et al. 2008</w:t>
            </w:r>
            <w:r w:rsidR="00190098" w:rsidRPr="00190098">
              <w:rPr>
                <w:rFonts w:ascii="Times New Roman" w:hAnsi="Times New Roman" w:cs="Times New Roman"/>
                <w:lang w:val="nl-NL"/>
              </w:rPr>
              <w:t xml:space="preserve">, </w:t>
            </w:r>
            <w:r w:rsidRPr="00190098">
              <w:rPr>
                <w:rFonts w:ascii="Times New Roman" w:hAnsi="Times New Roman" w:cs="Times New Roman"/>
                <w:lang w:val="nl-NL"/>
              </w:rPr>
              <w:t xml:space="preserve"> Kramer et al. 2009, Kumar et al. 2014, Kumar et al. 2017, Naidech et al. 2006, Levine et al. 2010</w:t>
            </w:r>
          </w:p>
        </w:tc>
      </w:tr>
    </w:tbl>
    <w:p w14:paraId="7555E0C7" w14:textId="77777777" w:rsidR="00C47E4D" w:rsidRPr="00C47E4D" w:rsidRDefault="00C47E4D" w:rsidP="00C47E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47E4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Abbreviations</w:t>
      </w:r>
      <w:r w:rsidRPr="00C47E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C47E4D">
        <w:rPr>
          <w:rFonts w:ascii="Times New Roman" w:hAnsi="Times New Roman" w:cs="Times New Roman"/>
          <w:sz w:val="24"/>
          <w:szCs w:val="24"/>
          <w:lang w:val="en-US"/>
        </w:rPr>
        <w:t>SD= standard deviation; Hb= Hemoglobin; IQR= interquartile range, OR= odds ratio; WFNS= World Federation of Neurosurgical Societies</w:t>
      </w:r>
    </w:p>
    <w:p w14:paraId="7A9D17D1" w14:textId="77777777" w:rsidR="005F59C1" w:rsidRPr="00C47E4D" w:rsidRDefault="00FA1B32">
      <w:pPr>
        <w:rPr>
          <w:lang w:val="en-US"/>
        </w:rPr>
      </w:pPr>
    </w:p>
    <w:sectPr w:rsidR="005F59C1" w:rsidRPr="00C47E4D">
      <w:footerReference w:type="even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4E8D5" w14:textId="77777777" w:rsidR="00FA1B32" w:rsidRDefault="00FA1B32">
      <w:pPr>
        <w:spacing w:after="0" w:line="240" w:lineRule="auto"/>
      </w:pPr>
      <w:r>
        <w:separator/>
      </w:r>
    </w:p>
  </w:endnote>
  <w:endnote w:type="continuationSeparator" w:id="0">
    <w:p w14:paraId="3ACFE9BB" w14:textId="77777777" w:rsidR="00FA1B32" w:rsidRDefault="00FA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65164195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4707899" w14:textId="77777777" w:rsidR="009E50DF" w:rsidRDefault="00C47E4D" w:rsidP="00C37B0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9CF29FF" w14:textId="77777777" w:rsidR="009E50DF" w:rsidRDefault="00FA1B32" w:rsidP="00CE3B6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72164180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E9048A1" w14:textId="729EB55D" w:rsidR="009E50DF" w:rsidRDefault="00C47E4D" w:rsidP="00C37B0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F20FC">
          <w:rPr>
            <w:rStyle w:val="Paginanummer"/>
            <w:noProof/>
          </w:rPr>
          <w:t>20</w:t>
        </w:r>
        <w:r>
          <w:rPr>
            <w:rStyle w:val="Paginanummer"/>
          </w:rPr>
          <w:fldChar w:fldCharType="end"/>
        </w:r>
      </w:p>
    </w:sdtContent>
  </w:sdt>
  <w:p w14:paraId="703F1822" w14:textId="77777777" w:rsidR="009E50DF" w:rsidRDefault="00FA1B32" w:rsidP="00CE3B6D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0045A" w14:textId="77777777" w:rsidR="00FA1B32" w:rsidRDefault="00FA1B32">
      <w:pPr>
        <w:spacing w:after="0" w:line="240" w:lineRule="auto"/>
      </w:pPr>
      <w:r>
        <w:separator/>
      </w:r>
    </w:p>
  </w:footnote>
  <w:footnote w:type="continuationSeparator" w:id="0">
    <w:p w14:paraId="616D19B4" w14:textId="77777777" w:rsidR="00FA1B32" w:rsidRDefault="00FA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2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762DA"/>
    <w:multiLevelType w:val="hybridMultilevel"/>
    <w:tmpl w:val="03227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31059"/>
    <w:multiLevelType w:val="hybridMultilevel"/>
    <w:tmpl w:val="72D025E6"/>
    <w:lvl w:ilvl="0" w:tplc="2F9492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D8D"/>
    <w:multiLevelType w:val="multilevel"/>
    <w:tmpl w:val="2990CB0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5F6F35"/>
    <w:multiLevelType w:val="hybridMultilevel"/>
    <w:tmpl w:val="8C8A1742"/>
    <w:lvl w:ilvl="0" w:tplc="46B608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7A1D"/>
    <w:multiLevelType w:val="hybridMultilevel"/>
    <w:tmpl w:val="CAEEC6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A467C"/>
    <w:multiLevelType w:val="hybridMultilevel"/>
    <w:tmpl w:val="AEE4FB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94DC2"/>
    <w:multiLevelType w:val="hybridMultilevel"/>
    <w:tmpl w:val="B980F0D8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22A66396"/>
    <w:multiLevelType w:val="hybridMultilevel"/>
    <w:tmpl w:val="9364F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04E46"/>
    <w:multiLevelType w:val="hybridMultilevel"/>
    <w:tmpl w:val="0FF45362"/>
    <w:lvl w:ilvl="0" w:tplc="353A3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F1135"/>
    <w:multiLevelType w:val="hybridMultilevel"/>
    <w:tmpl w:val="D6BEDDE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900948">
      <w:start w:val="1"/>
      <w:numFmt w:val="lowerLetter"/>
      <w:lvlText w:val="%2.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53358"/>
    <w:multiLevelType w:val="hybridMultilevel"/>
    <w:tmpl w:val="CAEEC6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B6CB4"/>
    <w:multiLevelType w:val="hybridMultilevel"/>
    <w:tmpl w:val="D124D966"/>
    <w:lvl w:ilvl="0" w:tplc="353A3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C1A8D"/>
    <w:multiLevelType w:val="hybridMultilevel"/>
    <w:tmpl w:val="3DBE1052"/>
    <w:lvl w:ilvl="0" w:tplc="5CA0D8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25EEA"/>
    <w:multiLevelType w:val="hybridMultilevel"/>
    <w:tmpl w:val="E59E8EE2"/>
    <w:lvl w:ilvl="0" w:tplc="B4EC7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C4C20"/>
    <w:multiLevelType w:val="hybridMultilevel"/>
    <w:tmpl w:val="CAEEC6F4"/>
    <w:lvl w:ilvl="0" w:tplc="34D074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E45B5"/>
    <w:multiLevelType w:val="hybridMultilevel"/>
    <w:tmpl w:val="CAEEC6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31664"/>
    <w:multiLevelType w:val="hybridMultilevel"/>
    <w:tmpl w:val="54A84294"/>
    <w:lvl w:ilvl="0" w:tplc="8E946C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0F26"/>
    <w:multiLevelType w:val="hybridMultilevel"/>
    <w:tmpl w:val="4A147056"/>
    <w:lvl w:ilvl="0" w:tplc="22928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0190C"/>
    <w:multiLevelType w:val="hybridMultilevel"/>
    <w:tmpl w:val="48E606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8"/>
  </w:num>
  <w:num w:numId="5">
    <w:abstractNumId w:val="18"/>
  </w:num>
  <w:num w:numId="6">
    <w:abstractNumId w:val="19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7"/>
  </w:num>
  <w:num w:numId="12">
    <w:abstractNumId w:val="2"/>
  </w:num>
  <w:num w:numId="13">
    <w:abstractNumId w:val="7"/>
  </w:num>
  <w:num w:numId="14">
    <w:abstractNumId w:val="1"/>
  </w:num>
  <w:num w:numId="15">
    <w:abstractNumId w:val="12"/>
  </w:num>
  <w:num w:numId="16">
    <w:abstractNumId w:val="9"/>
  </w:num>
  <w:num w:numId="17">
    <w:abstractNumId w:val="15"/>
  </w:num>
  <w:num w:numId="18">
    <w:abstractNumId w:val="11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4D"/>
    <w:rsid w:val="00025144"/>
    <w:rsid w:val="000405FD"/>
    <w:rsid w:val="00062E7F"/>
    <w:rsid w:val="000949C2"/>
    <w:rsid w:val="000D04EA"/>
    <w:rsid w:val="000E425C"/>
    <w:rsid w:val="00134721"/>
    <w:rsid w:val="001876E5"/>
    <w:rsid w:val="00190098"/>
    <w:rsid w:val="001E346C"/>
    <w:rsid w:val="002020C1"/>
    <w:rsid w:val="00252BC0"/>
    <w:rsid w:val="002C3733"/>
    <w:rsid w:val="002D23FD"/>
    <w:rsid w:val="00347E4F"/>
    <w:rsid w:val="00361464"/>
    <w:rsid w:val="00396DC7"/>
    <w:rsid w:val="003E4FBA"/>
    <w:rsid w:val="00402A65"/>
    <w:rsid w:val="004324BF"/>
    <w:rsid w:val="004921D8"/>
    <w:rsid w:val="004D2E6B"/>
    <w:rsid w:val="00592319"/>
    <w:rsid w:val="005B70BE"/>
    <w:rsid w:val="00633161"/>
    <w:rsid w:val="006E169D"/>
    <w:rsid w:val="006F20FC"/>
    <w:rsid w:val="0070366A"/>
    <w:rsid w:val="007204DA"/>
    <w:rsid w:val="007378CE"/>
    <w:rsid w:val="00785E10"/>
    <w:rsid w:val="00791F5C"/>
    <w:rsid w:val="007A3A67"/>
    <w:rsid w:val="00832E72"/>
    <w:rsid w:val="00841EA3"/>
    <w:rsid w:val="008A3C30"/>
    <w:rsid w:val="009058E8"/>
    <w:rsid w:val="00977BC5"/>
    <w:rsid w:val="00A2155B"/>
    <w:rsid w:val="00A63A67"/>
    <w:rsid w:val="00AA2970"/>
    <w:rsid w:val="00AC40F0"/>
    <w:rsid w:val="00AF4D26"/>
    <w:rsid w:val="00BA2BFF"/>
    <w:rsid w:val="00C47E4D"/>
    <w:rsid w:val="00C67285"/>
    <w:rsid w:val="00D157D2"/>
    <w:rsid w:val="00D61522"/>
    <w:rsid w:val="00DE1CB0"/>
    <w:rsid w:val="00E07825"/>
    <w:rsid w:val="00E25559"/>
    <w:rsid w:val="00E35414"/>
    <w:rsid w:val="00E92A10"/>
    <w:rsid w:val="00EB6FAD"/>
    <w:rsid w:val="00F445A6"/>
    <w:rsid w:val="00F451F3"/>
    <w:rsid w:val="00F60355"/>
    <w:rsid w:val="00F73F6B"/>
    <w:rsid w:val="00F81111"/>
    <w:rsid w:val="00F951C3"/>
    <w:rsid w:val="00FA1B32"/>
    <w:rsid w:val="00F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8ADF"/>
  <w15:chartTrackingRefBased/>
  <w15:docId w15:val="{D1A6C693-2CE2-412C-906C-F5A16CDE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C47E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7E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7E4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7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Zwaar">
    <w:name w:val="Strong"/>
    <w:basedOn w:val="Standaardalinea-lettertype"/>
    <w:uiPriority w:val="22"/>
    <w:qFormat/>
    <w:rsid w:val="00C47E4D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7E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7E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E4D"/>
    <w:rPr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E4D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Standaard"/>
    <w:link w:val="EndNoteBibliographyTitleChar"/>
    <w:rsid w:val="00C47E4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47E4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47E4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47E4D"/>
    <w:rPr>
      <w:rFonts w:ascii="Calibri" w:hAnsi="Calibri" w:cs="Calibri"/>
      <w:noProof/>
      <w:lang w:val="en-US"/>
    </w:rPr>
  </w:style>
  <w:style w:type="paragraph" w:styleId="Lijstalinea">
    <w:name w:val="List Paragraph"/>
    <w:basedOn w:val="Standaard"/>
    <w:uiPriority w:val="34"/>
    <w:qFormat/>
    <w:rsid w:val="00C47E4D"/>
    <w:pPr>
      <w:ind w:left="720"/>
      <w:contextualSpacing/>
    </w:pPr>
  </w:style>
  <w:style w:type="character" w:styleId="Hyperlink">
    <w:name w:val="Hyperlink"/>
    <w:uiPriority w:val="99"/>
    <w:unhideWhenUsed/>
    <w:rsid w:val="00C47E4D"/>
    <w:rPr>
      <w:color w:val="0563C1"/>
      <w:u w:val="single"/>
    </w:rPr>
  </w:style>
  <w:style w:type="character" w:styleId="Nadruk">
    <w:name w:val="Emphasis"/>
    <w:basedOn w:val="Standaardalinea-lettertype"/>
    <w:uiPriority w:val="20"/>
    <w:qFormat/>
    <w:rsid w:val="00C47E4D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C47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47E4D"/>
    <w:rPr>
      <w:rFonts w:ascii="Courier New" w:eastAsia="Times New Roman" w:hAnsi="Courier New" w:cs="Courier New"/>
      <w:sz w:val="20"/>
      <w:szCs w:val="20"/>
      <w:lang w:val="de-DE" w:eastAsia="de-DE"/>
    </w:rPr>
  </w:style>
  <w:style w:type="table" w:styleId="Tabelraster">
    <w:name w:val="Table Grid"/>
    <w:basedOn w:val="Standaardtabel"/>
    <w:uiPriority w:val="39"/>
    <w:rsid w:val="00C4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C4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Gitternetztabelle1hell1">
    <w:name w:val="Gitternetztabelle 1 hell1"/>
    <w:basedOn w:val="Standaardtabel"/>
    <w:uiPriority w:val="99"/>
    <w:rsid w:val="00C47E4D"/>
    <w:pPr>
      <w:spacing w:after="0" w:line="240" w:lineRule="auto"/>
    </w:pPr>
    <w:rPr>
      <w:rFonts w:eastAsiaTheme="minorEastAsia" w:cs="Times New Roman"/>
      <w:sz w:val="24"/>
      <w:szCs w:val="24"/>
      <w:lang w:val="de-DE"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customStyle="1" w:styleId="Tabletext">
    <w:name w:val="Table text"/>
    <w:basedOn w:val="Standaard"/>
    <w:link w:val="TabletextChar"/>
    <w:qFormat/>
    <w:rsid w:val="00C47E4D"/>
    <w:pPr>
      <w:spacing w:before="40" w:after="40" w:line="240" w:lineRule="auto"/>
    </w:pPr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customStyle="1" w:styleId="TabletextChar">
    <w:name w:val="Table text Char"/>
    <w:basedOn w:val="Standaardalinea-lettertype"/>
    <w:link w:val="Tabletext"/>
    <w:rsid w:val="00C47E4D"/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C47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7E4D"/>
    <w:rPr>
      <w:lang w:val="en-GB"/>
    </w:rPr>
  </w:style>
  <w:style w:type="character" w:styleId="Paginanummer">
    <w:name w:val="page number"/>
    <w:basedOn w:val="Standaardalinea-lettertype"/>
    <w:uiPriority w:val="99"/>
    <w:semiHidden/>
    <w:unhideWhenUsed/>
    <w:rsid w:val="00C47E4D"/>
  </w:style>
  <w:style w:type="character" w:customStyle="1" w:styleId="NichtaufgelsteErwhnung1">
    <w:name w:val="Nicht aufgelöste Erwähnung1"/>
    <w:basedOn w:val="Standaardalinea-lettertype"/>
    <w:uiPriority w:val="99"/>
    <w:semiHidden/>
    <w:unhideWhenUsed/>
    <w:rsid w:val="00C47E4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47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7E4D"/>
    <w:rPr>
      <w:lang w:val="en-GB"/>
    </w:rPr>
  </w:style>
  <w:style w:type="character" w:customStyle="1" w:styleId="docsum-pmid">
    <w:name w:val="docsum-pmid"/>
    <w:basedOn w:val="Standaardalinea-lettertype"/>
    <w:rsid w:val="00C47E4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7E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7E4D"/>
    <w:rPr>
      <w:b/>
      <w:bCs/>
      <w:sz w:val="20"/>
      <w:szCs w:val="20"/>
      <w:lang w:val="en-GB"/>
    </w:rPr>
  </w:style>
  <w:style w:type="paragraph" w:customStyle="1" w:styleId="EndNoteCategoryHeading">
    <w:name w:val="EndNote Category Heading"/>
    <w:basedOn w:val="Standaard"/>
    <w:link w:val="EndNoteCategoryHeadingChar"/>
    <w:rsid w:val="00C47E4D"/>
    <w:pPr>
      <w:spacing w:before="120" w:after="120"/>
    </w:pPr>
    <w:rPr>
      <w:b/>
      <w:noProof/>
      <w:lang w:val="en-US"/>
    </w:rPr>
  </w:style>
  <w:style w:type="character" w:customStyle="1" w:styleId="EndNoteCategoryHeadingChar">
    <w:name w:val="EndNote Category Heading Char"/>
    <w:basedOn w:val="Standaardalinea-lettertype"/>
    <w:link w:val="EndNoteCategoryHeading"/>
    <w:rsid w:val="00C47E4D"/>
    <w:rPr>
      <w:b/>
      <w:noProof/>
      <w:lang w:val="en-US"/>
    </w:rPr>
  </w:style>
  <w:style w:type="paragraph" w:styleId="Revisie">
    <w:name w:val="Revision"/>
    <w:hidden/>
    <w:uiPriority w:val="99"/>
    <w:semiHidden/>
    <w:rsid w:val="00C47E4D"/>
    <w:pPr>
      <w:spacing w:after="0" w:line="240" w:lineRule="auto"/>
    </w:pPr>
    <w:rPr>
      <w:lang w:val="en-G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23FD"/>
    <w:rPr>
      <w:color w:val="800080"/>
      <w:u w:val="single"/>
    </w:rPr>
  </w:style>
  <w:style w:type="paragraph" w:customStyle="1" w:styleId="msonormal0">
    <w:name w:val="msonormal"/>
    <w:basedOn w:val="Standaard"/>
    <w:rsid w:val="002D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5">
    <w:name w:val="xl65"/>
    <w:basedOn w:val="Standaard"/>
    <w:rsid w:val="002D23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Standaard"/>
    <w:rsid w:val="002D23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de-DE" w:eastAsia="de-DE"/>
    </w:rPr>
  </w:style>
  <w:style w:type="paragraph" w:customStyle="1" w:styleId="xl67">
    <w:name w:val="xl67"/>
    <w:basedOn w:val="Standaard"/>
    <w:rsid w:val="002D23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de-DE" w:eastAsia="de-DE"/>
    </w:rPr>
  </w:style>
  <w:style w:type="paragraph" w:customStyle="1" w:styleId="xl68">
    <w:name w:val="xl68"/>
    <w:basedOn w:val="Standaard"/>
    <w:rsid w:val="002D23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de-DE" w:eastAsia="de-DE"/>
    </w:rPr>
  </w:style>
  <w:style w:type="paragraph" w:customStyle="1" w:styleId="xl69">
    <w:name w:val="xl69"/>
    <w:basedOn w:val="Standaard"/>
    <w:rsid w:val="002D23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de-DE" w:eastAsia="de-DE"/>
    </w:rPr>
  </w:style>
  <w:style w:type="paragraph" w:customStyle="1" w:styleId="xl70">
    <w:name w:val="xl70"/>
    <w:basedOn w:val="Standaard"/>
    <w:rsid w:val="002D23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1">
    <w:name w:val="xl71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2">
    <w:name w:val="xl72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3">
    <w:name w:val="xl73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de-DE" w:eastAsia="de-DE"/>
    </w:rPr>
  </w:style>
  <w:style w:type="paragraph" w:customStyle="1" w:styleId="xl74">
    <w:name w:val="xl74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5">
    <w:name w:val="xl75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6">
    <w:name w:val="xl76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7">
    <w:name w:val="xl77"/>
    <w:basedOn w:val="Standaard"/>
    <w:rsid w:val="002D2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8">
    <w:name w:val="xl78"/>
    <w:basedOn w:val="Standaard"/>
    <w:rsid w:val="002D23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79">
    <w:name w:val="xl79"/>
    <w:basedOn w:val="Standaard"/>
    <w:rsid w:val="002D23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80">
    <w:name w:val="xl80"/>
    <w:basedOn w:val="Standaard"/>
    <w:rsid w:val="002D23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81">
    <w:name w:val="xl81"/>
    <w:basedOn w:val="Standaard"/>
    <w:rsid w:val="002D23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de-DE" w:eastAsia="de-DE"/>
    </w:rPr>
  </w:style>
  <w:style w:type="paragraph" w:customStyle="1" w:styleId="xl82">
    <w:name w:val="xl82"/>
    <w:basedOn w:val="Standaard"/>
    <w:rsid w:val="002D23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  <w:style w:type="paragraph" w:customStyle="1" w:styleId="xl83">
    <w:name w:val="xl83"/>
    <w:basedOn w:val="Standaard"/>
    <w:rsid w:val="002D23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6397-D1B3-47F5-BABE-AE462460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4014</Words>
  <Characters>22077</Characters>
  <Application>Microsoft Office Word</Application>
  <DocSecurity>0</DocSecurity>
  <Lines>183</Lines>
  <Paragraphs>52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saidm</dc:creator>
  <cp:keywords/>
  <dc:description/>
  <cp:lastModifiedBy>saidm</cp:lastModifiedBy>
  <cp:revision>2</cp:revision>
  <dcterms:created xsi:type="dcterms:W3CDTF">2022-11-07T21:34:00Z</dcterms:created>
  <dcterms:modified xsi:type="dcterms:W3CDTF">2022-11-07T21:34:00Z</dcterms:modified>
</cp:coreProperties>
</file>