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EDC95" w14:textId="102C9561" w:rsidR="009E3985" w:rsidRPr="00AA18BD" w:rsidRDefault="009E3985" w:rsidP="00DE3B7A">
      <w:pPr>
        <w:pStyle w:val="01title"/>
        <w:tabs>
          <w:tab w:val="left" w:pos="1290"/>
        </w:tabs>
        <w:spacing w:before="0" w:after="0"/>
        <w:rPr>
          <w:sz w:val="24"/>
          <w:lang w:eastAsia="ko-KR"/>
        </w:rPr>
      </w:pPr>
      <w:bookmarkStart w:id="0" w:name="OLE_LINK2"/>
      <w:r>
        <w:rPr>
          <w:b w:val="0"/>
          <w:caps/>
          <w:sz w:val="24"/>
        </w:rPr>
        <w:t>A</w:t>
      </w:r>
      <w:r w:rsidRPr="00AA18BD">
        <w:rPr>
          <w:sz w:val="24"/>
          <w:lang w:eastAsia="ko-KR"/>
        </w:rPr>
        <w:t>ssessing Metabolic Syndrome Prediction Quality Using Seven Anthropometric Indices</w:t>
      </w:r>
      <w:r w:rsidR="00DE3B7A">
        <w:rPr>
          <w:sz w:val="24"/>
          <w:lang w:eastAsia="ko-KR"/>
        </w:rPr>
        <w:t xml:space="preserve"> </w:t>
      </w:r>
      <w:r w:rsidR="00C57179">
        <w:rPr>
          <w:sz w:val="24"/>
          <w:lang w:eastAsia="ko-KR"/>
        </w:rPr>
        <w:t xml:space="preserve">among </w:t>
      </w:r>
      <w:r w:rsidR="00E54AE4">
        <w:rPr>
          <w:sz w:val="24"/>
          <w:lang w:eastAsia="ko-KR"/>
        </w:rPr>
        <w:t xml:space="preserve">Jordanian </w:t>
      </w:r>
      <w:r w:rsidRPr="00AA18BD">
        <w:rPr>
          <w:sz w:val="24"/>
          <w:lang w:eastAsia="ko-KR"/>
        </w:rPr>
        <w:t>adults: A Cross-Sectional Study</w:t>
      </w:r>
    </w:p>
    <w:bookmarkEnd w:id="0"/>
    <w:p w14:paraId="40270D8D" w14:textId="67F2DC7A" w:rsidR="009E3985" w:rsidRPr="00AA18BD" w:rsidRDefault="009E3985" w:rsidP="009E3985">
      <w:pPr>
        <w:pStyle w:val="02authors"/>
        <w:rPr>
          <w:rFonts w:asciiTheme="majorBidi" w:hAnsiTheme="majorBidi" w:cstheme="majorBidi"/>
          <w:b w:val="0"/>
          <w:lang w:eastAsia="ko-KR"/>
        </w:rPr>
      </w:pPr>
      <w:r w:rsidRPr="00AA18BD">
        <w:rPr>
          <w:rFonts w:asciiTheme="majorBidi" w:hAnsiTheme="majorBidi" w:cstheme="majorBidi"/>
          <w:b w:val="0"/>
          <w:lang w:eastAsia="ko-KR"/>
        </w:rPr>
        <w:t>Islam Al-Shami</w:t>
      </w:r>
      <w:r w:rsidRPr="00AA18BD">
        <w:rPr>
          <w:rFonts w:asciiTheme="majorBidi" w:hAnsiTheme="majorBidi" w:cstheme="majorBidi"/>
          <w:b w:val="0"/>
          <w:vertAlign w:val="superscript"/>
          <w:lang w:eastAsia="ko-KR"/>
        </w:rPr>
        <w:t>1</w:t>
      </w:r>
      <w:r w:rsidRPr="00AA18BD">
        <w:rPr>
          <w:rFonts w:asciiTheme="majorBidi" w:hAnsiTheme="majorBidi" w:cstheme="majorBidi"/>
          <w:b w:val="0"/>
          <w:lang w:eastAsia="ko-KR"/>
        </w:rPr>
        <w:t>, Hana Alkhalidy</w:t>
      </w:r>
      <w:proofErr w:type="gramStart"/>
      <w:r w:rsidRPr="00AA18BD">
        <w:rPr>
          <w:rFonts w:asciiTheme="majorBidi" w:hAnsiTheme="majorBidi" w:cstheme="majorBidi"/>
          <w:b w:val="0"/>
          <w:vertAlign w:val="superscript"/>
          <w:lang w:eastAsia="ko-KR"/>
        </w:rPr>
        <w:t>2</w:t>
      </w:r>
      <w:r>
        <w:rPr>
          <w:rFonts w:asciiTheme="majorBidi" w:hAnsiTheme="majorBidi" w:cstheme="majorBidi"/>
          <w:b w:val="0"/>
          <w:vertAlign w:val="superscript"/>
          <w:lang w:eastAsia="ko-KR"/>
        </w:rPr>
        <w:t>,</w:t>
      </w:r>
      <w:r w:rsidRPr="00AA18BD">
        <w:rPr>
          <w:rFonts w:asciiTheme="majorBidi" w:hAnsiTheme="majorBidi" w:cstheme="majorBidi"/>
          <w:b w:val="0"/>
          <w:vertAlign w:val="superscript"/>
          <w:lang w:eastAsia="ko-KR"/>
        </w:rPr>
        <w:t>*</w:t>
      </w:r>
      <w:proofErr w:type="gramEnd"/>
      <w:r w:rsidRPr="00AA18BD">
        <w:rPr>
          <w:rFonts w:asciiTheme="majorBidi" w:hAnsiTheme="majorBidi" w:cstheme="majorBidi"/>
          <w:b w:val="0"/>
          <w:lang w:eastAsia="ko-KR"/>
        </w:rPr>
        <w:t>, Khadeejah Alnaser</w:t>
      </w:r>
      <w:r w:rsidRPr="00AA18BD">
        <w:rPr>
          <w:rFonts w:asciiTheme="majorBidi" w:hAnsiTheme="majorBidi" w:cstheme="majorBidi"/>
          <w:b w:val="0"/>
          <w:vertAlign w:val="superscript"/>
          <w:lang w:eastAsia="ko-KR"/>
        </w:rPr>
        <w:t>2</w:t>
      </w:r>
      <w:r w:rsidRPr="00AA18BD">
        <w:rPr>
          <w:rFonts w:asciiTheme="majorBidi" w:hAnsiTheme="majorBidi" w:cstheme="majorBidi"/>
          <w:b w:val="0"/>
          <w:lang w:eastAsia="ko-KR"/>
        </w:rPr>
        <w:t>, Tareq L Mukattash</w:t>
      </w:r>
      <w:r w:rsidRPr="00AA18BD">
        <w:rPr>
          <w:rFonts w:asciiTheme="majorBidi" w:hAnsiTheme="majorBidi" w:cstheme="majorBidi"/>
          <w:b w:val="0"/>
          <w:vertAlign w:val="superscript"/>
          <w:lang w:eastAsia="ko-KR"/>
        </w:rPr>
        <w:t>3</w:t>
      </w:r>
      <w:r w:rsidRPr="00AA18BD">
        <w:rPr>
          <w:rFonts w:asciiTheme="majorBidi" w:hAnsiTheme="majorBidi" w:cstheme="majorBidi"/>
          <w:b w:val="0"/>
          <w:lang w:eastAsia="ko-KR"/>
        </w:rPr>
        <w:t>, Huda Al Hourani</w:t>
      </w:r>
      <w:r w:rsidRPr="00AA18BD">
        <w:rPr>
          <w:rFonts w:asciiTheme="majorBidi" w:hAnsiTheme="majorBidi" w:cstheme="majorBidi"/>
          <w:b w:val="0"/>
          <w:vertAlign w:val="superscript"/>
          <w:lang w:eastAsia="ko-KR"/>
        </w:rPr>
        <w:t>1</w:t>
      </w:r>
      <w:r w:rsidRPr="00AA18BD">
        <w:rPr>
          <w:rFonts w:asciiTheme="majorBidi" w:hAnsiTheme="majorBidi" w:cstheme="majorBidi"/>
          <w:b w:val="0"/>
          <w:lang w:eastAsia="ko-KR"/>
        </w:rPr>
        <w:t>, Tamara Alzboun</w:t>
      </w:r>
      <w:r w:rsidRPr="00AA18BD">
        <w:rPr>
          <w:rFonts w:asciiTheme="majorBidi" w:hAnsiTheme="majorBidi" w:cstheme="majorBidi"/>
          <w:b w:val="0"/>
          <w:vertAlign w:val="superscript"/>
          <w:lang w:eastAsia="ko-KR"/>
        </w:rPr>
        <w:t>2</w:t>
      </w:r>
      <w:r w:rsidRPr="00AA18BD">
        <w:rPr>
          <w:rFonts w:asciiTheme="majorBidi" w:hAnsiTheme="majorBidi" w:cstheme="majorBidi"/>
          <w:b w:val="0"/>
          <w:lang w:eastAsia="ko-KR"/>
        </w:rPr>
        <w:t>, Aliaa Orabi</w:t>
      </w:r>
      <w:r w:rsidRPr="00AA18BD">
        <w:rPr>
          <w:rFonts w:asciiTheme="majorBidi" w:hAnsiTheme="majorBidi" w:cstheme="majorBidi"/>
          <w:b w:val="0"/>
          <w:vertAlign w:val="superscript"/>
          <w:lang w:eastAsia="ko-KR"/>
        </w:rPr>
        <w:t>2</w:t>
      </w:r>
      <w:r w:rsidRPr="00AA18BD">
        <w:rPr>
          <w:rFonts w:asciiTheme="majorBidi" w:hAnsiTheme="majorBidi" w:cstheme="majorBidi"/>
          <w:b w:val="0"/>
          <w:lang w:eastAsia="ko-KR"/>
        </w:rPr>
        <w:t xml:space="preserve">, </w:t>
      </w:r>
      <w:proofErr w:type="spellStart"/>
      <w:r w:rsidRPr="00AA18BD">
        <w:rPr>
          <w:rFonts w:asciiTheme="majorBidi" w:hAnsiTheme="majorBidi" w:cstheme="majorBidi"/>
          <w:b w:val="0"/>
          <w:lang w:eastAsia="ko-KR"/>
        </w:rPr>
        <w:t>Dongmin</w:t>
      </w:r>
      <w:proofErr w:type="spellEnd"/>
      <w:r w:rsidRPr="00AA18BD">
        <w:rPr>
          <w:rFonts w:asciiTheme="majorBidi" w:hAnsiTheme="majorBidi" w:cstheme="majorBidi"/>
          <w:b w:val="0"/>
          <w:lang w:eastAsia="ko-KR"/>
        </w:rPr>
        <w:t xml:space="preserve"> Liu</w:t>
      </w:r>
      <w:r w:rsidRPr="00AA18BD">
        <w:rPr>
          <w:rFonts w:asciiTheme="majorBidi" w:hAnsiTheme="majorBidi" w:cstheme="majorBidi"/>
          <w:b w:val="0"/>
          <w:vertAlign w:val="superscript"/>
          <w:lang w:eastAsia="ko-KR"/>
        </w:rPr>
        <w:t>4</w:t>
      </w:r>
    </w:p>
    <w:p w14:paraId="39C36086" w14:textId="353F9FFB" w:rsidR="009E3985" w:rsidRDefault="009E3985">
      <w:pPr>
        <w:widowControl/>
        <w:wordWrap/>
        <w:autoSpaceDE/>
        <w:autoSpaceDN/>
        <w:spacing w:after="160" w:line="259" w:lineRule="auto"/>
        <w:rPr>
          <w:rFonts w:ascii="Times New Roman" w:hAnsi="Times New Roman" w:cs="Times New Roman"/>
          <w:b/>
          <w:caps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XSpec="center" w:tblpY="3016"/>
        <w:tblW w:w="161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6"/>
        <w:gridCol w:w="899"/>
        <w:gridCol w:w="1530"/>
        <w:gridCol w:w="808"/>
        <w:gridCol w:w="812"/>
        <w:gridCol w:w="808"/>
        <w:gridCol w:w="899"/>
        <w:gridCol w:w="812"/>
        <w:gridCol w:w="812"/>
        <w:gridCol w:w="812"/>
        <w:gridCol w:w="799"/>
        <w:gridCol w:w="821"/>
        <w:gridCol w:w="812"/>
        <w:gridCol w:w="808"/>
        <w:gridCol w:w="815"/>
        <w:gridCol w:w="808"/>
        <w:gridCol w:w="812"/>
        <w:gridCol w:w="982"/>
      </w:tblGrid>
      <w:tr w:rsidR="009E3985" w:rsidRPr="00CF0C67" w14:paraId="777015A1" w14:textId="77777777" w:rsidTr="009E3985">
        <w:trPr>
          <w:trHeight w:val="359"/>
        </w:trPr>
        <w:tc>
          <w:tcPr>
            <w:tcW w:w="5000" w:type="pct"/>
            <w:gridSpan w:val="18"/>
            <w:tcBorders>
              <w:bottom w:val="single" w:sz="4" w:space="0" w:color="auto"/>
            </w:tcBorders>
            <w:vAlign w:val="center"/>
          </w:tcPr>
          <w:p w14:paraId="1F937805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left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 xml:space="preserve">Supplementary </w:t>
            </w:r>
            <w:r w:rsidRPr="00CF0C67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 xml:space="preserve">Table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S1</w:t>
            </w:r>
            <w:r w:rsidRPr="00CF0C67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Pr="005769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</w:t>
            </w:r>
            <w:r w:rsidRPr="0057694A">
              <w:rPr>
                <w:rFonts w:asciiTheme="majorBidi" w:hAnsiTheme="majorBidi" w:cstheme="majorBidi"/>
                <w:sz w:val="24"/>
                <w:szCs w:val="24"/>
              </w:rPr>
              <w:t>ptimal cutoff values of anthropometric indices in predicting metabolic abnormalities in different populations</w:t>
            </w:r>
          </w:p>
        </w:tc>
      </w:tr>
      <w:tr w:rsidR="009E3985" w:rsidRPr="00CF0C67" w14:paraId="60ECCCD9" w14:textId="77777777" w:rsidTr="009E3985">
        <w:trPr>
          <w:trHeight w:val="359"/>
        </w:trPr>
        <w:tc>
          <w:tcPr>
            <w:tcW w:w="669" w:type="pct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21FABC13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Country</w:t>
            </w:r>
          </w:p>
        </w:tc>
        <w:tc>
          <w:tcPr>
            <w:tcW w:w="475" w:type="pct"/>
            <w:vMerge w:val="restart"/>
            <w:tcBorders>
              <w:top w:val="single" w:sz="4" w:space="0" w:color="auto"/>
            </w:tcBorders>
            <w:vAlign w:val="center"/>
          </w:tcPr>
          <w:p w14:paraId="2B0DDEAC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Data collection (year)</w:t>
            </w:r>
          </w:p>
        </w:tc>
        <w:tc>
          <w:tcPr>
            <w:tcW w:w="3856" w:type="pct"/>
            <w:gridSpan w:val="1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24480C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807C2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>Index</w:t>
            </w:r>
          </w:p>
        </w:tc>
      </w:tr>
      <w:tr w:rsidR="009E3985" w:rsidRPr="00CF0C67" w14:paraId="0A5DE7D0" w14:textId="77777777" w:rsidTr="009E3985">
        <w:trPr>
          <w:trHeight w:val="462"/>
        </w:trPr>
        <w:tc>
          <w:tcPr>
            <w:tcW w:w="669" w:type="pct"/>
            <w:gridSpan w:val="2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77B8E86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A17A7E2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503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907705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BMI (kg/m</w:t>
            </w:r>
            <w:r w:rsidRPr="00CF0C67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2</w:t>
            </w:r>
            <w:r w:rsidRPr="00CF0C6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32E690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WC (cm)</w:t>
            </w:r>
          </w:p>
        </w:tc>
        <w:tc>
          <w:tcPr>
            <w:tcW w:w="50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C403CB" w14:textId="77777777" w:rsidR="009E3985" w:rsidRPr="0057694A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BRI</w:t>
            </w:r>
          </w:p>
        </w:tc>
        <w:tc>
          <w:tcPr>
            <w:tcW w:w="50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F56D89" w14:textId="77777777" w:rsidR="009E3985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ABSI</w:t>
            </w:r>
          </w:p>
          <w:p w14:paraId="2AD268A6" w14:textId="3E507F5A" w:rsidR="00B26DAD" w:rsidRPr="00CF0C67" w:rsidRDefault="00E54AE4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B26DAD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(m</w:t>
            </w:r>
            <w:r w:rsidRPr="00B26DAD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11/6</w:t>
            </w:r>
            <w:r w:rsidRPr="00B26DAD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B26DAD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kg</w:t>
            </w:r>
            <w:r w:rsidRPr="00B26DAD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-2</w:t>
            </w:r>
            <w:proofErr w:type="gramEnd"/>
            <w:r w:rsidRPr="00B26DAD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/3</w:t>
            </w:r>
            <w:r w:rsidRPr="00B26DAD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058357" w14:textId="00BBD7B9" w:rsidR="009E3985" w:rsidRPr="00B26DAD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VAI</w:t>
            </w:r>
            <w:r w:rsidR="00B26DA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="00E54AE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(cm</w:t>
            </w:r>
            <w:r w:rsidR="00E54AE4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2</w:t>
            </w:r>
            <w:r w:rsidR="00E54AE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0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8C950C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CI </w:t>
            </w:r>
            <w:r w:rsidRPr="00CF0C67"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  <w:t>(m</w:t>
            </w:r>
            <w:r w:rsidRPr="00CF0C67"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  <w:vertAlign w:val="superscript"/>
              </w:rPr>
              <w:t>3/2</w:t>
            </w:r>
            <w:r w:rsidRPr="00CF0C67"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  <w:t>/kg</w:t>
            </w:r>
            <w:r w:rsidRPr="00CF0C67"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  <w:vertAlign w:val="superscript"/>
              </w:rPr>
              <w:t>1/2</w:t>
            </w:r>
            <w:r w:rsidRPr="00CF0C67"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  <w:t>)</w:t>
            </w:r>
          </w:p>
        </w:tc>
        <w:tc>
          <w:tcPr>
            <w:tcW w:w="503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3EAB2C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color w:val="221E1F"/>
                <w:sz w:val="24"/>
                <w:szCs w:val="24"/>
              </w:rPr>
            </w:pPr>
            <w:proofErr w:type="spellStart"/>
            <w:r w:rsidRPr="00CF0C6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WHtR</w:t>
            </w:r>
            <w:proofErr w:type="spellEnd"/>
            <w:r w:rsidRPr="00CF0C6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CF0C67">
              <w:rPr>
                <w:rFonts w:asciiTheme="majorBidi" w:hAnsiTheme="majorBidi" w:cstheme="majorBidi"/>
                <w:b/>
                <w:bCs/>
                <w:color w:val="221E1F"/>
                <w:sz w:val="24"/>
                <w:szCs w:val="24"/>
              </w:rPr>
              <w:t>(cm/cm)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39B191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Ref.</w:t>
            </w:r>
          </w:p>
        </w:tc>
      </w:tr>
      <w:tr w:rsidR="009E3985" w:rsidRPr="00CF0C67" w14:paraId="578573E9" w14:textId="77777777" w:rsidTr="009E3985">
        <w:trPr>
          <w:trHeight w:val="75"/>
        </w:trPr>
        <w:tc>
          <w:tcPr>
            <w:tcW w:w="669" w:type="pct"/>
            <w:gridSpan w:val="2"/>
            <w:vMerge/>
            <w:tcBorders>
              <w:top w:val="single" w:sz="4" w:space="0" w:color="auto"/>
            </w:tcBorders>
          </w:tcPr>
          <w:p w14:paraId="4F92CBC3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</w:tcBorders>
          </w:tcPr>
          <w:p w14:paraId="4D9FD054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251" w:type="pct"/>
            <w:tcBorders>
              <w:top w:val="single" w:sz="4" w:space="0" w:color="auto"/>
            </w:tcBorders>
          </w:tcPr>
          <w:p w14:paraId="07081437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M</w:t>
            </w:r>
          </w:p>
        </w:tc>
        <w:tc>
          <w:tcPr>
            <w:tcW w:w="252" w:type="pct"/>
            <w:tcBorders>
              <w:top w:val="single" w:sz="4" w:space="0" w:color="auto"/>
              <w:right w:val="single" w:sz="4" w:space="0" w:color="auto"/>
            </w:tcBorders>
          </w:tcPr>
          <w:p w14:paraId="5BFC3275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F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</w:tcBorders>
          </w:tcPr>
          <w:p w14:paraId="7528A059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M</w:t>
            </w:r>
          </w:p>
        </w:tc>
        <w:tc>
          <w:tcPr>
            <w:tcW w:w="279" w:type="pct"/>
            <w:tcBorders>
              <w:top w:val="single" w:sz="4" w:space="0" w:color="auto"/>
              <w:right w:val="single" w:sz="4" w:space="0" w:color="auto"/>
            </w:tcBorders>
          </w:tcPr>
          <w:p w14:paraId="329C5B1D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F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</w:tcBorders>
          </w:tcPr>
          <w:p w14:paraId="336026DA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M</w:t>
            </w:r>
          </w:p>
        </w:tc>
        <w:tc>
          <w:tcPr>
            <w:tcW w:w="252" w:type="pct"/>
            <w:tcBorders>
              <w:top w:val="single" w:sz="4" w:space="0" w:color="auto"/>
              <w:right w:val="single" w:sz="4" w:space="0" w:color="auto"/>
            </w:tcBorders>
          </w:tcPr>
          <w:p w14:paraId="0ABF3F55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F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</w:tcBorders>
          </w:tcPr>
          <w:p w14:paraId="65ED53F4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M</w:t>
            </w:r>
          </w:p>
        </w:tc>
        <w:tc>
          <w:tcPr>
            <w:tcW w:w="248" w:type="pct"/>
            <w:tcBorders>
              <w:top w:val="single" w:sz="4" w:space="0" w:color="auto"/>
              <w:right w:val="single" w:sz="4" w:space="0" w:color="auto"/>
            </w:tcBorders>
          </w:tcPr>
          <w:p w14:paraId="5CBA9AB2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F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</w:tcBorders>
          </w:tcPr>
          <w:p w14:paraId="7DCD7D72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M</w:t>
            </w:r>
          </w:p>
        </w:tc>
        <w:tc>
          <w:tcPr>
            <w:tcW w:w="252" w:type="pct"/>
            <w:tcBorders>
              <w:top w:val="single" w:sz="4" w:space="0" w:color="auto"/>
              <w:right w:val="single" w:sz="4" w:space="0" w:color="auto"/>
            </w:tcBorders>
          </w:tcPr>
          <w:p w14:paraId="4F527600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F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</w:tcBorders>
          </w:tcPr>
          <w:p w14:paraId="2985B3F2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M</w:t>
            </w:r>
          </w:p>
        </w:tc>
        <w:tc>
          <w:tcPr>
            <w:tcW w:w="253" w:type="pct"/>
            <w:tcBorders>
              <w:top w:val="single" w:sz="4" w:space="0" w:color="auto"/>
              <w:right w:val="single" w:sz="4" w:space="0" w:color="auto"/>
            </w:tcBorders>
          </w:tcPr>
          <w:p w14:paraId="09550B82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F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</w:tcBorders>
          </w:tcPr>
          <w:p w14:paraId="1EA71D5F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M</w:t>
            </w:r>
          </w:p>
        </w:tc>
        <w:tc>
          <w:tcPr>
            <w:tcW w:w="252" w:type="pct"/>
            <w:tcBorders>
              <w:top w:val="single" w:sz="4" w:space="0" w:color="auto"/>
            </w:tcBorders>
          </w:tcPr>
          <w:p w14:paraId="0C1E8042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F</w:t>
            </w:r>
          </w:p>
        </w:tc>
        <w:tc>
          <w:tcPr>
            <w:tcW w:w="305" w:type="pct"/>
            <w:vMerge/>
            <w:tcBorders>
              <w:top w:val="single" w:sz="4" w:space="0" w:color="auto"/>
            </w:tcBorders>
          </w:tcPr>
          <w:p w14:paraId="092B270B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rPr>
                <w:rFonts w:asciiTheme="majorBidi" w:hAnsiTheme="majorBidi" w:cstheme="majorBidi"/>
                <w:color w:val="221E1F"/>
                <w:sz w:val="24"/>
                <w:szCs w:val="24"/>
              </w:rPr>
            </w:pPr>
          </w:p>
        </w:tc>
      </w:tr>
      <w:tr w:rsidR="009E3985" w:rsidRPr="00CF0C67" w14:paraId="34691444" w14:textId="77777777" w:rsidTr="009E3985">
        <w:trPr>
          <w:trHeight w:val="46"/>
        </w:trPr>
        <w:tc>
          <w:tcPr>
            <w:tcW w:w="669" w:type="pct"/>
            <w:gridSpan w:val="2"/>
            <w:vAlign w:val="center"/>
          </w:tcPr>
          <w:p w14:paraId="35BCA436" w14:textId="77777777" w:rsidR="009E3985" w:rsidRPr="00FF0AC4" w:rsidRDefault="009E3985" w:rsidP="009E3985">
            <w:pPr>
              <w:wordWrap/>
              <w:adjustRightInd w:val="0"/>
              <w:spacing w:after="0" w:line="360" w:lineRule="auto"/>
              <w:jc w:val="left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F0AC4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Jordan</w:t>
            </w:r>
          </w:p>
        </w:tc>
        <w:tc>
          <w:tcPr>
            <w:tcW w:w="475" w:type="pct"/>
            <w:vAlign w:val="center"/>
          </w:tcPr>
          <w:p w14:paraId="20F47B0B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(2018-2019)</w:t>
            </w:r>
          </w:p>
        </w:tc>
        <w:tc>
          <w:tcPr>
            <w:tcW w:w="251" w:type="pct"/>
            <w:vAlign w:val="center"/>
          </w:tcPr>
          <w:p w14:paraId="5E211D27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sz w:val="24"/>
                <w:szCs w:val="24"/>
              </w:rPr>
              <w:t>27.4</w:t>
            </w:r>
          </w:p>
        </w:tc>
        <w:tc>
          <w:tcPr>
            <w:tcW w:w="252" w:type="pct"/>
            <w:tcBorders>
              <w:right w:val="single" w:sz="4" w:space="0" w:color="auto"/>
            </w:tcBorders>
            <w:vAlign w:val="center"/>
          </w:tcPr>
          <w:p w14:paraId="376837F0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sz w:val="24"/>
                <w:szCs w:val="24"/>
              </w:rPr>
              <w:t>26.8</w:t>
            </w:r>
          </w:p>
        </w:tc>
        <w:tc>
          <w:tcPr>
            <w:tcW w:w="251" w:type="pct"/>
            <w:tcBorders>
              <w:left w:val="single" w:sz="4" w:space="0" w:color="auto"/>
            </w:tcBorders>
            <w:vAlign w:val="center"/>
          </w:tcPr>
          <w:p w14:paraId="3436B2B4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102</w:t>
            </w:r>
          </w:p>
        </w:tc>
        <w:tc>
          <w:tcPr>
            <w:tcW w:w="279" w:type="pct"/>
            <w:tcBorders>
              <w:right w:val="single" w:sz="4" w:space="0" w:color="auto"/>
            </w:tcBorders>
            <w:vAlign w:val="center"/>
          </w:tcPr>
          <w:p w14:paraId="317265EE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88</w:t>
            </w:r>
          </w:p>
        </w:tc>
        <w:tc>
          <w:tcPr>
            <w:tcW w:w="252" w:type="pct"/>
            <w:tcBorders>
              <w:left w:val="single" w:sz="4" w:space="0" w:color="auto"/>
            </w:tcBorders>
            <w:vAlign w:val="center"/>
          </w:tcPr>
          <w:p w14:paraId="0CBD1A54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sz w:val="24"/>
                <w:szCs w:val="24"/>
              </w:rPr>
              <w:t>5.296</w:t>
            </w:r>
          </w:p>
        </w:tc>
        <w:tc>
          <w:tcPr>
            <w:tcW w:w="252" w:type="pct"/>
            <w:tcBorders>
              <w:right w:val="single" w:sz="4" w:space="0" w:color="auto"/>
            </w:tcBorders>
            <w:vAlign w:val="center"/>
          </w:tcPr>
          <w:p w14:paraId="4DA7CB34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sz w:val="24"/>
                <w:szCs w:val="24"/>
              </w:rPr>
              <w:t>4.695</w:t>
            </w:r>
          </w:p>
        </w:tc>
        <w:tc>
          <w:tcPr>
            <w:tcW w:w="252" w:type="pct"/>
            <w:tcBorders>
              <w:left w:val="single" w:sz="4" w:space="0" w:color="auto"/>
            </w:tcBorders>
            <w:vAlign w:val="center"/>
          </w:tcPr>
          <w:p w14:paraId="392B56B1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sz w:val="24"/>
                <w:szCs w:val="24"/>
              </w:rPr>
              <w:t>0.084</w:t>
            </w:r>
          </w:p>
        </w:tc>
        <w:tc>
          <w:tcPr>
            <w:tcW w:w="248" w:type="pct"/>
            <w:tcBorders>
              <w:right w:val="single" w:sz="4" w:space="0" w:color="auto"/>
            </w:tcBorders>
            <w:vAlign w:val="center"/>
          </w:tcPr>
          <w:p w14:paraId="4EA9A51C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sz w:val="24"/>
                <w:szCs w:val="24"/>
              </w:rPr>
              <w:t>0.075</w:t>
            </w:r>
          </w:p>
        </w:tc>
        <w:tc>
          <w:tcPr>
            <w:tcW w:w="255" w:type="pct"/>
            <w:tcBorders>
              <w:left w:val="single" w:sz="4" w:space="0" w:color="auto"/>
            </w:tcBorders>
            <w:vAlign w:val="center"/>
          </w:tcPr>
          <w:p w14:paraId="5D2FF0B9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sz w:val="24"/>
                <w:szCs w:val="24"/>
              </w:rPr>
              <w:t>6.284</w:t>
            </w:r>
          </w:p>
        </w:tc>
        <w:tc>
          <w:tcPr>
            <w:tcW w:w="252" w:type="pct"/>
            <w:tcBorders>
              <w:right w:val="single" w:sz="4" w:space="0" w:color="auto"/>
            </w:tcBorders>
            <w:vAlign w:val="center"/>
          </w:tcPr>
          <w:p w14:paraId="1332C2F9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sz w:val="24"/>
                <w:szCs w:val="24"/>
              </w:rPr>
              <w:t>4.041</w:t>
            </w:r>
          </w:p>
        </w:tc>
        <w:tc>
          <w:tcPr>
            <w:tcW w:w="251" w:type="pct"/>
            <w:tcBorders>
              <w:left w:val="single" w:sz="4" w:space="0" w:color="auto"/>
            </w:tcBorders>
            <w:vAlign w:val="center"/>
          </w:tcPr>
          <w:p w14:paraId="1D6E952A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sz w:val="24"/>
                <w:szCs w:val="24"/>
              </w:rPr>
              <w:t>1.325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vAlign w:val="center"/>
          </w:tcPr>
          <w:p w14:paraId="365D2368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sz w:val="24"/>
                <w:szCs w:val="24"/>
              </w:rPr>
              <w:t>1.193</w:t>
            </w:r>
          </w:p>
        </w:tc>
        <w:tc>
          <w:tcPr>
            <w:tcW w:w="251" w:type="pct"/>
            <w:tcBorders>
              <w:left w:val="single" w:sz="4" w:space="0" w:color="auto"/>
            </w:tcBorders>
            <w:vAlign w:val="center"/>
          </w:tcPr>
          <w:p w14:paraId="2E241AA2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sz w:val="24"/>
                <w:szCs w:val="24"/>
              </w:rPr>
              <w:t>0.594</w:t>
            </w:r>
          </w:p>
        </w:tc>
        <w:tc>
          <w:tcPr>
            <w:tcW w:w="252" w:type="pct"/>
            <w:vAlign w:val="center"/>
          </w:tcPr>
          <w:p w14:paraId="3A1E8820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0.565</w:t>
            </w:r>
          </w:p>
        </w:tc>
        <w:tc>
          <w:tcPr>
            <w:tcW w:w="305" w:type="pct"/>
            <w:vAlign w:val="center"/>
          </w:tcPr>
          <w:p w14:paraId="40591435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221E1F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221E1F"/>
                <w:sz w:val="24"/>
                <w:szCs w:val="24"/>
              </w:rPr>
              <w:t>Current</w:t>
            </w:r>
          </w:p>
        </w:tc>
      </w:tr>
      <w:tr w:rsidR="009E3985" w:rsidRPr="00CF0C67" w14:paraId="02DCB83A" w14:textId="77777777" w:rsidTr="009E3985">
        <w:trPr>
          <w:trHeight w:val="140"/>
        </w:trPr>
        <w:tc>
          <w:tcPr>
            <w:tcW w:w="669" w:type="pct"/>
            <w:gridSpan w:val="2"/>
            <w:vAlign w:val="center"/>
          </w:tcPr>
          <w:p w14:paraId="3E3B3478" w14:textId="77777777" w:rsidR="009E3985" w:rsidRPr="00FF0AC4" w:rsidRDefault="009E3985" w:rsidP="009E3985">
            <w:pPr>
              <w:wordWrap/>
              <w:adjustRightInd w:val="0"/>
              <w:spacing w:after="0" w:line="360" w:lineRule="auto"/>
              <w:jc w:val="left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bookmarkStart w:id="1" w:name="_Hlk103602303"/>
            <w:r w:rsidRPr="00FF0AC4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Poland</w:t>
            </w:r>
          </w:p>
        </w:tc>
        <w:tc>
          <w:tcPr>
            <w:tcW w:w="475" w:type="pct"/>
            <w:vAlign w:val="center"/>
          </w:tcPr>
          <w:p w14:paraId="0058A92D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</w:t>
            </w:r>
            <w:r w:rsidRPr="00CF0C67">
              <w:rPr>
                <w:rFonts w:asciiTheme="majorBidi" w:hAnsiTheme="majorBidi" w:cstheme="majorBidi"/>
                <w:color w:val="222222"/>
                <w:sz w:val="24"/>
                <w:szCs w:val="24"/>
                <w:shd w:val="clear" w:color="auto" w:fill="FFFFFF"/>
              </w:rPr>
              <w:t>2010–2012</w:t>
            </w: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51" w:type="pct"/>
            <w:vAlign w:val="center"/>
          </w:tcPr>
          <w:p w14:paraId="645EE50F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27.65</w:t>
            </w:r>
          </w:p>
        </w:tc>
        <w:tc>
          <w:tcPr>
            <w:tcW w:w="252" w:type="pct"/>
            <w:tcBorders>
              <w:right w:val="single" w:sz="4" w:space="0" w:color="auto"/>
            </w:tcBorders>
            <w:vAlign w:val="center"/>
          </w:tcPr>
          <w:p w14:paraId="278655C1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27.41</w:t>
            </w:r>
          </w:p>
        </w:tc>
        <w:tc>
          <w:tcPr>
            <w:tcW w:w="251" w:type="pct"/>
            <w:tcBorders>
              <w:left w:val="single" w:sz="4" w:space="0" w:color="auto"/>
            </w:tcBorders>
            <w:vAlign w:val="center"/>
          </w:tcPr>
          <w:p w14:paraId="6794A527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94.0</w:t>
            </w:r>
          </w:p>
        </w:tc>
        <w:tc>
          <w:tcPr>
            <w:tcW w:w="279" w:type="pct"/>
            <w:tcBorders>
              <w:right w:val="single" w:sz="4" w:space="0" w:color="auto"/>
            </w:tcBorders>
            <w:vAlign w:val="center"/>
          </w:tcPr>
          <w:p w14:paraId="4C90B36A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88.0</w:t>
            </w:r>
          </w:p>
        </w:tc>
        <w:tc>
          <w:tcPr>
            <w:tcW w:w="252" w:type="pct"/>
            <w:tcBorders>
              <w:left w:val="single" w:sz="4" w:space="0" w:color="auto"/>
            </w:tcBorders>
            <w:vAlign w:val="center"/>
          </w:tcPr>
          <w:p w14:paraId="663FD913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4.612</w:t>
            </w:r>
          </w:p>
        </w:tc>
        <w:tc>
          <w:tcPr>
            <w:tcW w:w="252" w:type="pct"/>
            <w:tcBorders>
              <w:right w:val="single" w:sz="4" w:space="0" w:color="auto"/>
            </w:tcBorders>
            <w:vAlign w:val="center"/>
          </w:tcPr>
          <w:p w14:paraId="3A779980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4.934</w:t>
            </w:r>
          </w:p>
        </w:tc>
        <w:tc>
          <w:tcPr>
            <w:tcW w:w="252" w:type="pct"/>
            <w:tcBorders>
              <w:left w:val="single" w:sz="4" w:space="0" w:color="auto"/>
            </w:tcBorders>
            <w:vAlign w:val="center"/>
          </w:tcPr>
          <w:p w14:paraId="1948970C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0.081</w:t>
            </w:r>
          </w:p>
        </w:tc>
        <w:tc>
          <w:tcPr>
            <w:tcW w:w="248" w:type="pct"/>
            <w:tcBorders>
              <w:right w:val="single" w:sz="4" w:space="0" w:color="auto"/>
            </w:tcBorders>
            <w:vAlign w:val="center"/>
          </w:tcPr>
          <w:p w14:paraId="10D76F25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0.076</w:t>
            </w:r>
          </w:p>
        </w:tc>
        <w:tc>
          <w:tcPr>
            <w:tcW w:w="255" w:type="pct"/>
            <w:tcBorders>
              <w:left w:val="single" w:sz="4" w:space="0" w:color="auto"/>
            </w:tcBorders>
            <w:vAlign w:val="center"/>
          </w:tcPr>
          <w:p w14:paraId="33CF925E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2" w:type="pct"/>
            <w:tcBorders>
              <w:right w:val="single" w:sz="4" w:space="0" w:color="auto"/>
            </w:tcBorders>
            <w:vAlign w:val="center"/>
          </w:tcPr>
          <w:p w14:paraId="3D2EF544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1" w:type="pct"/>
            <w:tcBorders>
              <w:left w:val="single" w:sz="4" w:space="0" w:color="auto"/>
            </w:tcBorders>
            <w:vAlign w:val="center"/>
          </w:tcPr>
          <w:p w14:paraId="4D8418BB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vAlign w:val="center"/>
          </w:tcPr>
          <w:p w14:paraId="5FB58E68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1" w:type="pct"/>
            <w:tcBorders>
              <w:left w:val="single" w:sz="4" w:space="0" w:color="auto"/>
            </w:tcBorders>
            <w:vAlign w:val="center"/>
          </w:tcPr>
          <w:p w14:paraId="532508C4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0.549</w:t>
            </w:r>
          </w:p>
        </w:tc>
        <w:tc>
          <w:tcPr>
            <w:tcW w:w="252" w:type="pct"/>
            <w:vAlign w:val="center"/>
          </w:tcPr>
          <w:p w14:paraId="4ECE3100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0.532</w:t>
            </w:r>
          </w:p>
        </w:tc>
        <w:tc>
          <w:tcPr>
            <w:tcW w:w="305" w:type="pct"/>
            <w:vAlign w:val="center"/>
          </w:tcPr>
          <w:p w14:paraId="573AB91F" w14:textId="77777777" w:rsidR="009E3985" w:rsidRPr="00CF0C67" w:rsidRDefault="00000000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221E1F"/>
                <w:sz w:val="24"/>
                <w:szCs w:val="24"/>
              </w:rPr>
            </w:pPr>
            <w:hyperlink w:anchor="_ENREF_1" w:tooltip="Głuszek, 2020 #450" w:history="1">
              <w:r w:rsidR="009E3985" w:rsidRPr="00CF0C67">
                <w:rPr>
                  <w:rFonts w:asciiTheme="majorBidi" w:hAnsiTheme="majorBidi" w:cstheme="majorBidi"/>
                  <w:color w:val="221E1F"/>
                  <w:sz w:val="24"/>
                  <w:szCs w:val="24"/>
                </w:rPr>
                <w:fldChar w:fldCharType="begin"/>
              </w:r>
              <w:r w:rsidR="009E3985">
                <w:rPr>
                  <w:rFonts w:asciiTheme="majorBidi" w:hAnsiTheme="majorBidi" w:cstheme="majorBidi"/>
                  <w:color w:val="221E1F"/>
                  <w:sz w:val="24"/>
                  <w:szCs w:val="24"/>
                </w:rPr>
                <w:instrText xml:space="preserve"> ADDIN EN.CITE &lt;EndNote&gt;&lt;Cite&gt;&lt;Author&gt;Głuszek&lt;/Author&gt;&lt;Year&gt;2020&lt;/Year&gt;&lt;RecNum&gt;450&lt;/RecNum&gt;&lt;DisplayText&gt;&lt;style face="superscript"&gt;1&lt;/style&gt;&lt;/DisplayText&gt;&lt;record&gt;&lt;rec-number&gt;450&lt;/rec-number&gt;&lt;foreign-keys&gt;&lt;key app="EN" db-id="pzs5w9r5fdwdese00dpxe2sna0059v5expse"&gt;450&lt;/key&gt;&lt;/foreign-keys&gt;&lt;ref-type name="Journal Article"&gt;17&lt;/ref-type&gt;&lt;contributors&gt;&lt;authors&gt;&lt;author&gt;Głuszek, Stanisław&lt;/author&gt;&lt;author&gt;Ciesla, Elzbieta&lt;/author&gt;&lt;author&gt;Głuszek-Osuch, Martyna&lt;/author&gt;&lt;author&gt;Kozieł, Dorota&lt;/author&gt;&lt;author&gt;Kiebzak, Wojciech&lt;/author&gt;&lt;author&gt;Wypchło, Łukasz&lt;/author&gt;&lt;author&gt;Suliga, Edyta&lt;/author&gt;&lt;/authors&gt;&lt;/contributors&gt;&lt;titles&gt;&lt;title&gt;Anthropometric indices and cut-off points in the diagnosis of metabolic disorders&lt;/title&gt;&lt;secondary-title&gt;PloS one&lt;/secondary-title&gt;&lt;/titles&gt;&lt;periodical&gt;&lt;full-title&gt;PloS one&lt;/full-title&gt;&lt;/periodical&gt;&lt;pages&gt;e0235121&lt;/pages&gt;&lt;volume&gt;15&lt;/volume&gt;&lt;number&gt;6&lt;/number&gt;&lt;dates&gt;&lt;year&gt;2020&lt;/year&gt;&lt;/dates&gt;&lt;publisher&gt;Public Library of Science San Francisco, CA USA&lt;/publisher&gt;&lt;isbn&gt;1932-6203&lt;/isbn&gt;&lt;urls&gt;&lt;/urls&gt;&lt;/record&gt;&lt;/Cite&gt;&lt;/EndNote&gt;</w:instrText>
              </w:r>
              <w:r w:rsidR="009E3985" w:rsidRPr="00CF0C67">
                <w:rPr>
                  <w:rFonts w:asciiTheme="majorBidi" w:hAnsiTheme="majorBidi" w:cstheme="majorBidi"/>
                  <w:color w:val="221E1F"/>
                  <w:sz w:val="24"/>
                  <w:szCs w:val="24"/>
                </w:rPr>
                <w:fldChar w:fldCharType="separate"/>
              </w:r>
              <w:r w:rsidR="009E3985" w:rsidRPr="00D21E59">
                <w:rPr>
                  <w:rFonts w:asciiTheme="majorBidi" w:hAnsiTheme="majorBidi" w:cstheme="majorBidi"/>
                  <w:noProof/>
                  <w:color w:val="221E1F"/>
                  <w:sz w:val="24"/>
                  <w:szCs w:val="24"/>
                  <w:vertAlign w:val="superscript"/>
                </w:rPr>
                <w:t>1</w:t>
              </w:r>
              <w:r w:rsidR="009E3985" w:rsidRPr="00CF0C67">
                <w:rPr>
                  <w:rFonts w:asciiTheme="majorBidi" w:hAnsiTheme="majorBidi" w:cstheme="majorBidi"/>
                  <w:color w:val="221E1F"/>
                  <w:sz w:val="24"/>
                  <w:szCs w:val="24"/>
                </w:rPr>
                <w:fldChar w:fldCharType="end"/>
              </w:r>
            </w:hyperlink>
          </w:p>
        </w:tc>
      </w:tr>
      <w:tr w:rsidR="009E3985" w:rsidRPr="00CF0C67" w14:paraId="25CCCEA0" w14:textId="77777777" w:rsidTr="009E3985">
        <w:trPr>
          <w:trHeight w:val="140"/>
        </w:trPr>
        <w:tc>
          <w:tcPr>
            <w:tcW w:w="669" w:type="pct"/>
            <w:gridSpan w:val="2"/>
            <w:vAlign w:val="center"/>
          </w:tcPr>
          <w:p w14:paraId="68943401" w14:textId="77777777" w:rsidR="009E3985" w:rsidRPr="00FF0AC4" w:rsidRDefault="009E3985" w:rsidP="009E3985">
            <w:pPr>
              <w:wordWrap/>
              <w:adjustRightInd w:val="0"/>
              <w:spacing w:after="0" w:line="360" w:lineRule="auto"/>
              <w:jc w:val="left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F0AC4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Spain</w:t>
            </w:r>
          </w:p>
        </w:tc>
        <w:tc>
          <w:tcPr>
            <w:tcW w:w="475" w:type="pct"/>
            <w:vAlign w:val="center"/>
          </w:tcPr>
          <w:p w14:paraId="189BE748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(2011-2013)</w:t>
            </w:r>
          </w:p>
        </w:tc>
        <w:tc>
          <w:tcPr>
            <w:tcW w:w="251" w:type="pct"/>
            <w:vAlign w:val="center"/>
          </w:tcPr>
          <w:p w14:paraId="30046244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28.96</w:t>
            </w:r>
          </w:p>
        </w:tc>
        <w:tc>
          <w:tcPr>
            <w:tcW w:w="252" w:type="pct"/>
            <w:tcBorders>
              <w:right w:val="single" w:sz="4" w:space="0" w:color="auto"/>
            </w:tcBorders>
            <w:vAlign w:val="center"/>
          </w:tcPr>
          <w:p w14:paraId="333A8B84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28.02</w:t>
            </w:r>
          </w:p>
        </w:tc>
        <w:tc>
          <w:tcPr>
            <w:tcW w:w="251" w:type="pct"/>
            <w:tcBorders>
              <w:left w:val="single" w:sz="4" w:space="0" w:color="auto"/>
            </w:tcBorders>
            <w:vAlign w:val="center"/>
          </w:tcPr>
          <w:p w14:paraId="6807255C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79" w:type="pct"/>
            <w:tcBorders>
              <w:right w:val="single" w:sz="4" w:space="0" w:color="auto"/>
            </w:tcBorders>
            <w:vAlign w:val="center"/>
          </w:tcPr>
          <w:p w14:paraId="75313587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2" w:type="pct"/>
            <w:tcBorders>
              <w:left w:val="single" w:sz="4" w:space="0" w:color="auto"/>
            </w:tcBorders>
            <w:vAlign w:val="center"/>
          </w:tcPr>
          <w:p w14:paraId="7BDF6696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5.69</w:t>
            </w:r>
          </w:p>
        </w:tc>
        <w:tc>
          <w:tcPr>
            <w:tcW w:w="252" w:type="pct"/>
            <w:tcBorders>
              <w:right w:val="single" w:sz="4" w:space="0" w:color="auto"/>
            </w:tcBorders>
            <w:vAlign w:val="center"/>
          </w:tcPr>
          <w:p w14:paraId="446F9415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5.77</w:t>
            </w:r>
          </w:p>
        </w:tc>
        <w:tc>
          <w:tcPr>
            <w:tcW w:w="252" w:type="pct"/>
            <w:tcBorders>
              <w:left w:val="single" w:sz="4" w:space="0" w:color="auto"/>
            </w:tcBorders>
            <w:vAlign w:val="center"/>
          </w:tcPr>
          <w:p w14:paraId="0790D2C2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0.08</w:t>
            </w:r>
          </w:p>
        </w:tc>
        <w:tc>
          <w:tcPr>
            <w:tcW w:w="248" w:type="pct"/>
            <w:tcBorders>
              <w:right w:val="single" w:sz="4" w:space="0" w:color="auto"/>
            </w:tcBorders>
            <w:vAlign w:val="center"/>
          </w:tcPr>
          <w:p w14:paraId="59F209E2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0.08</w:t>
            </w:r>
          </w:p>
        </w:tc>
        <w:tc>
          <w:tcPr>
            <w:tcW w:w="255" w:type="pct"/>
            <w:tcBorders>
              <w:left w:val="single" w:sz="4" w:space="0" w:color="auto"/>
            </w:tcBorders>
            <w:vAlign w:val="center"/>
          </w:tcPr>
          <w:p w14:paraId="3571FFCA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2" w:type="pct"/>
            <w:tcBorders>
              <w:right w:val="single" w:sz="4" w:space="0" w:color="auto"/>
            </w:tcBorders>
            <w:vAlign w:val="center"/>
          </w:tcPr>
          <w:p w14:paraId="716EB64E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1" w:type="pct"/>
            <w:tcBorders>
              <w:left w:val="single" w:sz="4" w:space="0" w:color="auto"/>
            </w:tcBorders>
            <w:vAlign w:val="center"/>
          </w:tcPr>
          <w:p w14:paraId="3F54CAF1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vAlign w:val="center"/>
          </w:tcPr>
          <w:p w14:paraId="32FA5C17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1" w:type="pct"/>
            <w:tcBorders>
              <w:left w:val="single" w:sz="4" w:space="0" w:color="auto"/>
            </w:tcBorders>
            <w:vAlign w:val="center"/>
          </w:tcPr>
          <w:p w14:paraId="49AB9E58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0.61</w:t>
            </w:r>
          </w:p>
        </w:tc>
        <w:tc>
          <w:tcPr>
            <w:tcW w:w="252" w:type="pct"/>
            <w:vAlign w:val="center"/>
          </w:tcPr>
          <w:p w14:paraId="57E67474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0.61</w:t>
            </w:r>
          </w:p>
        </w:tc>
        <w:tc>
          <w:tcPr>
            <w:tcW w:w="305" w:type="pct"/>
            <w:vAlign w:val="center"/>
          </w:tcPr>
          <w:p w14:paraId="3F0E61DA" w14:textId="77777777" w:rsidR="009E3985" w:rsidRPr="00CF0C67" w:rsidRDefault="00000000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221E1F"/>
                <w:sz w:val="24"/>
                <w:szCs w:val="24"/>
              </w:rPr>
            </w:pPr>
            <w:hyperlink w:anchor="_ENREF_2" w:tooltip="Gomez-Marcos, 2019 #451" w:history="1">
              <w:r w:rsidR="009E3985" w:rsidRPr="00CF0C67">
                <w:rPr>
                  <w:rFonts w:asciiTheme="majorBidi" w:hAnsiTheme="majorBidi" w:cstheme="majorBidi"/>
                  <w:color w:val="221E1F"/>
                  <w:sz w:val="24"/>
                  <w:szCs w:val="24"/>
                </w:rPr>
                <w:fldChar w:fldCharType="begin"/>
              </w:r>
              <w:r w:rsidR="009E3985">
                <w:rPr>
                  <w:rFonts w:asciiTheme="majorBidi" w:hAnsiTheme="majorBidi" w:cstheme="majorBidi"/>
                  <w:color w:val="221E1F"/>
                  <w:sz w:val="24"/>
                  <w:szCs w:val="24"/>
                </w:rPr>
                <w:instrText xml:space="preserve"> ADDIN EN.CITE &lt;EndNote&gt;&lt;Cite&gt;&lt;Author&gt;Gomez-Marcos&lt;/Author&gt;&lt;Year&gt;2019&lt;/Year&gt;&lt;RecNum&gt;451&lt;/RecNum&gt;&lt;DisplayText&gt;&lt;style face="superscript"&gt;2&lt;/style&gt;&lt;/DisplayText&gt;&lt;record&gt;&lt;rec-number&gt;451&lt;/rec-number&gt;&lt;foreign-keys&gt;&lt;key app="EN" db-id="pzs5w9r5fdwdese00dpxe2sna0059v5expse"&gt;451&lt;/key&gt;&lt;/foreign-keys&gt;&lt;ref-type name="Journal Article"&gt;17&lt;/ref-type&gt;&lt;contributors&gt;&lt;authors&gt;&lt;author&gt;Gomez-Marcos, Manuel A.&lt;/author&gt;&lt;author&gt;Gomez-Sanchez, Leticia&lt;/author&gt;&lt;author&gt;Patino-Alonso, Maria C.&lt;/author&gt;&lt;author&gt;Recio-Rodriguez, Jose I.&lt;/author&gt;&lt;author&gt;Gomez-Sanchez, Marta&lt;/author&gt;&lt;author&gt;Rigo, Fernando&lt;/author&gt;&lt;author&gt;Marti, Ruth&lt;/author&gt;&lt;author&gt;Agudo-Conde, Cristina&lt;/author&gt;&lt;author&gt;Maderuelo-Fernandez, Jose A.&lt;/author&gt;&lt;author&gt;Ramos, Rafel&lt;/author&gt;&lt;/authors&gt;&lt;/contributors&gt;&lt;titles&gt;&lt;title&gt;Capacity adiposity indices to identify metabolic syndrome in subjects with intermediate cardiovascular risk (MARK study)&lt;/title&gt;&lt;secondary-title&gt;PLoS One&lt;/secondary-title&gt;&lt;/titles&gt;&lt;periodical&gt;&lt;full-title&gt;PloS one&lt;/full-title&gt;&lt;/periodical&gt;&lt;pages&gt;e0209992&lt;/pages&gt;&lt;volume&gt;14&lt;/volume&gt;&lt;number&gt;1&lt;/number&gt;&lt;dates&gt;&lt;year&gt;2019&lt;/year&gt;&lt;/dates&gt;&lt;publisher&gt;Public Library of Science San Francisco, CA USA&lt;/publisher&gt;&lt;isbn&gt;1932-6203&lt;/isbn&gt;&lt;urls&gt;&lt;/urls&gt;&lt;/record&gt;&lt;/Cite&gt;&lt;/EndNote&gt;</w:instrText>
              </w:r>
              <w:r w:rsidR="009E3985" w:rsidRPr="00CF0C67">
                <w:rPr>
                  <w:rFonts w:asciiTheme="majorBidi" w:hAnsiTheme="majorBidi" w:cstheme="majorBidi"/>
                  <w:color w:val="221E1F"/>
                  <w:sz w:val="24"/>
                  <w:szCs w:val="24"/>
                </w:rPr>
                <w:fldChar w:fldCharType="separate"/>
              </w:r>
              <w:r w:rsidR="009E3985" w:rsidRPr="00D21E59">
                <w:rPr>
                  <w:rFonts w:asciiTheme="majorBidi" w:hAnsiTheme="majorBidi" w:cstheme="majorBidi"/>
                  <w:noProof/>
                  <w:color w:val="221E1F"/>
                  <w:sz w:val="24"/>
                  <w:szCs w:val="24"/>
                  <w:vertAlign w:val="superscript"/>
                </w:rPr>
                <w:t>2</w:t>
              </w:r>
              <w:r w:rsidR="009E3985" w:rsidRPr="00CF0C67">
                <w:rPr>
                  <w:rFonts w:asciiTheme="majorBidi" w:hAnsiTheme="majorBidi" w:cstheme="majorBidi"/>
                  <w:color w:val="221E1F"/>
                  <w:sz w:val="24"/>
                  <w:szCs w:val="24"/>
                </w:rPr>
                <w:fldChar w:fldCharType="end"/>
              </w:r>
            </w:hyperlink>
          </w:p>
        </w:tc>
      </w:tr>
      <w:bookmarkEnd w:id="1"/>
      <w:tr w:rsidR="009E3985" w:rsidRPr="00CF0C67" w14:paraId="4ABCB1AB" w14:textId="77777777" w:rsidTr="009E3985">
        <w:trPr>
          <w:trHeight w:val="140"/>
        </w:trPr>
        <w:tc>
          <w:tcPr>
            <w:tcW w:w="669" w:type="pct"/>
            <w:gridSpan w:val="2"/>
            <w:vAlign w:val="center"/>
          </w:tcPr>
          <w:p w14:paraId="3D1F8F37" w14:textId="77777777" w:rsidR="009E3985" w:rsidRPr="00FF0AC4" w:rsidRDefault="009E3985" w:rsidP="009E3985">
            <w:pPr>
              <w:wordWrap/>
              <w:adjustRightInd w:val="0"/>
              <w:spacing w:after="0" w:line="360" w:lineRule="auto"/>
              <w:jc w:val="left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F0AC4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Korea</w:t>
            </w:r>
          </w:p>
        </w:tc>
        <w:tc>
          <w:tcPr>
            <w:tcW w:w="475" w:type="pct"/>
            <w:vAlign w:val="center"/>
          </w:tcPr>
          <w:p w14:paraId="7EC60891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(2004-2013)</w:t>
            </w:r>
          </w:p>
        </w:tc>
        <w:tc>
          <w:tcPr>
            <w:tcW w:w="251" w:type="pct"/>
            <w:vAlign w:val="center"/>
          </w:tcPr>
          <w:p w14:paraId="0E43AFD8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24.3</w:t>
            </w:r>
          </w:p>
        </w:tc>
        <w:tc>
          <w:tcPr>
            <w:tcW w:w="252" w:type="pct"/>
            <w:tcBorders>
              <w:right w:val="single" w:sz="4" w:space="0" w:color="auto"/>
            </w:tcBorders>
            <w:vAlign w:val="center"/>
          </w:tcPr>
          <w:p w14:paraId="55BDAD09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23.4</w:t>
            </w:r>
          </w:p>
        </w:tc>
        <w:tc>
          <w:tcPr>
            <w:tcW w:w="251" w:type="pct"/>
            <w:tcBorders>
              <w:left w:val="single" w:sz="4" w:space="0" w:color="auto"/>
            </w:tcBorders>
            <w:vAlign w:val="center"/>
          </w:tcPr>
          <w:p w14:paraId="68A41B9E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84.4</w:t>
            </w:r>
          </w:p>
        </w:tc>
        <w:tc>
          <w:tcPr>
            <w:tcW w:w="279" w:type="pct"/>
            <w:tcBorders>
              <w:right w:val="single" w:sz="4" w:space="0" w:color="auto"/>
            </w:tcBorders>
            <w:vAlign w:val="center"/>
          </w:tcPr>
          <w:p w14:paraId="7AC46512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77.0</w:t>
            </w:r>
          </w:p>
        </w:tc>
        <w:tc>
          <w:tcPr>
            <w:tcW w:w="252" w:type="pct"/>
            <w:tcBorders>
              <w:left w:val="single" w:sz="4" w:space="0" w:color="auto"/>
            </w:tcBorders>
            <w:vAlign w:val="center"/>
          </w:tcPr>
          <w:p w14:paraId="5B665A39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2" w:type="pct"/>
            <w:tcBorders>
              <w:right w:val="single" w:sz="4" w:space="0" w:color="auto"/>
            </w:tcBorders>
            <w:vAlign w:val="center"/>
          </w:tcPr>
          <w:p w14:paraId="00A03220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2" w:type="pct"/>
            <w:tcBorders>
              <w:left w:val="single" w:sz="4" w:space="0" w:color="auto"/>
            </w:tcBorders>
            <w:vAlign w:val="center"/>
          </w:tcPr>
          <w:p w14:paraId="1CAF9AF1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48" w:type="pct"/>
            <w:tcBorders>
              <w:right w:val="single" w:sz="4" w:space="0" w:color="auto"/>
            </w:tcBorders>
            <w:vAlign w:val="center"/>
          </w:tcPr>
          <w:p w14:paraId="17D7D490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5" w:type="pct"/>
            <w:tcBorders>
              <w:left w:val="single" w:sz="4" w:space="0" w:color="auto"/>
            </w:tcBorders>
            <w:vAlign w:val="center"/>
          </w:tcPr>
          <w:p w14:paraId="4E026274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2" w:type="pct"/>
            <w:tcBorders>
              <w:right w:val="single" w:sz="4" w:space="0" w:color="auto"/>
            </w:tcBorders>
            <w:vAlign w:val="center"/>
          </w:tcPr>
          <w:p w14:paraId="4C87DEEF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1" w:type="pct"/>
            <w:tcBorders>
              <w:left w:val="single" w:sz="4" w:space="0" w:color="auto"/>
            </w:tcBorders>
            <w:vAlign w:val="center"/>
          </w:tcPr>
          <w:p w14:paraId="13805071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vAlign w:val="center"/>
          </w:tcPr>
          <w:p w14:paraId="3C9ABBD1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1.18</w:t>
            </w:r>
          </w:p>
        </w:tc>
        <w:tc>
          <w:tcPr>
            <w:tcW w:w="251" w:type="pct"/>
            <w:tcBorders>
              <w:left w:val="single" w:sz="4" w:space="0" w:color="auto"/>
            </w:tcBorders>
            <w:vAlign w:val="center"/>
          </w:tcPr>
          <w:p w14:paraId="172426AE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0.499</w:t>
            </w:r>
          </w:p>
        </w:tc>
        <w:tc>
          <w:tcPr>
            <w:tcW w:w="252" w:type="pct"/>
            <w:vAlign w:val="center"/>
          </w:tcPr>
          <w:p w14:paraId="60ECAE4F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0.496</w:t>
            </w:r>
          </w:p>
        </w:tc>
        <w:tc>
          <w:tcPr>
            <w:tcW w:w="305" w:type="pct"/>
            <w:vAlign w:val="center"/>
          </w:tcPr>
          <w:p w14:paraId="72E80961" w14:textId="77777777" w:rsidR="009E3985" w:rsidRPr="00CF0C67" w:rsidRDefault="00000000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221E1F"/>
                <w:sz w:val="24"/>
                <w:szCs w:val="24"/>
              </w:rPr>
            </w:pPr>
            <w:hyperlink w:anchor="_ENREF_3" w:tooltip="Cho, 2021 #446" w:history="1">
              <w:r w:rsidR="009E3985" w:rsidRPr="00CF0C67">
                <w:rPr>
                  <w:rFonts w:asciiTheme="majorBidi" w:hAnsiTheme="majorBidi" w:cstheme="majorBidi"/>
                  <w:color w:val="221E1F"/>
                  <w:sz w:val="24"/>
                  <w:szCs w:val="24"/>
                </w:rPr>
                <w:fldChar w:fldCharType="begin"/>
              </w:r>
              <w:r w:rsidR="009E3985">
                <w:rPr>
                  <w:rFonts w:asciiTheme="majorBidi" w:hAnsiTheme="majorBidi" w:cstheme="majorBidi"/>
                  <w:color w:val="221E1F"/>
                  <w:sz w:val="24"/>
                  <w:szCs w:val="24"/>
                </w:rPr>
                <w:instrText xml:space="preserve"> ADDIN EN.CITE &lt;EndNote&gt;&lt;Cite&gt;&lt;Author&gt;Cho&lt;/Author&gt;&lt;Year&gt;2021&lt;/Year&gt;&lt;RecNum&gt;446&lt;/RecNum&gt;&lt;DisplayText&gt;&lt;style face="superscript"&gt;3&lt;/style&gt;&lt;/DisplayText&gt;&lt;record&gt;&lt;rec-number&gt;446&lt;/rec-number&gt;&lt;foreign-keys&gt;&lt;key app="EN" db-id="pzs5w9r5fdwdese00dpxe2sna0059v5expse"&gt;446&lt;/key&gt;&lt;/foreign-keys&gt;&lt;ref-type name="Journal Article"&gt;17&lt;/ref-type&gt;&lt;contributors&gt;&lt;authors&gt;&lt;author&gt;Cho, Sooyoung&lt;/author&gt;&lt;author&gt;Shin, Aesun&lt;/author&gt;&lt;author&gt;Choi, Ji-Yeob&lt;/author&gt;&lt;author&gt;Park, Sang Min&lt;/author&gt;&lt;author&gt;Kang, Daehee&lt;/author&gt;&lt;author&gt;Lee, Jong-Koo&lt;/author&gt;&lt;/authors&gt;&lt;/contributors&gt;&lt;titles&gt;&lt;title&gt;Optimal cutoff values for anthropometric indices of obesity as discriminators of metabolic abnormalities in Korea: results from a Health Examinees study&lt;/title&gt;&lt;secondary-title&gt;BMC Public Health&lt;/secondary-title&gt;&lt;/titles&gt;&lt;periodical&gt;&lt;full-title&gt;BMC Public Health&lt;/full-title&gt;&lt;/periodical&gt;&lt;pages&gt;1-8&lt;/pages&gt;&lt;volume&gt;21&lt;/volume&gt;&lt;number&gt;1&lt;/number&gt;&lt;dates&gt;&lt;year&gt;2021&lt;/year&gt;&lt;/dates&gt;&lt;publisher&gt;BioMed Central&lt;/publisher&gt;&lt;isbn&gt;1471-2458&lt;/isbn&gt;&lt;urls&gt;&lt;/urls&gt;&lt;/record&gt;&lt;/Cite&gt;&lt;/EndNote&gt;</w:instrText>
              </w:r>
              <w:r w:rsidR="009E3985" w:rsidRPr="00CF0C67">
                <w:rPr>
                  <w:rFonts w:asciiTheme="majorBidi" w:hAnsiTheme="majorBidi" w:cstheme="majorBidi"/>
                  <w:color w:val="221E1F"/>
                  <w:sz w:val="24"/>
                  <w:szCs w:val="24"/>
                </w:rPr>
                <w:fldChar w:fldCharType="separate"/>
              </w:r>
              <w:r w:rsidR="009E3985" w:rsidRPr="00D21E59">
                <w:rPr>
                  <w:rFonts w:asciiTheme="majorBidi" w:hAnsiTheme="majorBidi" w:cstheme="majorBidi"/>
                  <w:noProof/>
                  <w:color w:val="221E1F"/>
                  <w:sz w:val="24"/>
                  <w:szCs w:val="24"/>
                  <w:vertAlign w:val="superscript"/>
                </w:rPr>
                <w:t>3</w:t>
              </w:r>
              <w:r w:rsidR="009E3985" w:rsidRPr="00CF0C67">
                <w:rPr>
                  <w:rFonts w:asciiTheme="majorBidi" w:hAnsiTheme="majorBidi" w:cstheme="majorBidi"/>
                  <w:color w:val="221E1F"/>
                  <w:sz w:val="24"/>
                  <w:szCs w:val="24"/>
                </w:rPr>
                <w:fldChar w:fldCharType="end"/>
              </w:r>
            </w:hyperlink>
          </w:p>
        </w:tc>
      </w:tr>
      <w:tr w:rsidR="009E3985" w:rsidRPr="00CF0C67" w14:paraId="6D1A16AB" w14:textId="77777777" w:rsidTr="009E3985">
        <w:trPr>
          <w:trHeight w:val="140"/>
        </w:trPr>
        <w:tc>
          <w:tcPr>
            <w:tcW w:w="390" w:type="pct"/>
            <w:vAlign w:val="center"/>
          </w:tcPr>
          <w:p w14:paraId="43F8C875" w14:textId="77777777" w:rsidR="009E3985" w:rsidRPr="00FF0AC4" w:rsidRDefault="009E3985" w:rsidP="009E3985">
            <w:pPr>
              <w:wordWrap/>
              <w:adjustRightInd w:val="0"/>
              <w:spacing w:after="0" w:line="360" w:lineRule="auto"/>
              <w:jc w:val="left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F0AC4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Kuwait</w:t>
            </w:r>
          </w:p>
        </w:tc>
        <w:tc>
          <w:tcPr>
            <w:tcW w:w="279" w:type="pct"/>
            <w:vAlign w:val="center"/>
          </w:tcPr>
          <w:p w14:paraId="3A2F1A74" w14:textId="77777777" w:rsidR="009E3985" w:rsidRPr="00FF0AC4" w:rsidRDefault="009E3985" w:rsidP="009E3985">
            <w:pPr>
              <w:wordWrap/>
              <w:adjustRightInd w:val="0"/>
              <w:spacing w:after="0" w:line="360" w:lineRule="auto"/>
              <w:jc w:val="left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F0AC4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Arab</w:t>
            </w:r>
          </w:p>
        </w:tc>
        <w:tc>
          <w:tcPr>
            <w:tcW w:w="475" w:type="pct"/>
            <w:vAlign w:val="center"/>
          </w:tcPr>
          <w:p w14:paraId="3C16A7D6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(2011-2014)</w:t>
            </w:r>
          </w:p>
        </w:tc>
        <w:tc>
          <w:tcPr>
            <w:tcW w:w="251" w:type="pct"/>
            <w:vAlign w:val="center"/>
          </w:tcPr>
          <w:p w14:paraId="4C319276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252" w:type="pct"/>
            <w:tcBorders>
              <w:right w:val="single" w:sz="4" w:space="0" w:color="auto"/>
            </w:tcBorders>
            <w:vAlign w:val="center"/>
          </w:tcPr>
          <w:p w14:paraId="24CC8AEA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51" w:type="pct"/>
            <w:tcBorders>
              <w:left w:val="single" w:sz="4" w:space="0" w:color="auto"/>
            </w:tcBorders>
            <w:vAlign w:val="center"/>
          </w:tcPr>
          <w:p w14:paraId="55FA08E0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97</w:t>
            </w:r>
          </w:p>
        </w:tc>
        <w:tc>
          <w:tcPr>
            <w:tcW w:w="279" w:type="pct"/>
            <w:tcBorders>
              <w:right w:val="single" w:sz="4" w:space="0" w:color="auto"/>
            </w:tcBorders>
            <w:vAlign w:val="center"/>
          </w:tcPr>
          <w:p w14:paraId="7433595B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93</w:t>
            </w:r>
          </w:p>
        </w:tc>
        <w:tc>
          <w:tcPr>
            <w:tcW w:w="252" w:type="pct"/>
            <w:tcBorders>
              <w:left w:val="single" w:sz="4" w:space="0" w:color="auto"/>
            </w:tcBorders>
            <w:vAlign w:val="center"/>
          </w:tcPr>
          <w:p w14:paraId="70F7EC0C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2" w:type="pct"/>
            <w:tcBorders>
              <w:right w:val="single" w:sz="4" w:space="0" w:color="auto"/>
            </w:tcBorders>
            <w:vAlign w:val="center"/>
          </w:tcPr>
          <w:p w14:paraId="72276917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2" w:type="pct"/>
            <w:tcBorders>
              <w:left w:val="single" w:sz="4" w:space="0" w:color="auto"/>
            </w:tcBorders>
            <w:vAlign w:val="center"/>
          </w:tcPr>
          <w:p w14:paraId="6CF78460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48" w:type="pct"/>
            <w:tcBorders>
              <w:right w:val="single" w:sz="4" w:space="0" w:color="auto"/>
            </w:tcBorders>
            <w:vAlign w:val="center"/>
          </w:tcPr>
          <w:p w14:paraId="6E9E3BCD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5" w:type="pct"/>
            <w:tcBorders>
              <w:left w:val="single" w:sz="4" w:space="0" w:color="auto"/>
            </w:tcBorders>
            <w:vAlign w:val="center"/>
          </w:tcPr>
          <w:p w14:paraId="47691B16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2" w:type="pct"/>
            <w:tcBorders>
              <w:right w:val="single" w:sz="4" w:space="0" w:color="auto"/>
            </w:tcBorders>
            <w:vAlign w:val="center"/>
          </w:tcPr>
          <w:p w14:paraId="2640FF53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1" w:type="pct"/>
            <w:tcBorders>
              <w:left w:val="single" w:sz="4" w:space="0" w:color="auto"/>
            </w:tcBorders>
            <w:vAlign w:val="center"/>
          </w:tcPr>
          <w:p w14:paraId="268FCEF2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vAlign w:val="center"/>
          </w:tcPr>
          <w:p w14:paraId="7602F1CD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1" w:type="pct"/>
            <w:tcBorders>
              <w:left w:val="single" w:sz="4" w:space="0" w:color="auto"/>
            </w:tcBorders>
            <w:vAlign w:val="center"/>
          </w:tcPr>
          <w:p w14:paraId="6A034825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0.55</w:t>
            </w:r>
          </w:p>
        </w:tc>
        <w:tc>
          <w:tcPr>
            <w:tcW w:w="252" w:type="pct"/>
            <w:vAlign w:val="center"/>
          </w:tcPr>
          <w:p w14:paraId="1AF3AB41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0.60</w:t>
            </w:r>
          </w:p>
        </w:tc>
        <w:tc>
          <w:tcPr>
            <w:tcW w:w="305" w:type="pct"/>
            <w:vAlign w:val="center"/>
          </w:tcPr>
          <w:p w14:paraId="10FDA11A" w14:textId="77777777" w:rsidR="009E3985" w:rsidRPr="00CF0C67" w:rsidRDefault="00000000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221E1F"/>
                <w:sz w:val="24"/>
                <w:szCs w:val="24"/>
              </w:rPr>
            </w:pPr>
            <w:hyperlink w:anchor="_ENREF_4" w:tooltip="Oguoma, 2022 #448" w:history="1">
              <w:r w:rsidR="009E3985" w:rsidRPr="00CF0C67">
                <w:rPr>
                  <w:rFonts w:asciiTheme="majorBidi" w:hAnsiTheme="majorBidi" w:cstheme="majorBidi"/>
                  <w:sz w:val="24"/>
                  <w:szCs w:val="24"/>
                </w:rPr>
                <w:fldChar w:fldCharType="begin"/>
              </w:r>
              <w:r w:rsidR="009E3985">
                <w:rPr>
                  <w:rFonts w:asciiTheme="majorBidi" w:hAnsiTheme="majorBidi" w:cstheme="majorBidi"/>
                  <w:sz w:val="24"/>
                  <w:szCs w:val="24"/>
                </w:rPr>
                <w:instrText xml:space="preserve"> ADDIN EN.CITE &lt;EndNote&gt;&lt;Cite&gt;&lt;Author&gt;Oguoma&lt;/Author&gt;&lt;Year&gt;2022&lt;/Year&gt;&lt;RecNum&gt;448&lt;/RecNum&gt;&lt;DisplayText&gt;&lt;style face="superscript"&gt;4&lt;/style&gt;&lt;/DisplayText&gt;&lt;record&gt;&lt;rec-number&gt;448&lt;/rec-number&gt;&lt;foreign-keys&gt;&lt;key app="EN" db-id="pzs5w9r5fdwdese00dpxe2sna0059v5expse"&gt;448&lt;/key&gt;&lt;/foreign-keys&gt;&lt;ref-type name="Journal Article"&gt;17&lt;/ref-type&gt;&lt;contributors&gt;&lt;authors&gt;&lt;author&gt;Oguoma, Victor M.&lt;/author&gt;&lt;author&gt;Coffee, Neil T.&lt;/author&gt;&lt;author&gt;Alsharrah, Saad&lt;/author&gt;&lt;author&gt;Abu-Farha, Mohamed&lt;/author&gt;&lt;author&gt;Al-Refaei, Faisal H.&lt;/author&gt;&lt;author&gt;Alkandari, Abdullah&lt;/author&gt;&lt;author&gt;Al-Mulla, Fahd&lt;/author&gt;&lt;author&gt;Daniel, Mark&lt;/author&gt;&lt;/authors&gt;&lt;/contributors&gt;&lt;titles&gt;&lt;title&gt;Anthropometric cut-points for discriminating diabetes and the metabolic syndrome among Arabs and Asians: the Kuwait Diabetes Epidemiology Program&lt;/title&gt;&lt;secondary-title&gt;British Journal of Nutrition&lt;/secondary-title&gt;&lt;/titles&gt;&lt;periodical&gt;&lt;full-title&gt;British Journal of Nutrition&lt;/full-title&gt;&lt;/periodical&gt;&lt;pages&gt;92-102&lt;/pages&gt;&lt;volume&gt;127&lt;/volume&gt;&lt;number&gt;1&lt;/number&gt;&lt;dates&gt;&lt;year&gt;2022&lt;/year&gt;&lt;/dates&gt;&lt;publisher&gt;Cambridge University Press&lt;/publisher&gt;&lt;isbn&gt;0007-1145&lt;/isbn&gt;&lt;urls&gt;&lt;/urls&gt;&lt;/record&gt;&lt;/Cite&gt;&lt;/EndNote&gt;</w:instrText>
              </w:r>
              <w:r w:rsidR="009E3985" w:rsidRPr="00CF0C67">
                <w:rPr>
                  <w:rFonts w:asciiTheme="majorBidi" w:hAnsiTheme="majorBidi" w:cstheme="majorBidi"/>
                  <w:sz w:val="24"/>
                  <w:szCs w:val="24"/>
                </w:rPr>
                <w:fldChar w:fldCharType="separate"/>
              </w:r>
              <w:r w:rsidR="009E3985" w:rsidRPr="00D21E59">
                <w:rPr>
                  <w:rFonts w:asciiTheme="majorBidi" w:hAnsiTheme="majorBidi" w:cstheme="majorBidi"/>
                  <w:noProof/>
                  <w:sz w:val="24"/>
                  <w:szCs w:val="24"/>
                  <w:vertAlign w:val="superscript"/>
                </w:rPr>
                <w:t>4</w:t>
              </w:r>
              <w:r w:rsidR="009E3985" w:rsidRPr="00CF0C67">
                <w:rPr>
                  <w:rFonts w:asciiTheme="majorBidi" w:hAnsiTheme="majorBidi" w:cstheme="majorBidi"/>
                  <w:sz w:val="24"/>
                  <w:szCs w:val="24"/>
                </w:rPr>
                <w:fldChar w:fldCharType="end"/>
              </w:r>
            </w:hyperlink>
          </w:p>
        </w:tc>
      </w:tr>
      <w:tr w:rsidR="009E3985" w:rsidRPr="00CF0C67" w14:paraId="55D948D9" w14:textId="77777777" w:rsidTr="009E3985">
        <w:trPr>
          <w:trHeight w:val="140"/>
        </w:trPr>
        <w:tc>
          <w:tcPr>
            <w:tcW w:w="390" w:type="pct"/>
          </w:tcPr>
          <w:p w14:paraId="1CE48F1E" w14:textId="77777777" w:rsidR="009E3985" w:rsidRPr="00FF0AC4" w:rsidRDefault="009E3985" w:rsidP="009E3985">
            <w:pPr>
              <w:wordWrap/>
              <w:adjustRightInd w:val="0"/>
              <w:spacing w:after="0" w:line="360" w:lineRule="auto"/>
              <w:jc w:val="left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F0AC4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Kuwait</w:t>
            </w:r>
          </w:p>
        </w:tc>
        <w:tc>
          <w:tcPr>
            <w:tcW w:w="279" w:type="pct"/>
            <w:vAlign w:val="center"/>
          </w:tcPr>
          <w:p w14:paraId="07532215" w14:textId="77777777" w:rsidR="009E3985" w:rsidRPr="00FF0AC4" w:rsidRDefault="009E3985" w:rsidP="009E3985">
            <w:pPr>
              <w:wordWrap/>
              <w:adjustRightInd w:val="0"/>
              <w:spacing w:after="0" w:line="360" w:lineRule="auto"/>
              <w:jc w:val="left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F0AC4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Asian</w:t>
            </w:r>
          </w:p>
        </w:tc>
        <w:tc>
          <w:tcPr>
            <w:tcW w:w="475" w:type="pct"/>
            <w:vAlign w:val="center"/>
          </w:tcPr>
          <w:p w14:paraId="1B4F2B3D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(2011-2014)</w:t>
            </w:r>
          </w:p>
        </w:tc>
        <w:tc>
          <w:tcPr>
            <w:tcW w:w="251" w:type="pct"/>
            <w:vAlign w:val="center"/>
          </w:tcPr>
          <w:p w14:paraId="473A920F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52" w:type="pct"/>
            <w:tcBorders>
              <w:right w:val="single" w:sz="4" w:space="0" w:color="auto"/>
            </w:tcBorders>
            <w:vAlign w:val="center"/>
          </w:tcPr>
          <w:p w14:paraId="2D022D8E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51" w:type="pct"/>
            <w:tcBorders>
              <w:left w:val="single" w:sz="4" w:space="0" w:color="auto"/>
            </w:tcBorders>
            <w:vAlign w:val="center"/>
          </w:tcPr>
          <w:p w14:paraId="479A6DD6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91</w:t>
            </w:r>
          </w:p>
        </w:tc>
        <w:tc>
          <w:tcPr>
            <w:tcW w:w="279" w:type="pct"/>
            <w:tcBorders>
              <w:right w:val="single" w:sz="4" w:space="0" w:color="auto"/>
            </w:tcBorders>
            <w:vAlign w:val="center"/>
          </w:tcPr>
          <w:p w14:paraId="0A748F00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93</w:t>
            </w:r>
          </w:p>
        </w:tc>
        <w:tc>
          <w:tcPr>
            <w:tcW w:w="252" w:type="pct"/>
            <w:tcBorders>
              <w:left w:val="single" w:sz="4" w:space="0" w:color="auto"/>
            </w:tcBorders>
            <w:vAlign w:val="center"/>
          </w:tcPr>
          <w:p w14:paraId="349EA7D3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2" w:type="pct"/>
            <w:tcBorders>
              <w:right w:val="single" w:sz="4" w:space="0" w:color="auto"/>
            </w:tcBorders>
            <w:vAlign w:val="center"/>
          </w:tcPr>
          <w:p w14:paraId="459925AA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2" w:type="pct"/>
            <w:tcBorders>
              <w:left w:val="single" w:sz="4" w:space="0" w:color="auto"/>
            </w:tcBorders>
            <w:vAlign w:val="center"/>
          </w:tcPr>
          <w:p w14:paraId="1F46C6B2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48" w:type="pct"/>
            <w:tcBorders>
              <w:right w:val="single" w:sz="4" w:space="0" w:color="auto"/>
            </w:tcBorders>
            <w:vAlign w:val="center"/>
          </w:tcPr>
          <w:p w14:paraId="79416FA1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5" w:type="pct"/>
            <w:tcBorders>
              <w:left w:val="single" w:sz="4" w:space="0" w:color="auto"/>
            </w:tcBorders>
            <w:vAlign w:val="center"/>
          </w:tcPr>
          <w:p w14:paraId="5E6472F1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2" w:type="pct"/>
            <w:tcBorders>
              <w:right w:val="single" w:sz="4" w:space="0" w:color="auto"/>
            </w:tcBorders>
            <w:vAlign w:val="center"/>
          </w:tcPr>
          <w:p w14:paraId="4E9A6057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1" w:type="pct"/>
            <w:tcBorders>
              <w:left w:val="single" w:sz="4" w:space="0" w:color="auto"/>
            </w:tcBorders>
            <w:vAlign w:val="center"/>
          </w:tcPr>
          <w:p w14:paraId="136ECCD0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vAlign w:val="center"/>
          </w:tcPr>
          <w:p w14:paraId="1CB40DEC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1" w:type="pct"/>
            <w:tcBorders>
              <w:left w:val="single" w:sz="4" w:space="0" w:color="auto"/>
            </w:tcBorders>
            <w:vAlign w:val="center"/>
          </w:tcPr>
          <w:p w14:paraId="4286DFB7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0.52</w:t>
            </w:r>
          </w:p>
        </w:tc>
        <w:tc>
          <w:tcPr>
            <w:tcW w:w="252" w:type="pct"/>
            <w:vAlign w:val="center"/>
          </w:tcPr>
          <w:p w14:paraId="4B41462C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0.49</w:t>
            </w:r>
          </w:p>
        </w:tc>
        <w:tc>
          <w:tcPr>
            <w:tcW w:w="305" w:type="pct"/>
            <w:vAlign w:val="center"/>
          </w:tcPr>
          <w:p w14:paraId="222DE5E5" w14:textId="77777777" w:rsidR="009E3985" w:rsidRPr="00CF0C67" w:rsidRDefault="00000000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221E1F"/>
                <w:sz w:val="24"/>
                <w:szCs w:val="24"/>
              </w:rPr>
            </w:pPr>
            <w:hyperlink w:anchor="_ENREF_4" w:tooltip="Oguoma, 2022 #448" w:history="1">
              <w:r w:rsidR="009E3985" w:rsidRPr="00CF0C67">
                <w:rPr>
                  <w:rFonts w:asciiTheme="majorBidi" w:hAnsiTheme="majorBidi" w:cstheme="majorBidi"/>
                  <w:sz w:val="24"/>
                  <w:szCs w:val="24"/>
                </w:rPr>
                <w:fldChar w:fldCharType="begin"/>
              </w:r>
              <w:r w:rsidR="009E3985">
                <w:rPr>
                  <w:rFonts w:asciiTheme="majorBidi" w:hAnsiTheme="majorBidi" w:cstheme="majorBidi"/>
                  <w:sz w:val="24"/>
                  <w:szCs w:val="24"/>
                </w:rPr>
                <w:instrText xml:space="preserve"> ADDIN EN.CITE &lt;EndNote&gt;&lt;Cite&gt;&lt;Author&gt;Oguoma&lt;/Author&gt;&lt;Year&gt;2022&lt;/Year&gt;&lt;RecNum&gt;448&lt;/RecNum&gt;&lt;DisplayText&gt;&lt;style face="superscript"&gt;4&lt;/style&gt;&lt;/DisplayText&gt;&lt;record&gt;&lt;rec-number&gt;448&lt;/rec-number&gt;&lt;foreign-keys&gt;&lt;key app="EN" db-id="pzs5w9r5fdwdese00dpxe2sna0059v5expse"&gt;448&lt;/key&gt;&lt;/foreign-keys&gt;&lt;ref-type name="Journal Article"&gt;17&lt;/ref-type&gt;&lt;contributors&gt;&lt;authors&gt;&lt;author&gt;Oguoma, Victor M.&lt;/author&gt;&lt;author&gt;Coffee, Neil T.&lt;/author&gt;&lt;author&gt;Alsharrah, Saad&lt;/author&gt;&lt;author&gt;Abu-Farha, Mohamed&lt;/author&gt;&lt;author&gt;Al-Refaei, Faisal H.&lt;/author&gt;&lt;author&gt;Alkandari, Abdullah&lt;/author&gt;&lt;author&gt;Al-Mulla, Fahd&lt;/author&gt;&lt;author&gt;Daniel, Mark&lt;/author&gt;&lt;/authors&gt;&lt;/contributors&gt;&lt;titles&gt;&lt;title&gt;Anthropometric cut-points for discriminating diabetes and the metabolic syndrome among Arabs and Asians: the Kuwait Diabetes Epidemiology Program&lt;/title&gt;&lt;secondary-title&gt;British Journal of Nutrition&lt;/secondary-title&gt;&lt;/titles&gt;&lt;periodical&gt;&lt;full-title&gt;British Journal of Nutrition&lt;/full-title&gt;&lt;/periodical&gt;&lt;pages&gt;92-102&lt;/pages&gt;&lt;volume&gt;127&lt;/volume&gt;&lt;number&gt;1&lt;/number&gt;&lt;dates&gt;&lt;year&gt;2022&lt;/year&gt;&lt;/dates&gt;&lt;publisher&gt;Cambridge University Press&lt;/publisher&gt;&lt;isbn&gt;0007-1145&lt;/isbn&gt;&lt;urls&gt;&lt;/urls&gt;&lt;/record&gt;&lt;/Cite&gt;&lt;/EndNote&gt;</w:instrText>
              </w:r>
              <w:r w:rsidR="009E3985" w:rsidRPr="00CF0C67">
                <w:rPr>
                  <w:rFonts w:asciiTheme="majorBidi" w:hAnsiTheme="majorBidi" w:cstheme="majorBidi"/>
                  <w:sz w:val="24"/>
                  <w:szCs w:val="24"/>
                </w:rPr>
                <w:fldChar w:fldCharType="separate"/>
              </w:r>
              <w:r w:rsidR="009E3985" w:rsidRPr="00D21E59">
                <w:rPr>
                  <w:rFonts w:asciiTheme="majorBidi" w:hAnsiTheme="majorBidi" w:cstheme="majorBidi"/>
                  <w:noProof/>
                  <w:sz w:val="24"/>
                  <w:szCs w:val="24"/>
                  <w:vertAlign w:val="superscript"/>
                </w:rPr>
                <w:t>4</w:t>
              </w:r>
              <w:r w:rsidR="009E3985" w:rsidRPr="00CF0C67">
                <w:rPr>
                  <w:rFonts w:asciiTheme="majorBidi" w:hAnsiTheme="majorBidi" w:cstheme="majorBidi"/>
                  <w:sz w:val="24"/>
                  <w:szCs w:val="24"/>
                </w:rPr>
                <w:fldChar w:fldCharType="end"/>
              </w:r>
            </w:hyperlink>
          </w:p>
        </w:tc>
      </w:tr>
      <w:tr w:rsidR="009E3985" w:rsidRPr="00CF0C67" w14:paraId="2B0E5F74" w14:textId="77777777" w:rsidTr="009E3985">
        <w:trPr>
          <w:trHeight w:val="140"/>
        </w:trPr>
        <w:tc>
          <w:tcPr>
            <w:tcW w:w="669" w:type="pct"/>
            <w:gridSpan w:val="2"/>
            <w:vAlign w:val="center"/>
          </w:tcPr>
          <w:p w14:paraId="0BCC91B0" w14:textId="77777777" w:rsidR="009E3985" w:rsidRPr="00FF0AC4" w:rsidRDefault="009E3985" w:rsidP="009E3985">
            <w:pPr>
              <w:wordWrap/>
              <w:adjustRightInd w:val="0"/>
              <w:spacing w:after="0" w:line="360" w:lineRule="auto"/>
              <w:jc w:val="left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F0AC4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Saudi Arabia</w:t>
            </w:r>
          </w:p>
        </w:tc>
        <w:tc>
          <w:tcPr>
            <w:tcW w:w="475" w:type="pct"/>
            <w:vAlign w:val="center"/>
          </w:tcPr>
          <w:p w14:paraId="41FDD325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(2007-2008)</w:t>
            </w:r>
          </w:p>
        </w:tc>
        <w:tc>
          <w:tcPr>
            <w:tcW w:w="251" w:type="pct"/>
            <w:vAlign w:val="center"/>
          </w:tcPr>
          <w:p w14:paraId="419A13D9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52" w:type="pct"/>
            <w:tcBorders>
              <w:right w:val="single" w:sz="4" w:space="0" w:color="auto"/>
            </w:tcBorders>
            <w:vAlign w:val="center"/>
          </w:tcPr>
          <w:p w14:paraId="4EF84AC4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251" w:type="pct"/>
            <w:tcBorders>
              <w:left w:val="single" w:sz="4" w:space="0" w:color="auto"/>
            </w:tcBorders>
            <w:vAlign w:val="center"/>
          </w:tcPr>
          <w:p w14:paraId="2659205D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92</w:t>
            </w:r>
          </w:p>
        </w:tc>
        <w:tc>
          <w:tcPr>
            <w:tcW w:w="279" w:type="pct"/>
            <w:tcBorders>
              <w:right w:val="single" w:sz="4" w:space="0" w:color="auto"/>
            </w:tcBorders>
            <w:vAlign w:val="center"/>
          </w:tcPr>
          <w:p w14:paraId="443B5D7C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87</w:t>
            </w:r>
          </w:p>
        </w:tc>
        <w:tc>
          <w:tcPr>
            <w:tcW w:w="252" w:type="pct"/>
            <w:tcBorders>
              <w:left w:val="single" w:sz="4" w:space="0" w:color="auto"/>
            </w:tcBorders>
            <w:vAlign w:val="center"/>
          </w:tcPr>
          <w:p w14:paraId="347E45C0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2" w:type="pct"/>
            <w:tcBorders>
              <w:right w:val="single" w:sz="4" w:space="0" w:color="auto"/>
            </w:tcBorders>
            <w:vAlign w:val="center"/>
          </w:tcPr>
          <w:p w14:paraId="6B469936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2" w:type="pct"/>
            <w:tcBorders>
              <w:left w:val="single" w:sz="4" w:space="0" w:color="auto"/>
            </w:tcBorders>
            <w:vAlign w:val="center"/>
          </w:tcPr>
          <w:p w14:paraId="0E708AE1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48" w:type="pct"/>
            <w:tcBorders>
              <w:right w:val="single" w:sz="4" w:space="0" w:color="auto"/>
            </w:tcBorders>
            <w:vAlign w:val="center"/>
          </w:tcPr>
          <w:p w14:paraId="0E8CA0B3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5" w:type="pct"/>
            <w:tcBorders>
              <w:left w:val="single" w:sz="4" w:space="0" w:color="auto"/>
            </w:tcBorders>
            <w:vAlign w:val="center"/>
          </w:tcPr>
          <w:p w14:paraId="43FDA707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2" w:type="pct"/>
            <w:tcBorders>
              <w:right w:val="single" w:sz="4" w:space="0" w:color="auto"/>
            </w:tcBorders>
            <w:vAlign w:val="center"/>
          </w:tcPr>
          <w:p w14:paraId="74FD93A0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1" w:type="pct"/>
            <w:tcBorders>
              <w:left w:val="single" w:sz="4" w:space="0" w:color="auto"/>
            </w:tcBorders>
            <w:vAlign w:val="center"/>
          </w:tcPr>
          <w:p w14:paraId="3F156A65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vAlign w:val="center"/>
          </w:tcPr>
          <w:p w14:paraId="339F758A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1" w:type="pct"/>
            <w:tcBorders>
              <w:left w:val="single" w:sz="4" w:space="0" w:color="auto"/>
            </w:tcBorders>
            <w:vAlign w:val="center"/>
          </w:tcPr>
          <w:p w14:paraId="076D089A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2" w:type="pct"/>
            <w:vAlign w:val="center"/>
          </w:tcPr>
          <w:p w14:paraId="7CEFAAC6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305" w:type="pct"/>
            <w:vAlign w:val="center"/>
          </w:tcPr>
          <w:p w14:paraId="11775BED" w14:textId="77777777" w:rsidR="009E3985" w:rsidRPr="00CF0C67" w:rsidRDefault="00000000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hyperlink w:anchor="_ENREF_5" w:tooltip="Al-Rubean, 2017 #445" w:history="1">
              <w:r w:rsidR="009E3985" w:rsidRPr="00CF0C67">
                <w:rPr>
                  <w:rFonts w:asciiTheme="majorBidi" w:hAnsiTheme="majorBidi" w:cstheme="majorBidi"/>
                  <w:color w:val="221E1F"/>
                  <w:sz w:val="24"/>
                  <w:szCs w:val="24"/>
                </w:rPr>
                <w:fldChar w:fldCharType="begin"/>
              </w:r>
              <w:r w:rsidR="009E3985">
                <w:rPr>
                  <w:rFonts w:asciiTheme="majorBidi" w:hAnsiTheme="majorBidi" w:cstheme="majorBidi"/>
                  <w:color w:val="221E1F"/>
                  <w:sz w:val="24"/>
                  <w:szCs w:val="24"/>
                </w:rPr>
                <w:instrText xml:space="preserve"> ADDIN EN.CITE &lt;EndNote&gt;&lt;Cite&gt;&lt;Author&gt;Al-Rubean&lt;/Author&gt;&lt;Year&gt;2017&lt;/Year&gt;&lt;RecNum&gt;445&lt;/RecNum&gt;&lt;DisplayText&gt;&lt;style face="superscript"&gt;5&lt;/style&gt;&lt;/DisplayText&gt;&lt;record&gt;&lt;rec-number&gt;445&lt;/rec-number&gt;&lt;foreign-keys&gt;&lt;key app="EN" db-id="pzs5w9r5fdwdese00dpxe2sna0059v5expse"&gt;445&lt;/key&gt;&lt;/foreign-keys&gt;&lt;ref-type name="Journal Article"&gt;17&lt;/ref-type&gt;&lt;contributors&gt;&lt;authors&gt;&lt;author&gt;Al-Rubean, Khalid&lt;/author&gt;&lt;author&gt;Youssef, Amira M.&lt;/author&gt;&lt;author&gt;Al Farsi, Yousuf&lt;/author&gt;&lt;author&gt;Al-Sharqawi, Ahmad H.&lt;/author&gt;&lt;author&gt;Bawazeer, Nahla&lt;/author&gt;&lt;author&gt;Al Otaibi, Mohammad T.&lt;/author&gt;&lt;author&gt;AlRumaih, Fahd Issa&lt;/author&gt;&lt;author&gt;Zaidi, Muhammad Shoaib&lt;/author&gt;&lt;/authors&gt;&lt;/contributors&gt;&lt;titles&gt;&lt;title&gt;Anthropometric cutoff values for predicting metabolic syndrome in a Saudi community: from the SAUDI-DM study&lt;/title&gt;&lt;secondary-title&gt;Annals of Saudi medicine&lt;/secondary-title&gt;&lt;/titles&gt;&lt;periodical&gt;&lt;full-title&gt;Annals of Saudi medicine&lt;/full-title&gt;&lt;/periodical&gt;&lt;pages&gt;21-30&lt;/pages&gt;&lt;volume&gt;37&lt;/volume&gt;&lt;number&gt;1&lt;/number&gt;&lt;dates&gt;&lt;year&gt;2017&lt;/year&gt;&lt;/dates&gt;&lt;publisher&gt;King Faisal Specialist Hospital &amp;amp; Research Centre&lt;/publisher&gt;&lt;isbn&gt;0256-4947&lt;/isbn&gt;&lt;urls&gt;&lt;/urls&gt;&lt;/record&gt;&lt;/Cite&gt;&lt;/EndNote&gt;</w:instrText>
              </w:r>
              <w:r w:rsidR="009E3985" w:rsidRPr="00CF0C67">
                <w:rPr>
                  <w:rFonts w:asciiTheme="majorBidi" w:hAnsiTheme="majorBidi" w:cstheme="majorBidi"/>
                  <w:color w:val="221E1F"/>
                  <w:sz w:val="24"/>
                  <w:szCs w:val="24"/>
                </w:rPr>
                <w:fldChar w:fldCharType="separate"/>
              </w:r>
              <w:r w:rsidR="009E3985" w:rsidRPr="00D21E59">
                <w:rPr>
                  <w:rFonts w:asciiTheme="majorBidi" w:hAnsiTheme="majorBidi" w:cstheme="majorBidi"/>
                  <w:noProof/>
                  <w:color w:val="221E1F"/>
                  <w:sz w:val="24"/>
                  <w:szCs w:val="24"/>
                  <w:vertAlign w:val="superscript"/>
                </w:rPr>
                <w:t>5</w:t>
              </w:r>
              <w:r w:rsidR="009E3985" w:rsidRPr="00CF0C67">
                <w:rPr>
                  <w:rFonts w:asciiTheme="majorBidi" w:hAnsiTheme="majorBidi" w:cstheme="majorBidi"/>
                  <w:color w:val="221E1F"/>
                  <w:sz w:val="24"/>
                  <w:szCs w:val="24"/>
                </w:rPr>
                <w:fldChar w:fldCharType="end"/>
              </w:r>
            </w:hyperlink>
          </w:p>
        </w:tc>
      </w:tr>
      <w:tr w:rsidR="009E3985" w:rsidRPr="00CF0C67" w14:paraId="134C8EA0" w14:textId="77777777" w:rsidTr="009E3985">
        <w:trPr>
          <w:trHeight w:val="140"/>
        </w:trPr>
        <w:tc>
          <w:tcPr>
            <w:tcW w:w="669" w:type="pct"/>
            <w:gridSpan w:val="2"/>
            <w:vAlign w:val="center"/>
          </w:tcPr>
          <w:p w14:paraId="61709C23" w14:textId="77777777" w:rsidR="009E3985" w:rsidRPr="00FF0AC4" w:rsidRDefault="009E3985" w:rsidP="009E3985">
            <w:pPr>
              <w:tabs>
                <w:tab w:val="left" w:pos="1189"/>
              </w:tabs>
              <w:wordWrap/>
              <w:adjustRightInd w:val="0"/>
              <w:spacing w:after="0" w:line="360" w:lineRule="auto"/>
              <w:jc w:val="left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F0AC4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Mexico</w:t>
            </w:r>
          </w:p>
        </w:tc>
        <w:tc>
          <w:tcPr>
            <w:tcW w:w="475" w:type="pct"/>
            <w:vAlign w:val="center"/>
          </w:tcPr>
          <w:p w14:paraId="3822D0FE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(2018)</w:t>
            </w:r>
          </w:p>
        </w:tc>
        <w:tc>
          <w:tcPr>
            <w:tcW w:w="251" w:type="pct"/>
            <w:vAlign w:val="center"/>
          </w:tcPr>
          <w:p w14:paraId="2AB877CB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2" w:type="pct"/>
            <w:tcBorders>
              <w:right w:val="single" w:sz="4" w:space="0" w:color="auto"/>
            </w:tcBorders>
            <w:vAlign w:val="center"/>
          </w:tcPr>
          <w:p w14:paraId="01D86038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1" w:type="pct"/>
            <w:tcBorders>
              <w:left w:val="single" w:sz="4" w:space="0" w:color="auto"/>
            </w:tcBorders>
            <w:vAlign w:val="center"/>
          </w:tcPr>
          <w:p w14:paraId="64F00408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100.5</w:t>
            </w:r>
          </w:p>
        </w:tc>
        <w:tc>
          <w:tcPr>
            <w:tcW w:w="279" w:type="pct"/>
            <w:tcBorders>
              <w:right w:val="single" w:sz="4" w:space="0" w:color="auto"/>
            </w:tcBorders>
            <w:vAlign w:val="center"/>
          </w:tcPr>
          <w:p w14:paraId="66D78FE2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85.5</w:t>
            </w:r>
          </w:p>
        </w:tc>
        <w:tc>
          <w:tcPr>
            <w:tcW w:w="252" w:type="pct"/>
            <w:tcBorders>
              <w:left w:val="single" w:sz="4" w:space="0" w:color="auto"/>
            </w:tcBorders>
            <w:vAlign w:val="center"/>
          </w:tcPr>
          <w:p w14:paraId="76B7ADEF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2" w:type="pct"/>
            <w:tcBorders>
              <w:right w:val="single" w:sz="4" w:space="0" w:color="auto"/>
            </w:tcBorders>
            <w:vAlign w:val="center"/>
          </w:tcPr>
          <w:p w14:paraId="7F98AC0C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2" w:type="pct"/>
            <w:tcBorders>
              <w:left w:val="single" w:sz="4" w:space="0" w:color="auto"/>
            </w:tcBorders>
            <w:vAlign w:val="center"/>
          </w:tcPr>
          <w:p w14:paraId="1F0D3CE0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48" w:type="pct"/>
            <w:tcBorders>
              <w:right w:val="single" w:sz="4" w:space="0" w:color="auto"/>
            </w:tcBorders>
            <w:vAlign w:val="center"/>
          </w:tcPr>
          <w:p w14:paraId="59E5223C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5" w:type="pct"/>
            <w:tcBorders>
              <w:left w:val="single" w:sz="4" w:space="0" w:color="auto"/>
            </w:tcBorders>
            <w:vAlign w:val="center"/>
          </w:tcPr>
          <w:p w14:paraId="465F2EDD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2" w:type="pct"/>
            <w:tcBorders>
              <w:right w:val="single" w:sz="4" w:space="0" w:color="auto"/>
            </w:tcBorders>
            <w:vAlign w:val="center"/>
          </w:tcPr>
          <w:p w14:paraId="4C95B0AC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1" w:type="pct"/>
            <w:tcBorders>
              <w:left w:val="single" w:sz="4" w:space="0" w:color="auto"/>
            </w:tcBorders>
            <w:vAlign w:val="center"/>
          </w:tcPr>
          <w:p w14:paraId="25A78EE7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vAlign w:val="center"/>
          </w:tcPr>
          <w:p w14:paraId="2821F448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1" w:type="pct"/>
            <w:tcBorders>
              <w:left w:val="single" w:sz="4" w:space="0" w:color="auto"/>
            </w:tcBorders>
            <w:vAlign w:val="center"/>
          </w:tcPr>
          <w:p w14:paraId="39A5491F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2" w:type="pct"/>
            <w:vAlign w:val="center"/>
          </w:tcPr>
          <w:p w14:paraId="14F2F15F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305" w:type="pct"/>
            <w:vAlign w:val="center"/>
          </w:tcPr>
          <w:p w14:paraId="47228B73" w14:textId="77777777" w:rsidR="009E3985" w:rsidRPr="00CF0C67" w:rsidRDefault="00000000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221E1F"/>
                <w:sz w:val="24"/>
                <w:szCs w:val="24"/>
              </w:rPr>
            </w:pPr>
            <w:hyperlink w:anchor="_ENREF_6" w:tooltip="Banik, 2021 #449" w:history="1">
              <w:r w:rsidR="009E3985" w:rsidRPr="00CF0C67">
                <w:rPr>
                  <w:rFonts w:asciiTheme="majorBidi" w:hAnsiTheme="majorBidi" w:cstheme="majorBidi"/>
                  <w:color w:val="221E1F"/>
                  <w:sz w:val="24"/>
                  <w:szCs w:val="24"/>
                </w:rPr>
                <w:fldChar w:fldCharType="begin"/>
              </w:r>
              <w:r w:rsidR="009E3985">
                <w:rPr>
                  <w:rFonts w:asciiTheme="majorBidi" w:hAnsiTheme="majorBidi" w:cstheme="majorBidi"/>
                  <w:color w:val="221E1F"/>
                  <w:sz w:val="24"/>
                  <w:szCs w:val="24"/>
                </w:rPr>
                <w:instrText xml:space="preserve"> ADDIN EN.CITE &lt;EndNote&gt;&lt;Cite&gt;&lt;Author&gt;Banik&lt;/Author&gt;&lt;Year&gt;2021&lt;/Year&gt;&lt;RecNum&gt;449&lt;/RecNum&gt;&lt;DisplayText&gt;&lt;style face="superscript"&gt;6&lt;/style&gt;&lt;/DisplayText&gt;&lt;record&gt;&lt;rec-number&gt;449&lt;/rec-number&gt;&lt;foreign-keys&gt;&lt;key app="EN" db-id="pzs5w9r5fdwdese00dpxe2sna0059v5expse"&gt;449&lt;/key&gt;&lt;/foreign-keys&gt;&lt;ref-type name="Journal Article"&gt;17&lt;/ref-type&gt;&lt;contributors&gt;&lt;authors&gt;&lt;author&gt;Banik, Sudip Datta&lt;/author&gt;&lt;author&gt;Pacheco-Pantoja, Elda&lt;/author&gt;&lt;author&gt;Lugo, Roberto&lt;/author&gt;&lt;author&gt;Gómez-de-Regil, Lizzette&lt;/author&gt;&lt;author&gt;Aké, Rodolfo Chim&lt;/author&gt;&lt;author&gt;González, Rosa María Méndez&lt;/author&gt;&lt;author&gt;Solis, Ana Ligia Gutiérrez&lt;/author&gt;&lt;/authors&gt;&lt;/contributors&gt;&lt;titles&gt;&lt;title&gt;Evaluation of anthropometric indices and lipid parameters to predict metabolic syndrome among adults in Mexico&lt;/title&gt;&lt;secondary-title&gt;Diabetes, Metabolic Syndrome and Obesity: Targets and Therapy&lt;/secondary-title&gt;&lt;/titles&gt;&lt;periodical&gt;&lt;full-title&gt;Diabetes, metabolic syndrome and obesity: targets and therapy&lt;/full-title&gt;&lt;/periodical&gt;&lt;pages&gt;691&lt;/pages&gt;&lt;volume&gt;14&lt;/volume&gt;&lt;dates&gt;&lt;year&gt;2021&lt;/year&gt;&lt;/dates&gt;&lt;publisher&gt;Dove Press&lt;/publisher&gt;&lt;urls&gt;&lt;/urls&gt;&lt;/record&gt;&lt;/Cite&gt;&lt;/EndNote&gt;</w:instrText>
              </w:r>
              <w:r w:rsidR="009E3985" w:rsidRPr="00CF0C67">
                <w:rPr>
                  <w:rFonts w:asciiTheme="majorBidi" w:hAnsiTheme="majorBidi" w:cstheme="majorBidi"/>
                  <w:color w:val="221E1F"/>
                  <w:sz w:val="24"/>
                  <w:szCs w:val="24"/>
                </w:rPr>
                <w:fldChar w:fldCharType="separate"/>
              </w:r>
              <w:r w:rsidR="009E3985" w:rsidRPr="00D21E59">
                <w:rPr>
                  <w:rFonts w:asciiTheme="majorBidi" w:hAnsiTheme="majorBidi" w:cstheme="majorBidi"/>
                  <w:noProof/>
                  <w:color w:val="221E1F"/>
                  <w:sz w:val="24"/>
                  <w:szCs w:val="24"/>
                  <w:vertAlign w:val="superscript"/>
                </w:rPr>
                <w:t>6</w:t>
              </w:r>
              <w:r w:rsidR="009E3985" w:rsidRPr="00CF0C67">
                <w:rPr>
                  <w:rFonts w:asciiTheme="majorBidi" w:hAnsiTheme="majorBidi" w:cstheme="majorBidi"/>
                  <w:color w:val="221E1F"/>
                  <w:sz w:val="24"/>
                  <w:szCs w:val="24"/>
                </w:rPr>
                <w:fldChar w:fldCharType="end"/>
              </w:r>
            </w:hyperlink>
          </w:p>
        </w:tc>
      </w:tr>
      <w:tr w:rsidR="009E3985" w:rsidRPr="00CF0C67" w14:paraId="430CF48C" w14:textId="77777777" w:rsidTr="009E3985">
        <w:trPr>
          <w:trHeight w:val="140"/>
        </w:trPr>
        <w:tc>
          <w:tcPr>
            <w:tcW w:w="669" w:type="pct"/>
            <w:gridSpan w:val="2"/>
            <w:tcBorders>
              <w:bottom w:val="single" w:sz="4" w:space="0" w:color="auto"/>
            </w:tcBorders>
            <w:vAlign w:val="center"/>
          </w:tcPr>
          <w:p w14:paraId="7B084D6A" w14:textId="77777777" w:rsidR="009E3985" w:rsidRPr="00FF0AC4" w:rsidRDefault="009E3985" w:rsidP="009E3985">
            <w:pPr>
              <w:wordWrap/>
              <w:adjustRightInd w:val="0"/>
              <w:spacing w:after="0" w:line="360" w:lineRule="auto"/>
              <w:jc w:val="left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F0AC4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Egypt</w:t>
            </w:r>
          </w:p>
        </w:tc>
        <w:tc>
          <w:tcPr>
            <w:tcW w:w="475" w:type="pct"/>
            <w:tcBorders>
              <w:bottom w:val="single" w:sz="4" w:space="0" w:color="auto"/>
            </w:tcBorders>
            <w:vAlign w:val="center"/>
          </w:tcPr>
          <w:p w14:paraId="088ECBAE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(2009-2011)</w:t>
            </w:r>
          </w:p>
        </w:tc>
        <w:tc>
          <w:tcPr>
            <w:tcW w:w="251" w:type="pct"/>
            <w:tcBorders>
              <w:bottom w:val="single" w:sz="4" w:space="0" w:color="auto"/>
            </w:tcBorders>
            <w:vAlign w:val="center"/>
          </w:tcPr>
          <w:p w14:paraId="6928828A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2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224C80A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1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81B14A7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100.5</w:t>
            </w:r>
          </w:p>
        </w:tc>
        <w:tc>
          <w:tcPr>
            <w:tcW w:w="279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1F42F85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96.25</w:t>
            </w:r>
          </w:p>
        </w:tc>
        <w:tc>
          <w:tcPr>
            <w:tcW w:w="252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FCFEDE3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2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6E5FEF3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2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0726FD1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4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1387FF7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5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F91F4CF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2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D696703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1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FA1D8AB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3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021E9D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1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F5D6F0A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2" w:type="pct"/>
            <w:tcBorders>
              <w:bottom w:val="single" w:sz="4" w:space="0" w:color="auto"/>
            </w:tcBorders>
            <w:vAlign w:val="center"/>
          </w:tcPr>
          <w:p w14:paraId="0E798BCE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305" w:type="pct"/>
            <w:tcBorders>
              <w:bottom w:val="single" w:sz="4" w:space="0" w:color="auto"/>
            </w:tcBorders>
            <w:vAlign w:val="center"/>
          </w:tcPr>
          <w:p w14:paraId="67F52803" w14:textId="77777777" w:rsidR="009E3985" w:rsidRPr="00CF0C67" w:rsidRDefault="00000000" w:rsidP="009E3985">
            <w:pPr>
              <w:wordWrap/>
              <w:adjustRightInd w:val="0"/>
              <w:spacing w:after="0" w:line="360" w:lineRule="auto"/>
              <w:jc w:val="center"/>
              <w:rPr>
                <w:rFonts w:asciiTheme="majorBidi" w:hAnsiTheme="majorBidi" w:cstheme="majorBidi"/>
                <w:color w:val="221E1F"/>
                <w:sz w:val="24"/>
                <w:szCs w:val="24"/>
              </w:rPr>
            </w:pPr>
            <w:hyperlink w:anchor="_ENREF_7" w:tooltip="Assaad-Khalil, 2015 #447" w:history="1">
              <w:r w:rsidR="009E3985" w:rsidRPr="00CF0C67">
                <w:rPr>
                  <w:rFonts w:asciiTheme="majorBidi" w:hAnsiTheme="majorBidi" w:cstheme="majorBidi"/>
                  <w:color w:val="221E1F"/>
                  <w:sz w:val="24"/>
                  <w:szCs w:val="24"/>
                </w:rPr>
                <w:fldChar w:fldCharType="begin"/>
              </w:r>
              <w:r w:rsidR="009E3985">
                <w:rPr>
                  <w:rFonts w:asciiTheme="majorBidi" w:hAnsiTheme="majorBidi" w:cstheme="majorBidi"/>
                  <w:color w:val="221E1F"/>
                  <w:sz w:val="24"/>
                  <w:szCs w:val="24"/>
                </w:rPr>
                <w:instrText xml:space="preserve"> ADDIN EN.CITE &lt;EndNote&gt;&lt;Cite&gt;&lt;Author&gt;Assaad-Khalil&lt;/Author&gt;&lt;Year&gt;2015&lt;/Year&gt;&lt;RecNum&gt;447&lt;/RecNum&gt;&lt;DisplayText&gt;&lt;style face="superscript"&gt;7&lt;/style&gt;&lt;/DisplayText&gt;&lt;record&gt;&lt;rec-number&gt;447&lt;/rec-number&gt;&lt;foreign-keys&gt;&lt;key app="EN" db-id="pzs5w9r5fdwdese00dpxe2sna0059v5expse"&gt;447&lt;/key&gt;&lt;/foreign-keys&gt;&lt;ref-type name="Journal Article"&gt;17&lt;/ref-type&gt;&lt;contributors&gt;&lt;authors&gt;&lt;author&gt;Assaad-Khalil, Samir H.&lt;/author&gt;&lt;author&gt;Mikhail, Magued M.&lt;/author&gt;&lt;author&gt;Aati, Talaat Abdel&lt;/author&gt;&lt;author&gt;Zaki, Adel&lt;/author&gt;&lt;author&gt;Helmy, Myriam A.&lt;/author&gt;&lt;author&gt;Megallaa, Magdy H.&lt;/author&gt;&lt;author&gt;Hassanien, Rehab&lt;/author&gt;&lt;author&gt;Rohoma, Kamel H.&lt;/author&gt;&lt;/authors&gt;&lt;/contributors&gt;&lt;titles&gt;&lt;title&gt;Optimal waist circumference cutoff points for the determination of abdominal obesity and detection of cardiovascular risk factors among adult Egyptian population&lt;/title&gt;&lt;secondary-title&gt;Indian journal of endocrinology and metabolism&lt;/secondary-title&gt;&lt;/titles&gt;&lt;periodical&gt;&lt;full-title&gt;Indian journal of endocrinology and metabolism&lt;/full-title&gt;&lt;/periodical&gt;&lt;pages&gt;804&lt;/pages&gt;&lt;volume&gt;19&lt;/volume&gt;&lt;number&gt;6&lt;/number&gt;&lt;dates&gt;&lt;year&gt;2015&lt;/year&gt;&lt;/dates&gt;&lt;publisher&gt;Wolters Kluwer--Medknow Publications&lt;/publisher&gt;&lt;urls&gt;&lt;/urls&gt;&lt;/record&gt;&lt;/Cite&gt;&lt;/EndNote&gt;</w:instrText>
              </w:r>
              <w:r w:rsidR="009E3985" w:rsidRPr="00CF0C67">
                <w:rPr>
                  <w:rFonts w:asciiTheme="majorBidi" w:hAnsiTheme="majorBidi" w:cstheme="majorBidi"/>
                  <w:color w:val="221E1F"/>
                  <w:sz w:val="24"/>
                  <w:szCs w:val="24"/>
                </w:rPr>
                <w:fldChar w:fldCharType="separate"/>
              </w:r>
              <w:r w:rsidR="009E3985" w:rsidRPr="00D21E59">
                <w:rPr>
                  <w:rFonts w:asciiTheme="majorBidi" w:hAnsiTheme="majorBidi" w:cstheme="majorBidi"/>
                  <w:noProof/>
                  <w:color w:val="221E1F"/>
                  <w:sz w:val="24"/>
                  <w:szCs w:val="24"/>
                  <w:vertAlign w:val="superscript"/>
                </w:rPr>
                <w:t>7</w:t>
              </w:r>
              <w:r w:rsidR="009E3985" w:rsidRPr="00CF0C67">
                <w:rPr>
                  <w:rFonts w:asciiTheme="majorBidi" w:hAnsiTheme="majorBidi" w:cstheme="majorBidi"/>
                  <w:color w:val="221E1F"/>
                  <w:sz w:val="24"/>
                  <w:szCs w:val="24"/>
                </w:rPr>
                <w:fldChar w:fldCharType="end"/>
              </w:r>
            </w:hyperlink>
          </w:p>
        </w:tc>
      </w:tr>
      <w:tr w:rsidR="009E3985" w:rsidRPr="00CF0C67" w14:paraId="43BD89D1" w14:textId="77777777" w:rsidTr="009E3985">
        <w:trPr>
          <w:trHeight w:val="323"/>
        </w:trPr>
        <w:tc>
          <w:tcPr>
            <w:tcW w:w="5000" w:type="pct"/>
            <w:gridSpan w:val="18"/>
            <w:tcBorders>
              <w:top w:val="single" w:sz="4" w:space="0" w:color="auto"/>
            </w:tcBorders>
            <w:vAlign w:val="center"/>
          </w:tcPr>
          <w:p w14:paraId="630E898E" w14:textId="77777777" w:rsidR="009E3985" w:rsidRDefault="009E3985" w:rsidP="009E3985">
            <w:pPr>
              <w:wordWrap/>
              <w:adjustRightInd w:val="0"/>
              <w:spacing w:after="0" w:line="360" w:lineRule="auto"/>
              <w:rPr>
                <w:rFonts w:asciiTheme="majorBidi" w:hAnsiTheme="majorBidi" w:cstheme="majorBidi"/>
                <w:color w:val="221E1F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221E1F"/>
                <w:sz w:val="24"/>
                <w:szCs w:val="24"/>
              </w:rPr>
              <w:t xml:space="preserve">M: Males, F: Females. Data were derived from previously published studies. </w:t>
            </w:r>
          </w:p>
          <w:p w14:paraId="3FBFFF9A" w14:textId="77777777" w:rsidR="009E3985" w:rsidRPr="00CF0C67" w:rsidRDefault="009E3985" w:rsidP="009E3985">
            <w:pPr>
              <w:wordWrap/>
              <w:adjustRightInd w:val="0"/>
              <w:spacing w:after="0" w:line="360" w:lineRule="auto"/>
              <w:rPr>
                <w:rFonts w:asciiTheme="majorBidi" w:hAnsiTheme="majorBidi" w:cstheme="majorBidi"/>
                <w:color w:val="221E1F"/>
                <w:sz w:val="24"/>
                <w:szCs w:val="24"/>
              </w:rPr>
            </w:pPr>
            <w:r w:rsidRPr="00CF0C67">
              <w:rPr>
                <w:rFonts w:asciiTheme="majorBidi" w:hAnsiTheme="majorBidi" w:cstheme="majorBidi"/>
                <w:sz w:val="24"/>
                <w:szCs w:val="24"/>
              </w:rPr>
              <w:t xml:space="preserve">BMI: body mass index; WC: waist circumference; BRI: body roundness index; ABSI: a body shape index; VAI: Visceral Adiposity Index; CI: conicity index; </w:t>
            </w:r>
            <w:proofErr w:type="spellStart"/>
            <w:r w:rsidRPr="00CF0C67">
              <w:rPr>
                <w:rFonts w:asciiTheme="majorBidi" w:hAnsiTheme="majorBidi" w:cstheme="majorBidi"/>
                <w:sz w:val="24"/>
                <w:szCs w:val="24"/>
              </w:rPr>
              <w:t>WHtR</w:t>
            </w:r>
            <w:proofErr w:type="spellEnd"/>
            <w:r w:rsidRPr="00CF0C67">
              <w:rPr>
                <w:rFonts w:asciiTheme="majorBidi" w:hAnsiTheme="majorBidi" w:cstheme="majorBidi"/>
                <w:sz w:val="24"/>
                <w:szCs w:val="24"/>
              </w:rPr>
              <w:t>: Waist-to-height ratio.</w:t>
            </w:r>
          </w:p>
        </w:tc>
      </w:tr>
    </w:tbl>
    <w:p w14:paraId="22A6A44B" w14:textId="6AB841DB" w:rsidR="0025034E" w:rsidRPr="0025034E" w:rsidRDefault="00874BF5" w:rsidP="0025034E">
      <w:pPr>
        <w:wordWrap/>
        <w:spacing w:after="0" w:line="48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supplemen</w:t>
      </w:r>
      <w:r w:rsidR="003F18B0" w:rsidRPr="00F12C87">
        <w:rPr>
          <w:rFonts w:ascii="Times New Roman" w:hAnsi="Times New Roman" w:cs="Times New Roman"/>
          <w:b/>
          <w:caps/>
          <w:sz w:val="24"/>
          <w:szCs w:val="24"/>
        </w:rPr>
        <w:t>T</w:t>
      </w:r>
      <w:r>
        <w:rPr>
          <w:rFonts w:ascii="Times New Roman" w:hAnsi="Times New Roman" w:cs="Times New Roman"/>
          <w:b/>
          <w:caps/>
          <w:sz w:val="24"/>
          <w:szCs w:val="24"/>
        </w:rPr>
        <w:t>ary materia</w:t>
      </w:r>
      <w:r w:rsidR="0025034E">
        <w:rPr>
          <w:rFonts w:ascii="Times New Roman" w:hAnsi="Times New Roman" w:cs="Times New Roman"/>
          <w:b/>
          <w:caps/>
          <w:sz w:val="24"/>
          <w:szCs w:val="24"/>
        </w:rPr>
        <w:t>l</w:t>
      </w:r>
    </w:p>
    <w:p w14:paraId="77986ABC" w14:textId="2D8E8D5B" w:rsidR="00D34F44" w:rsidRDefault="00D34F44" w:rsidP="00874BF5">
      <w:pPr>
        <w:wordWrap/>
        <w:spacing w:after="0" w:line="480" w:lineRule="auto"/>
        <w:rPr>
          <w:rFonts w:ascii="Times New Roman" w:hAnsi="Times New Roman" w:cs="Times New Roman"/>
          <w:b/>
          <w:caps/>
          <w:sz w:val="24"/>
          <w:szCs w:val="24"/>
        </w:rPr>
      </w:pPr>
    </w:p>
    <w:p w14:paraId="50D1AED6" w14:textId="29F3DAE6" w:rsidR="00D21E59" w:rsidRPr="009E3985" w:rsidRDefault="009E3985" w:rsidP="00D21E5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E3985">
        <w:rPr>
          <w:rFonts w:ascii="Times New Roman" w:hAnsi="Times New Roman" w:cs="Times New Roman"/>
          <w:b/>
          <w:bCs/>
          <w:sz w:val="28"/>
          <w:szCs w:val="28"/>
          <w:u w:val="single"/>
        </w:rPr>
        <w:t>References</w:t>
      </w:r>
    </w:p>
    <w:p w14:paraId="27891870" w14:textId="77777777" w:rsidR="00D21E59" w:rsidRPr="009E3985" w:rsidRDefault="00D21E59" w:rsidP="00D21E59">
      <w:pPr>
        <w:pStyle w:val="EndNoteBibliography"/>
        <w:spacing w:after="0"/>
        <w:ind w:left="720" w:hanging="720"/>
        <w:rPr>
          <w:rFonts w:asciiTheme="majorBidi" w:hAnsiTheme="majorBidi" w:cstheme="majorBidi"/>
          <w:sz w:val="24"/>
          <w:szCs w:val="24"/>
        </w:rPr>
      </w:pPr>
      <w:r w:rsidRPr="009E3985">
        <w:rPr>
          <w:rFonts w:asciiTheme="majorBidi" w:hAnsiTheme="majorBidi" w:cstheme="majorBidi"/>
          <w:sz w:val="24"/>
          <w:szCs w:val="24"/>
        </w:rPr>
        <w:lastRenderedPageBreak/>
        <w:fldChar w:fldCharType="begin"/>
      </w:r>
      <w:r w:rsidRPr="009E3985">
        <w:rPr>
          <w:rFonts w:asciiTheme="majorBidi" w:hAnsiTheme="majorBidi" w:cstheme="majorBidi"/>
          <w:sz w:val="24"/>
          <w:szCs w:val="24"/>
        </w:rPr>
        <w:instrText xml:space="preserve"> ADDIN EN.REFLIST </w:instrText>
      </w:r>
      <w:r w:rsidRPr="009E3985">
        <w:rPr>
          <w:rFonts w:asciiTheme="majorBidi" w:hAnsiTheme="majorBidi" w:cstheme="majorBidi"/>
          <w:sz w:val="24"/>
          <w:szCs w:val="24"/>
        </w:rPr>
        <w:fldChar w:fldCharType="separate"/>
      </w:r>
      <w:bookmarkStart w:id="2" w:name="_ENREF_1"/>
      <w:r w:rsidRPr="009E3985">
        <w:rPr>
          <w:rFonts w:asciiTheme="majorBidi" w:hAnsiTheme="majorBidi" w:cstheme="majorBidi"/>
          <w:sz w:val="24"/>
          <w:szCs w:val="24"/>
        </w:rPr>
        <w:t>1</w:t>
      </w:r>
      <w:r w:rsidRPr="009E3985">
        <w:rPr>
          <w:rFonts w:asciiTheme="majorBidi" w:hAnsiTheme="majorBidi" w:cstheme="majorBidi"/>
          <w:sz w:val="24"/>
          <w:szCs w:val="24"/>
        </w:rPr>
        <w:tab/>
        <w:t>Głuszek, S.</w:t>
      </w:r>
      <w:r w:rsidRPr="009E3985">
        <w:rPr>
          <w:rFonts w:asciiTheme="majorBidi" w:hAnsiTheme="majorBidi" w:cstheme="majorBidi"/>
          <w:i/>
          <w:sz w:val="24"/>
          <w:szCs w:val="24"/>
        </w:rPr>
        <w:t xml:space="preserve"> et al.</w:t>
      </w:r>
      <w:r w:rsidRPr="009E3985">
        <w:rPr>
          <w:rFonts w:asciiTheme="majorBidi" w:hAnsiTheme="majorBidi" w:cstheme="majorBidi"/>
          <w:sz w:val="24"/>
          <w:szCs w:val="24"/>
        </w:rPr>
        <w:t xml:space="preserve"> Anthropometric indices and cut-off points in the diagnosis of metabolic disorders. </w:t>
      </w:r>
      <w:r w:rsidRPr="009E3985">
        <w:rPr>
          <w:rFonts w:asciiTheme="majorBidi" w:hAnsiTheme="majorBidi" w:cstheme="majorBidi"/>
          <w:i/>
          <w:sz w:val="24"/>
          <w:szCs w:val="24"/>
        </w:rPr>
        <w:t>PloS one</w:t>
      </w:r>
      <w:r w:rsidRPr="009E3985">
        <w:rPr>
          <w:rFonts w:asciiTheme="majorBidi" w:hAnsiTheme="majorBidi" w:cstheme="majorBidi"/>
          <w:sz w:val="24"/>
          <w:szCs w:val="24"/>
        </w:rPr>
        <w:t xml:space="preserve"> </w:t>
      </w:r>
      <w:r w:rsidRPr="009E3985">
        <w:rPr>
          <w:rFonts w:asciiTheme="majorBidi" w:hAnsiTheme="majorBidi" w:cstheme="majorBidi"/>
          <w:b/>
          <w:sz w:val="24"/>
          <w:szCs w:val="24"/>
        </w:rPr>
        <w:t>15</w:t>
      </w:r>
      <w:r w:rsidRPr="009E3985">
        <w:rPr>
          <w:rFonts w:asciiTheme="majorBidi" w:hAnsiTheme="majorBidi" w:cstheme="majorBidi"/>
          <w:sz w:val="24"/>
          <w:szCs w:val="24"/>
        </w:rPr>
        <w:t>, e0235121 (2020).</w:t>
      </w:r>
      <w:bookmarkEnd w:id="2"/>
    </w:p>
    <w:p w14:paraId="3A5C9A9B" w14:textId="77777777" w:rsidR="00D21E59" w:rsidRPr="009E3985" w:rsidRDefault="00D21E59" w:rsidP="00D21E59">
      <w:pPr>
        <w:pStyle w:val="EndNoteBibliography"/>
        <w:spacing w:after="0"/>
        <w:ind w:left="720" w:hanging="720"/>
        <w:rPr>
          <w:rFonts w:asciiTheme="majorBidi" w:hAnsiTheme="majorBidi" w:cstheme="majorBidi"/>
          <w:sz w:val="24"/>
          <w:szCs w:val="24"/>
        </w:rPr>
      </w:pPr>
      <w:bookmarkStart w:id="3" w:name="_ENREF_2"/>
      <w:r w:rsidRPr="009E3985">
        <w:rPr>
          <w:rFonts w:asciiTheme="majorBidi" w:hAnsiTheme="majorBidi" w:cstheme="majorBidi"/>
          <w:sz w:val="24"/>
          <w:szCs w:val="24"/>
        </w:rPr>
        <w:t>2</w:t>
      </w:r>
      <w:r w:rsidRPr="009E3985">
        <w:rPr>
          <w:rFonts w:asciiTheme="majorBidi" w:hAnsiTheme="majorBidi" w:cstheme="majorBidi"/>
          <w:sz w:val="24"/>
          <w:szCs w:val="24"/>
        </w:rPr>
        <w:tab/>
        <w:t>Gomez-Marcos, M. A.</w:t>
      </w:r>
      <w:r w:rsidRPr="009E3985">
        <w:rPr>
          <w:rFonts w:asciiTheme="majorBidi" w:hAnsiTheme="majorBidi" w:cstheme="majorBidi"/>
          <w:i/>
          <w:sz w:val="24"/>
          <w:szCs w:val="24"/>
        </w:rPr>
        <w:t xml:space="preserve"> et al.</w:t>
      </w:r>
      <w:r w:rsidRPr="009E3985">
        <w:rPr>
          <w:rFonts w:asciiTheme="majorBidi" w:hAnsiTheme="majorBidi" w:cstheme="majorBidi"/>
          <w:sz w:val="24"/>
          <w:szCs w:val="24"/>
        </w:rPr>
        <w:t xml:space="preserve"> Capacity adiposity indices to identify metabolic syndrome in subjects with intermediate cardiovascular risk (MARK study). </w:t>
      </w:r>
      <w:r w:rsidRPr="009E3985">
        <w:rPr>
          <w:rFonts w:asciiTheme="majorBidi" w:hAnsiTheme="majorBidi" w:cstheme="majorBidi"/>
          <w:i/>
          <w:sz w:val="24"/>
          <w:szCs w:val="24"/>
        </w:rPr>
        <w:t>PLoS One</w:t>
      </w:r>
      <w:r w:rsidRPr="009E3985">
        <w:rPr>
          <w:rFonts w:asciiTheme="majorBidi" w:hAnsiTheme="majorBidi" w:cstheme="majorBidi"/>
          <w:sz w:val="24"/>
          <w:szCs w:val="24"/>
        </w:rPr>
        <w:t xml:space="preserve"> </w:t>
      </w:r>
      <w:r w:rsidRPr="009E3985">
        <w:rPr>
          <w:rFonts w:asciiTheme="majorBidi" w:hAnsiTheme="majorBidi" w:cstheme="majorBidi"/>
          <w:b/>
          <w:sz w:val="24"/>
          <w:szCs w:val="24"/>
        </w:rPr>
        <w:t>14</w:t>
      </w:r>
      <w:r w:rsidRPr="009E3985">
        <w:rPr>
          <w:rFonts w:asciiTheme="majorBidi" w:hAnsiTheme="majorBidi" w:cstheme="majorBidi"/>
          <w:sz w:val="24"/>
          <w:szCs w:val="24"/>
        </w:rPr>
        <w:t>, e0209992 (2019).</w:t>
      </w:r>
      <w:bookmarkEnd w:id="3"/>
    </w:p>
    <w:p w14:paraId="20009D46" w14:textId="77777777" w:rsidR="00D21E59" w:rsidRPr="009E3985" w:rsidRDefault="00D21E59" w:rsidP="00D21E59">
      <w:pPr>
        <w:pStyle w:val="EndNoteBibliography"/>
        <w:spacing w:after="0"/>
        <w:ind w:left="720" w:hanging="720"/>
        <w:rPr>
          <w:rFonts w:asciiTheme="majorBidi" w:hAnsiTheme="majorBidi" w:cstheme="majorBidi"/>
          <w:sz w:val="24"/>
          <w:szCs w:val="24"/>
        </w:rPr>
      </w:pPr>
      <w:bookmarkStart w:id="4" w:name="_ENREF_3"/>
      <w:r w:rsidRPr="009E3985">
        <w:rPr>
          <w:rFonts w:asciiTheme="majorBidi" w:hAnsiTheme="majorBidi" w:cstheme="majorBidi"/>
          <w:sz w:val="24"/>
          <w:szCs w:val="24"/>
        </w:rPr>
        <w:t>3</w:t>
      </w:r>
      <w:r w:rsidRPr="009E3985">
        <w:rPr>
          <w:rFonts w:asciiTheme="majorBidi" w:hAnsiTheme="majorBidi" w:cstheme="majorBidi"/>
          <w:sz w:val="24"/>
          <w:szCs w:val="24"/>
        </w:rPr>
        <w:tab/>
        <w:t>Cho, S.</w:t>
      </w:r>
      <w:r w:rsidRPr="009E3985">
        <w:rPr>
          <w:rFonts w:asciiTheme="majorBidi" w:hAnsiTheme="majorBidi" w:cstheme="majorBidi"/>
          <w:i/>
          <w:sz w:val="24"/>
          <w:szCs w:val="24"/>
        </w:rPr>
        <w:t xml:space="preserve"> et al.</w:t>
      </w:r>
      <w:r w:rsidRPr="009E3985">
        <w:rPr>
          <w:rFonts w:asciiTheme="majorBidi" w:hAnsiTheme="majorBidi" w:cstheme="majorBidi"/>
          <w:sz w:val="24"/>
          <w:szCs w:val="24"/>
        </w:rPr>
        <w:t xml:space="preserve"> Optimal cutoff values for anthropometric indices of obesity as discriminators of metabolic abnormalities in Korea: results from a Health Examinees study. </w:t>
      </w:r>
      <w:r w:rsidRPr="009E3985">
        <w:rPr>
          <w:rFonts w:asciiTheme="majorBidi" w:hAnsiTheme="majorBidi" w:cstheme="majorBidi"/>
          <w:i/>
          <w:sz w:val="24"/>
          <w:szCs w:val="24"/>
        </w:rPr>
        <w:t>BMC Public Health</w:t>
      </w:r>
      <w:r w:rsidRPr="009E3985">
        <w:rPr>
          <w:rFonts w:asciiTheme="majorBidi" w:hAnsiTheme="majorBidi" w:cstheme="majorBidi"/>
          <w:sz w:val="24"/>
          <w:szCs w:val="24"/>
        </w:rPr>
        <w:t xml:space="preserve"> </w:t>
      </w:r>
      <w:r w:rsidRPr="009E3985">
        <w:rPr>
          <w:rFonts w:asciiTheme="majorBidi" w:hAnsiTheme="majorBidi" w:cstheme="majorBidi"/>
          <w:b/>
          <w:sz w:val="24"/>
          <w:szCs w:val="24"/>
        </w:rPr>
        <w:t>21</w:t>
      </w:r>
      <w:r w:rsidRPr="009E3985">
        <w:rPr>
          <w:rFonts w:asciiTheme="majorBidi" w:hAnsiTheme="majorBidi" w:cstheme="majorBidi"/>
          <w:sz w:val="24"/>
          <w:szCs w:val="24"/>
        </w:rPr>
        <w:t>, 1-8 (2021).</w:t>
      </w:r>
      <w:bookmarkEnd w:id="4"/>
    </w:p>
    <w:p w14:paraId="1BC42396" w14:textId="77777777" w:rsidR="00D21E59" w:rsidRPr="009E3985" w:rsidRDefault="00D21E59" w:rsidP="00D21E59">
      <w:pPr>
        <w:pStyle w:val="EndNoteBibliography"/>
        <w:spacing w:after="0"/>
        <w:ind w:left="720" w:hanging="720"/>
        <w:rPr>
          <w:rFonts w:asciiTheme="majorBidi" w:hAnsiTheme="majorBidi" w:cstheme="majorBidi"/>
          <w:sz w:val="24"/>
          <w:szCs w:val="24"/>
        </w:rPr>
      </w:pPr>
      <w:bookmarkStart w:id="5" w:name="_ENREF_4"/>
      <w:r w:rsidRPr="009E3985">
        <w:rPr>
          <w:rFonts w:asciiTheme="majorBidi" w:hAnsiTheme="majorBidi" w:cstheme="majorBidi"/>
          <w:sz w:val="24"/>
          <w:szCs w:val="24"/>
        </w:rPr>
        <w:t>4</w:t>
      </w:r>
      <w:r w:rsidRPr="009E3985">
        <w:rPr>
          <w:rFonts w:asciiTheme="majorBidi" w:hAnsiTheme="majorBidi" w:cstheme="majorBidi"/>
          <w:sz w:val="24"/>
          <w:szCs w:val="24"/>
        </w:rPr>
        <w:tab/>
        <w:t>Oguoma, V. M.</w:t>
      </w:r>
      <w:r w:rsidRPr="009E3985">
        <w:rPr>
          <w:rFonts w:asciiTheme="majorBidi" w:hAnsiTheme="majorBidi" w:cstheme="majorBidi"/>
          <w:i/>
          <w:sz w:val="24"/>
          <w:szCs w:val="24"/>
        </w:rPr>
        <w:t xml:space="preserve"> et al.</w:t>
      </w:r>
      <w:r w:rsidRPr="009E3985">
        <w:rPr>
          <w:rFonts w:asciiTheme="majorBidi" w:hAnsiTheme="majorBidi" w:cstheme="majorBidi"/>
          <w:sz w:val="24"/>
          <w:szCs w:val="24"/>
        </w:rPr>
        <w:t xml:space="preserve"> Anthropometric cut-points for discriminating diabetes and the metabolic syndrome among Arabs and Asians: the Kuwait Diabetes Epidemiology Program. </w:t>
      </w:r>
      <w:r w:rsidRPr="009E3985">
        <w:rPr>
          <w:rFonts w:asciiTheme="majorBidi" w:hAnsiTheme="majorBidi" w:cstheme="majorBidi"/>
          <w:i/>
          <w:sz w:val="24"/>
          <w:szCs w:val="24"/>
        </w:rPr>
        <w:t>British Journal of Nutrition</w:t>
      </w:r>
      <w:r w:rsidRPr="009E3985">
        <w:rPr>
          <w:rFonts w:asciiTheme="majorBidi" w:hAnsiTheme="majorBidi" w:cstheme="majorBidi"/>
          <w:sz w:val="24"/>
          <w:szCs w:val="24"/>
        </w:rPr>
        <w:t xml:space="preserve"> </w:t>
      </w:r>
      <w:r w:rsidRPr="009E3985">
        <w:rPr>
          <w:rFonts w:asciiTheme="majorBidi" w:hAnsiTheme="majorBidi" w:cstheme="majorBidi"/>
          <w:b/>
          <w:sz w:val="24"/>
          <w:szCs w:val="24"/>
        </w:rPr>
        <w:t>127</w:t>
      </w:r>
      <w:r w:rsidRPr="009E3985">
        <w:rPr>
          <w:rFonts w:asciiTheme="majorBidi" w:hAnsiTheme="majorBidi" w:cstheme="majorBidi"/>
          <w:sz w:val="24"/>
          <w:szCs w:val="24"/>
        </w:rPr>
        <w:t>, 92-102 (2022).</w:t>
      </w:r>
      <w:bookmarkEnd w:id="5"/>
    </w:p>
    <w:p w14:paraId="279DE123" w14:textId="77777777" w:rsidR="00D21E59" w:rsidRPr="009E3985" w:rsidRDefault="00D21E59" w:rsidP="00D21E59">
      <w:pPr>
        <w:pStyle w:val="EndNoteBibliography"/>
        <w:spacing w:after="0"/>
        <w:ind w:left="720" w:hanging="720"/>
        <w:rPr>
          <w:rFonts w:asciiTheme="majorBidi" w:hAnsiTheme="majorBidi" w:cstheme="majorBidi"/>
          <w:sz w:val="24"/>
          <w:szCs w:val="24"/>
        </w:rPr>
      </w:pPr>
      <w:bookmarkStart w:id="6" w:name="_ENREF_5"/>
      <w:r w:rsidRPr="009E3985">
        <w:rPr>
          <w:rFonts w:asciiTheme="majorBidi" w:hAnsiTheme="majorBidi" w:cstheme="majorBidi"/>
          <w:sz w:val="24"/>
          <w:szCs w:val="24"/>
        </w:rPr>
        <w:t>5</w:t>
      </w:r>
      <w:r w:rsidRPr="009E3985">
        <w:rPr>
          <w:rFonts w:asciiTheme="majorBidi" w:hAnsiTheme="majorBidi" w:cstheme="majorBidi"/>
          <w:sz w:val="24"/>
          <w:szCs w:val="24"/>
        </w:rPr>
        <w:tab/>
        <w:t>Al-Rubean, K.</w:t>
      </w:r>
      <w:r w:rsidRPr="009E3985">
        <w:rPr>
          <w:rFonts w:asciiTheme="majorBidi" w:hAnsiTheme="majorBidi" w:cstheme="majorBidi"/>
          <w:i/>
          <w:sz w:val="24"/>
          <w:szCs w:val="24"/>
        </w:rPr>
        <w:t xml:space="preserve"> et al.</w:t>
      </w:r>
      <w:r w:rsidRPr="009E3985">
        <w:rPr>
          <w:rFonts w:asciiTheme="majorBidi" w:hAnsiTheme="majorBidi" w:cstheme="majorBidi"/>
          <w:sz w:val="24"/>
          <w:szCs w:val="24"/>
        </w:rPr>
        <w:t xml:space="preserve"> Anthropometric cutoff values for predicting metabolic syndrome in a Saudi community: from the SAUDI-DM study. </w:t>
      </w:r>
      <w:r w:rsidRPr="009E3985">
        <w:rPr>
          <w:rFonts w:asciiTheme="majorBidi" w:hAnsiTheme="majorBidi" w:cstheme="majorBidi"/>
          <w:i/>
          <w:sz w:val="24"/>
          <w:szCs w:val="24"/>
        </w:rPr>
        <w:t>Annals of Saudi medicine</w:t>
      </w:r>
      <w:r w:rsidRPr="009E3985">
        <w:rPr>
          <w:rFonts w:asciiTheme="majorBidi" w:hAnsiTheme="majorBidi" w:cstheme="majorBidi"/>
          <w:sz w:val="24"/>
          <w:szCs w:val="24"/>
        </w:rPr>
        <w:t xml:space="preserve"> </w:t>
      </w:r>
      <w:r w:rsidRPr="009E3985">
        <w:rPr>
          <w:rFonts w:asciiTheme="majorBidi" w:hAnsiTheme="majorBidi" w:cstheme="majorBidi"/>
          <w:b/>
          <w:sz w:val="24"/>
          <w:szCs w:val="24"/>
        </w:rPr>
        <w:t>37</w:t>
      </w:r>
      <w:r w:rsidRPr="009E3985">
        <w:rPr>
          <w:rFonts w:asciiTheme="majorBidi" w:hAnsiTheme="majorBidi" w:cstheme="majorBidi"/>
          <w:sz w:val="24"/>
          <w:szCs w:val="24"/>
        </w:rPr>
        <w:t>, 21-30 (2017).</w:t>
      </w:r>
      <w:bookmarkEnd w:id="6"/>
    </w:p>
    <w:p w14:paraId="47470634" w14:textId="77777777" w:rsidR="00D21E59" w:rsidRPr="009E3985" w:rsidRDefault="00D21E59" w:rsidP="00D21E59">
      <w:pPr>
        <w:pStyle w:val="EndNoteBibliography"/>
        <w:spacing w:after="0"/>
        <w:ind w:left="720" w:hanging="720"/>
        <w:rPr>
          <w:rFonts w:asciiTheme="majorBidi" w:hAnsiTheme="majorBidi" w:cstheme="majorBidi"/>
          <w:sz w:val="24"/>
          <w:szCs w:val="24"/>
        </w:rPr>
      </w:pPr>
      <w:bookmarkStart w:id="7" w:name="_ENREF_6"/>
      <w:r w:rsidRPr="009E3985">
        <w:rPr>
          <w:rFonts w:asciiTheme="majorBidi" w:hAnsiTheme="majorBidi" w:cstheme="majorBidi"/>
          <w:sz w:val="24"/>
          <w:szCs w:val="24"/>
        </w:rPr>
        <w:t>6</w:t>
      </w:r>
      <w:r w:rsidRPr="009E3985">
        <w:rPr>
          <w:rFonts w:asciiTheme="majorBidi" w:hAnsiTheme="majorBidi" w:cstheme="majorBidi"/>
          <w:sz w:val="24"/>
          <w:szCs w:val="24"/>
        </w:rPr>
        <w:tab/>
        <w:t>Banik, S. D.</w:t>
      </w:r>
      <w:r w:rsidRPr="009E3985">
        <w:rPr>
          <w:rFonts w:asciiTheme="majorBidi" w:hAnsiTheme="majorBidi" w:cstheme="majorBidi"/>
          <w:i/>
          <w:sz w:val="24"/>
          <w:szCs w:val="24"/>
        </w:rPr>
        <w:t xml:space="preserve"> et al.</w:t>
      </w:r>
      <w:r w:rsidRPr="009E3985">
        <w:rPr>
          <w:rFonts w:asciiTheme="majorBidi" w:hAnsiTheme="majorBidi" w:cstheme="majorBidi"/>
          <w:sz w:val="24"/>
          <w:szCs w:val="24"/>
        </w:rPr>
        <w:t xml:space="preserve"> Evaluation of anthropometric indices and lipid parameters to predict metabolic syndrome among adults in Mexico. </w:t>
      </w:r>
      <w:r w:rsidRPr="009E3985">
        <w:rPr>
          <w:rFonts w:asciiTheme="majorBidi" w:hAnsiTheme="majorBidi" w:cstheme="majorBidi"/>
          <w:i/>
          <w:sz w:val="24"/>
          <w:szCs w:val="24"/>
        </w:rPr>
        <w:t>Diabetes, Metabolic Syndrome and Obesity: Targets and Therapy</w:t>
      </w:r>
      <w:r w:rsidRPr="009E3985">
        <w:rPr>
          <w:rFonts w:asciiTheme="majorBidi" w:hAnsiTheme="majorBidi" w:cstheme="majorBidi"/>
          <w:sz w:val="24"/>
          <w:szCs w:val="24"/>
        </w:rPr>
        <w:t xml:space="preserve"> </w:t>
      </w:r>
      <w:r w:rsidRPr="009E3985">
        <w:rPr>
          <w:rFonts w:asciiTheme="majorBidi" w:hAnsiTheme="majorBidi" w:cstheme="majorBidi"/>
          <w:b/>
          <w:sz w:val="24"/>
          <w:szCs w:val="24"/>
        </w:rPr>
        <w:t>14</w:t>
      </w:r>
      <w:r w:rsidRPr="009E3985">
        <w:rPr>
          <w:rFonts w:asciiTheme="majorBidi" w:hAnsiTheme="majorBidi" w:cstheme="majorBidi"/>
          <w:sz w:val="24"/>
          <w:szCs w:val="24"/>
        </w:rPr>
        <w:t>, 691 (2021).</w:t>
      </w:r>
      <w:bookmarkEnd w:id="7"/>
    </w:p>
    <w:p w14:paraId="6B47B4BF" w14:textId="77777777" w:rsidR="00D21E59" w:rsidRPr="009E3985" w:rsidRDefault="00D21E59" w:rsidP="00D21E59">
      <w:pPr>
        <w:pStyle w:val="EndNoteBibliography"/>
        <w:ind w:left="720" w:hanging="720"/>
        <w:rPr>
          <w:rFonts w:asciiTheme="majorBidi" w:hAnsiTheme="majorBidi" w:cstheme="majorBidi"/>
          <w:sz w:val="24"/>
          <w:szCs w:val="24"/>
        </w:rPr>
      </w:pPr>
      <w:bookmarkStart w:id="8" w:name="_ENREF_7"/>
      <w:r w:rsidRPr="009E3985">
        <w:rPr>
          <w:rFonts w:asciiTheme="majorBidi" w:hAnsiTheme="majorBidi" w:cstheme="majorBidi"/>
          <w:sz w:val="24"/>
          <w:szCs w:val="24"/>
        </w:rPr>
        <w:t>7</w:t>
      </w:r>
      <w:r w:rsidRPr="009E3985">
        <w:rPr>
          <w:rFonts w:asciiTheme="majorBidi" w:hAnsiTheme="majorBidi" w:cstheme="majorBidi"/>
          <w:sz w:val="24"/>
          <w:szCs w:val="24"/>
        </w:rPr>
        <w:tab/>
        <w:t>Assaad-Khalil, S. H.</w:t>
      </w:r>
      <w:r w:rsidRPr="009E3985">
        <w:rPr>
          <w:rFonts w:asciiTheme="majorBidi" w:hAnsiTheme="majorBidi" w:cstheme="majorBidi"/>
          <w:i/>
          <w:sz w:val="24"/>
          <w:szCs w:val="24"/>
        </w:rPr>
        <w:t xml:space="preserve"> et al.</w:t>
      </w:r>
      <w:r w:rsidRPr="009E3985">
        <w:rPr>
          <w:rFonts w:asciiTheme="majorBidi" w:hAnsiTheme="majorBidi" w:cstheme="majorBidi"/>
          <w:sz w:val="24"/>
          <w:szCs w:val="24"/>
        </w:rPr>
        <w:t xml:space="preserve"> Optimal waist circumference cutoff points for the determination of abdominal obesity and detection of cardiovascular risk factors among adult Egyptian population. </w:t>
      </w:r>
      <w:r w:rsidRPr="009E3985">
        <w:rPr>
          <w:rFonts w:asciiTheme="majorBidi" w:hAnsiTheme="majorBidi" w:cstheme="majorBidi"/>
          <w:i/>
          <w:sz w:val="24"/>
          <w:szCs w:val="24"/>
        </w:rPr>
        <w:t>Indian journal of endocrinology and metabolism</w:t>
      </w:r>
      <w:r w:rsidRPr="009E3985">
        <w:rPr>
          <w:rFonts w:asciiTheme="majorBidi" w:hAnsiTheme="majorBidi" w:cstheme="majorBidi"/>
          <w:sz w:val="24"/>
          <w:szCs w:val="24"/>
        </w:rPr>
        <w:t xml:space="preserve"> </w:t>
      </w:r>
      <w:r w:rsidRPr="009E3985">
        <w:rPr>
          <w:rFonts w:asciiTheme="majorBidi" w:hAnsiTheme="majorBidi" w:cstheme="majorBidi"/>
          <w:b/>
          <w:sz w:val="24"/>
          <w:szCs w:val="24"/>
        </w:rPr>
        <w:t>19</w:t>
      </w:r>
      <w:r w:rsidRPr="009E3985">
        <w:rPr>
          <w:rFonts w:asciiTheme="majorBidi" w:hAnsiTheme="majorBidi" w:cstheme="majorBidi"/>
          <w:sz w:val="24"/>
          <w:szCs w:val="24"/>
        </w:rPr>
        <w:t>, 804 (2015).</w:t>
      </w:r>
      <w:bookmarkEnd w:id="8"/>
    </w:p>
    <w:p w14:paraId="7A6280AF" w14:textId="6337B5D6" w:rsidR="00D21E59" w:rsidRPr="009E3985" w:rsidRDefault="00D21E59" w:rsidP="00D21E59">
      <w:pPr>
        <w:rPr>
          <w:rFonts w:asciiTheme="majorBidi" w:hAnsiTheme="majorBidi" w:cstheme="majorBidi"/>
          <w:sz w:val="24"/>
          <w:szCs w:val="24"/>
        </w:rPr>
      </w:pPr>
      <w:r w:rsidRPr="009E3985">
        <w:rPr>
          <w:rFonts w:asciiTheme="majorBidi" w:hAnsiTheme="majorBidi" w:cstheme="majorBidi"/>
          <w:sz w:val="24"/>
          <w:szCs w:val="24"/>
        </w:rPr>
        <w:fldChar w:fldCharType="end"/>
      </w:r>
    </w:p>
    <w:sectPr w:rsidR="00D21E59" w:rsidRPr="009E3985" w:rsidSect="00B022DA">
      <w:footerReference w:type="default" r:id="rId7"/>
      <w:pgSz w:w="16838" w:h="11906" w:orient="landscape" w:code="9"/>
      <w:pgMar w:top="720" w:right="720" w:bottom="720" w:left="720" w:header="851" w:footer="992" w:gutter="0"/>
      <w:lnNumType w:countBy="1" w:restart="continuous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761A97" w14:textId="77777777" w:rsidR="002A7909" w:rsidRDefault="002A7909">
      <w:pPr>
        <w:spacing w:after="0" w:line="240" w:lineRule="auto"/>
      </w:pPr>
      <w:r>
        <w:separator/>
      </w:r>
    </w:p>
  </w:endnote>
  <w:endnote w:type="continuationSeparator" w:id="0">
    <w:p w14:paraId="6A9D3420" w14:textId="77777777" w:rsidR="002A7909" w:rsidRDefault="002A7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019194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EDDDB17" w14:textId="77777777" w:rsidR="00940153" w:rsidRPr="00940153" w:rsidRDefault="003F18B0" w:rsidP="00940153">
        <w:pPr>
          <w:pStyle w:val="Footer"/>
          <w:jc w:val="center"/>
          <w:rPr>
            <w:rFonts w:ascii="Times New Roman" w:hAnsi="Times New Roman" w:cs="Times New Roman"/>
          </w:rPr>
        </w:pPr>
        <w:r w:rsidRPr="00940153">
          <w:rPr>
            <w:rFonts w:ascii="Times New Roman" w:hAnsi="Times New Roman" w:cs="Times New Roman"/>
          </w:rPr>
          <w:fldChar w:fldCharType="begin"/>
        </w:r>
        <w:r w:rsidRPr="00940153">
          <w:rPr>
            <w:rFonts w:ascii="Times New Roman" w:hAnsi="Times New Roman" w:cs="Times New Roman"/>
          </w:rPr>
          <w:instrText>PAGE   \* MERGEFORMAT</w:instrText>
        </w:r>
        <w:r w:rsidRPr="00940153">
          <w:rPr>
            <w:rFonts w:ascii="Times New Roman" w:hAnsi="Times New Roman" w:cs="Times New Roman"/>
          </w:rPr>
          <w:fldChar w:fldCharType="separate"/>
        </w:r>
        <w:r w:rsidR="00D8454A" w:rsidRPr="00D8454A">
          <w:rPr>
            <w:noProof/>
            <w:lang w:val="ko-KR"/>
          </w:rPr>
          <w:t>8</w:t>
        </w:r>
        <w:r w:rsidRPr="00940153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D2D17" w14:textId="77777777" w:rsidR="002A7909" w:rsidRDefault="002A7909">
      <w:pPr>
        <w:spacing w:after="0" w:line="240" w:lineRule="auto"/>
      </w:pPr>
      <w:r>
        <w:separator/>
      </w:r>
    </w:p>
  </w:footnote>
  <w:footnote w:type="continuationSeparator" w:id="0">
    <w:p w14:paraId="5C87DC40" w14:textId="77777777" w:rsidR="002A7909" w:rsidRDefault="002A79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trackRevisions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c3Nre0NLAwMTQ1NTVR0lEKTi0uzszPAykwrQUAU9g+sywAAAA="/>
    <w:docVar w:name="EN.Layout" w:val="&lt;ENLayout&gt;&lt;Style&gt;Nature Scientific Reports Copy&lt;/Style&gt;&lt;LeftDelim&gt;{&lt;/LeftDelim&gt;&lt;RightDelim&gt;}&lt;/RightDelim&gt;&lt;FontName&gt;Malgun Gothic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3F18B0"/>
    <w:rsid w:val="00013617"/>
    <w:rsid w:val="000D746E"/>
    <w:rsid w:val="00103DA6"/>
    <w:rsid w:val="00157F9E"/>
    <w:rsid w:val="0025034E"/>
    <w:rsid w:val="002A7909"/>
    <w:rsid w:val="003525B6"/>
    <w:rsid w:val="00365582"/>
    <w:rsid w:val="003F18B0"/>
    <w:rsid w:val="003F6616"/>
    <w:rsid w:val="004A0113"/>
    <w:rsid w:val="004A13F3"/>
    <w:rsid w:val="004C21CC"/>
    <w:rsid w:val="004D0DA7"/>
    <w:rsid w:val="004E0D03"/>
    <w:rsid w:val="004E6041"/>
    <w:rsid w:val="004F2DFD"/>
    <w:rsid w:val="00512449"/>
    <w:rsid w:val="006E22EA"/>
    <w:rsid w:val="006F1B6A"/>
    <w:rsid w:val="00715D61"/>
    <w:rsid w:val="008473C1"/>
    <w:rsid w:val="00874BF5"/>
    <w:rsid w:val="00996F6C"/>
    <w:rsid w:val="009E3985"/>
    <w:rsid w:val="009F41AF"/>
    <w:rsid w:val="00A33637"/>
    <w:rsid w:val="00AD1761"/>
    <w:rsid w:val="00AF22E0"/>
    <w:rsid w:val="00B022DA"/>
    <w:rsid w:val="00B26DAD"/>
    <w:rsid w:val="00B50F2B"/>
    <w:rsid w:val="00C55D1E"/>
    <w:rsid w:val="00C57179"/>
    <w:rsid w:val="00D21E59"/>
    <w:rsid w:val="00D34F44"/>
    <w:rsid w:val="00D42C05"/>
    <w:rsid w:val="00D56933"/>
    <w:rsid w:val="00D8454A"/>
    <w:rsid w:val="00DE3B7A"/>
    <w:rsid w:val="00E063C8"/>
    <w:rsid w:val="00E54AE4"/>
    <w:rsid w:val="00E7165B"/>
    <w:rsid w:val="00EB409F"/>
    <w:rsid w:val="00F2416B"/>
    <w:rsid w:val="00F77CD5"/>
    <w:rsid w:val="00F807C2"/>
    <w:rsid w:val="00FF0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0545A"/>
  <w15:chartTrackingRefBased/>
  <w15:docId w15:val="{9FC90C14-4DA8-4DE8-ADF9-CCBC9343F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8B0"/>
    <w:pPr>
      <w:widowControl w:val="0"/>
      <w:wordWrap w:val="0"/>
      <w:autoSpaceDE w:val="0"/>
      <w:autoSpaceDN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1title">
    <w:name w:val="01.title"/>
    <w:basedOn w:val="Normal"/>
    <w:next w:val="Normal"/>
    <w:rsid w:val="003F18B0"/>
    <w:pPr>
      <w:widowControl/>
      <w:wordWrap/>
      <w:autoSpaceDE/>
      <w:autoSpaceDN/>
      <w:spacing w:before="360" w:after="360" w:line="480" w:lineRule="auto"/>
      <w:jc w:val="center"/>
    </w:pPr>
    <w:rPr>
      <w:rFonts w:ascii="Times New Roman" w:eastAsia="Batang" w:hAnsi="Times New Roman" w:cs="Times New Roman"/>
      <w:b/>
      <w:kern w:val="0"/>
      <w:sz w:val="36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F18B0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3F18B0"/>
  </w:style>
  <w:style w:type="paragraph" w:customStyle="1" w:styleId="02authors">
    <w:name w:val="02.authors"/>
    <w:basedOn w:val="Normal"/>
    <w:next w:val="Normal"/>
    <w:rsid w:val="003F18B0"/>
    <w:pPr>
      <w:widowControl/>
      <w:wordWrap/>
      <w:autoSpaceDE/>
      <w:autoSpaceDN/>
      <w:spacing w:after="0" w:line="480" w:lineRule="auto"/>
      <w:jc w:val="center"/>
    </w:pPr>
    <w:rPr>
      <w:rFonts w:ascii="Times New Roman" w:eastAsia="Batang" w:hAnsi="Times New Roman" w:cs="Times New Roman"/>
      <w:b/>
      <w:kern w:val="0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3F18B0"/>
    <w:rPr>
      <w:color w:val="0563C1" w:themeColor="hyperlink"/>
      <w:u w:val="single"/>
    </w:rPr>
  </w:style>
  <w:style w:type="paragraph" w:customStyle="1" w:styleId="08text">
    <w:name w:val="08.text"/>
    <w:basedOn w:val="Normal"/>
    <w:rsid w:val="003F18B0"/>
    <w:pPr>
      <w:widowControl/>
      <w:wordWrap/>
      <w:autoSpaceDE/>
      <w:autoSpaceDN/>
      <w:spacing w:after="0" w:line="480" w:lineRule="auto"/>
    </w:pPr>
    <w:rPr>
      <w:rFonts w:ascii="Times New Roman" w:eastAsia="Batang" w:hAnsi="Times New Roman" w:cs="Times New Roman"/>
      <w:kern w:val="0"/>
      <w:sz w:val="24"/>
      <w:szCs w:val="24"/>
      <w:lang w:eastAsia="en-US"/>
    </w:rPr>
  </w:style>
  <w:style w:type="paragraph" w:customStyle="1" w:styleId="EndNoteBibliography">
    <w:name w:val="EndNote Bibliography"/>
    <w:basedOn w:val="Normal"/>
    <w:link w:val="EndNoteBibliographyChar"/>
    <w:rsid w:val="003F18B0"/>
    <w:pPr>
      <w:spacing w:line="240" w:lineRule="auto"/>
    </w:pPr>
    <w:rPr>
      <w:rFonts w:ascii="Malgun Gothic" w:eastAsia="Malgun Gothic" w:hAnsi="Malgun Gothic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3F18B0"/>
    <w:rPr>
      <w:rFonts w:ascii="Malgun Gothic" w:eastAsia="Malgun Gothic" w:hAnsi="Malgun Gothic"/>
      <w:noProof/>
    </w:rPr>
  </w:style>
  <w:style w:type="table" w:styleId="TableGrid">
    <w:name w:val="Table Grid"/>
    <w:basedOn w:val="TableNormal"/>
    <w:uiPriority w:val="39"/>
    <w:rsid w:val="003F18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3F18B0"/>
  </w:style>
  <w:style w:type="paragraph" w:styleId="Header">
    <w:name w:val="header"/>
    <w:basedOn w:val="Normal"/>
    <w:link w:val="HeaderChar"/>
    <w:uiPriority w:val="99"/>
    <w:unhideWhenUsed/>
    <w:rsid w:val="00D21E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1E59"/>
  </w:style>
  <w:style w:type="paragraph" w:customStyle="1" w:styleId="EndNoteBibliographyTitle">
    <w:name w:val="EndNote Bibliography Title"/>
    <w:basedOn w:val="Normal"/>
    <w:link w:val="EndNoteBibliographyTitleChar"/>
    <w:rsid w:val="00D21E59"/>
    <w:pPr>
      <w:spacing w:after="0"/>
      <w:jc w:val="center"/>
    </w:pPr>
    <w:rPr>
      <w:rFonts w:ascii="Malgun Gothic" w:eastAsia="Malgun Gothic" w:hAnsi="Malgun Gothic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21E59"/>
    <w:rPr>
      <w:rFonts w:ascii="Malgun Gothic" w:eastAsia="Malgun Gothic" w:hAnsi="Malgun Gothic"/>
      <w:noProof/>
    </w:rPr>
  </w:style>
  <w:style w:type="character" w:styleId="UnresolvedMention">
    <w:name w:val="Unresolved Mention"/>
    <w:basedOn w:val="DefaultParagraphFont"/>
    <w:uiPriority w:val="99"/>
    <w:semiHidden/>
    <w:unhideWhenUsed/>
    <w:rsid w:val="00D21E5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54AE4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65A555-8378-4DC8-9ECD-04BF0B51A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1866</Words>
  <Characters>10638</Characters>
  <Application>Microsoft Office Word</Application>
  <DocSecurity>0</DocSecurity>
  <Lines>88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비만학회2</dc:creator>
  <cp:keywords/>
  <dc:description/>
  <cp:lastModifiedBy>HANA ALKHALIDY</cp:lastModifiedBy>
  <cp:revision>3</cp:revision>
  <cp:lastPrinted>2022-10-08T18:57:00Z</cp:lastPrinted>
  <dcterms:created xsi:type="dcterms:W3CDTF">2022-11-22T06:25:00Z</dcterms:created>
  <dcterms:modified xsi:type="dcterms:W3CDTF">2022-11-22T17:31:00Z</dcterms:modified>
</cp:coreProperties>
</file>