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61A" w:rsidRDefault="005C121B">
      <w:pPr>
        <w:rPr>
          <w:rFonts w:hint="eastAsia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 wp14:anchorId="4E86A37B" wp14:editId="1E3A854B">
            <wp:extent cx="5267960" cy="5401945"/>
            <wp:effectExtent l="0" t="0" r="2540" b="8255"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5401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121B" w:rsidRDefault="005C121B" w:rsidP="005C121B">
      <w:pPr>
        <w:spacing w:line="360" w:lineRule="auto"/>
        <w:textAlignment w:val="baseline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Figure 1 Total ion current chromatogram (TIC), with good reproducibility, indicating that the data results are reliable. Typical total ion chromatogram of the serum sample (</w:t>
      </w:r>
      <w:proofErr w:type="spellStart"/>
      <w:r>
        <w:rPr>
          <w:rFonts w:ascii="Times New Roman" w:eastAsia="宋体" w:hAnsi="Times New Roman" w:cs="Times New Roman"/>
          <w:color w:val="000000"/>
          <w:sz w:val="24"/>
          <w:szCs w:val="24"/>
        </w:rPr>
        <w:t>pos</w:t>
      </w:r>
      <w:proofErr w:type="spellEnd"/>
      <w:r>
        <w:rPr>
          <w:rFonts w:ascii="Times New Roman" w:eastAsia="宋体" w:hAnsi="Times New Roman" w:cs="Times New Roman"/>
          <w:color w:val="000000"/>
          <w:sz w:val="24"/>
          <w:szCs w:val="24"/>
        </w:rPr>
        <w:t>) (A); typical total ion chromatogram of the serum sample (</w:t>
      </w:r>
      <w:proofErr w:type="spellStart"/>
      <w:r>
        <w:rPr>
          <w:rFonts w:ascii="Times New Roman" w:eastAsia="宋体" w:hAnsi="Times New Roman" w:cs="Times New Roman"/>
          <w:color w:val="000000"/>
          <w:sz w:val="24"/>
          <w:szCs w:val="24"/>
        </w:rPr>
        <w:t>neg</w:t>
      </w:r>
      <w:proofErr w:type="spellEnd"/>
      <w:r>
        <w:rPr>
          <w:rFonts w:ascii="Times New Roman" w:eastAsia="宋体" w:hAnsi="Times New Roman" w:cs="Times New Roman"/>
          <w:color w:val="000000"/>
          <w:sz w:val="24"/>
          <w:szCs w:val="24"/>
        </w:rPr>
        <w:t>) (B)</w:t>
      </w:r>
    </w:p>
    <w:p w:rsidR="005C121B" w:rsidRDefault="005C121B">
      <w:pPr>
        <w:rPr>
          <w:rFonts w:hint="eastAsia"/>
        </w:rPr>
      </w:pPr>
    </w:p>
    <w:p w:rsidR="005C121B" w:rsidRDefault="005C121B" w:rsidP="005C121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The total ion current chromatograms (TIC) of the PCOS group and the control group in positive and negative ion modes are shown in Figure 1A-B. The TIC graphs (±) are stable and have good reproducibility, indicating that the results are reliable.</w:t>
      </w:r>
    </w:p>
    <w:p w:rsidR="005C121B" w:rsidRPr="005C121B" w:rsidRDefault="005C121B">
      <w:bookmarkStart w:id="0" w:name="_GoBack"/>
      <w:bookmarkEnd w:id="0"/>
    </w:p>
    <w:sectPr w:rsidR="005C121B" w:rsidRPr="005C12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04BF" w:rsidRDefault="00ED04BF" w:rsidP="005C121B">
      <w:r>
        <w:separator/>
      </w:r>
    </w:p>
  </w:endnote>
  <w:endnote w:type="continuationSeparator" w:id="0">
    <w:p w:rsidR="00ED04BF" w:rsidRDefault="00ED04BF" w:rsidP="005C1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04BF" w:rsidRDefault="00ED04BF" w:rsidP="005C121B">
      <w:r>
        <w:separator/>
      </w:r>
    </w:p>
  </w:footnote>
  <w:footnote w:type="continuationSeparator" w:id="0">
    <w:p w:rsidR="00ED04BF" w:rsidRDefault="00ED04BF" w:rsidP="005C12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232E"/>
    <w:rsid w:val="0009161A"/>
    <w:rsid w:val="005C121B"/>
    <w:rsid w:val="005F232E"/>
    <w:rsid w:val="00ED0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2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21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2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21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C121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C121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2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21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2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21B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C121B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C12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2022-07-13T10:54:00Z</dcterms:created>
  <dcterms:modified xsi:type="dcterms:W3CDTF">2022-07-13T10:55:00Z</dcterms:modified>
</cp:coreProperties>
</file>